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74D" w:rsidRDefault="00CA67D1" w:rsidP="002B074D">
      <w:pPr>
        <w:spacing w:after="160" w:line="259" w:lineRule="auto"/>
        <w:rPr>
          <w:rFonts w:cs="Times New Roman"/>
          <w:b/>
        </w:rPr>
      </w:pPr>
      <w:r>
        <w:rPr>
          <w:rFonts w:cs="Times New Roman"/>
          <w:b/>
        </w:rPr>
        <w:t>Additional File 3</w:t>
      </w:r>
      <w:bookmarkStart w:id="0" w:name="_GoBack"/>
      <w:bookmarkEnd w:id="0"/>
      <w:r w:rsidR="002B074D" w:rsidRPr="00D04263">
        <w:rPr>
          <w:rFonts w:cs="Times New Roman"/>
          <w:b/>
        </w:rPr>
        <w:t xml:space="preserve">. </w:t>
      </w:r>
      <w:r w:rsidR="002B074D" w:rsidRPr="007F1221">
        <w:rPr>
          <w:rFonts w:cs="Times New Roman"/>
          <w:b/>
        </w:rPr>
        <w:t xml:space="preserve">Risk Factors </w:t>
      </w:r>
      <w:r w:rsidR="002B074D">
        <w:rPr>
          <w:rFonts w:cs="Times New Roman"/>
          <w:b/>
        </w:rPr>
        <w:t>among</w:t>
      </w:r>
      <w:r w:rsidR="002B074D" w:rsidRPr="007F1221">
        <w:rPr>
          <w:rFonts w:cs="Times New Roman"/>
          <w:b/>
        </w:rPr>
        <w:t xml:space="preserve"> Patients with and without </w:t>
      </w:r>
      <w:r w:rsidR="002B074D">
        <w:rPr>
          <w:rFonts w:cs="Times New Roman"/>
          <w:b/>
        </w:rPr>
        <w:t xml:space="preserve">Any Major Adverse Cardiovascular Events </w:t>
      </w:r>
      <w:r w:rsidR="002B074D" w:rsidRPr="007F1221">
        <w:rPr>
          <w:rFonts w:cs="Times New Roman"/>
          <w:b/>
        </w:rPr>
        <w:t>during the At-risk Period</w:t>
      </w:r>
      <w:r w:rsidR="002B074D">
        <w:rPr>
          <w:rFonts w:cs="Times New Roman"/>
          <w:b/>
        </w:rPr>
        <w:t xml:space="preserve"> (Training Set)</w:t>
      </w:r>
    </w:p>
    <w:tbl>
      <w:tblPr>
        <w:tblpPr w:leftFromText="141" w:rightFromText="141" w:vertAnchor="text" w:tblpY="1"/>
        <w:tblOverlap w:val="never"/>
        <w:tblW w:w="928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3621"/>
        <w:gridCol w:w="70"/>
        <w:gridCol w:w="710"/>
        <w:gridCol w:w="70"/>
        <w:gridCol w:w="786"/>
        <w:gridCol w:w="70"/>
        <w:gridCol w:w="733"/>
        <w:gridCol w:w="70"/>
        <w:gridCol w:w="996"/>
        <w:gridCol w:w="70"/>
        <w:gridCol w:w="883"/>
        <w:gridCol w:w="70"/>
        <w:gridCol w:w="136"/>
        <w:gridCol w:w="70"/>
        <w:gridCol w:w="623"/>
        <w:gridCol w:w="70"/>
        <w:gridCol w:w="786"/>
        <w:gridCol w:w="266"/>
        <w:gridCol w:w="731"/>
        <w:gridCol w:w="71"/>
        <w:gridCol w:w="1297"/>
        <w:gridCol w:w="71"/>
        <w:gridCol w:w="937"/>
        <w:gridCol w:w="71"/>
        <w:gridCol w:w="879"/>
        <w:gridCol w:w="1091"/>
        <w:gridCol w:w="1092"/>
        <w:gridCol w:w="1093"/>
        <w:gridCol w:w="1093"/>
        <w:gridCol w:w="1093"/>
        <w:gridCol w:w="1093"/>
        <w:gridCol w:w="1093"/>
        <w:gridCol w:w="1093"/>
        <w:gridCol w:w="1099"/>
      </w:tblGrid>
      <w:tr w:rsidR="002B074D" w:rsidRPr="001C55E9" w:rsidTr="00AB522F">
        <w:trPr>
          <w:gridBefore w:val="1"/>
          <w:gridAfter w:val="10"/>
          <w:wBefore w:w="70" w:type="dxa"/>
          <w:wAfter w:w="10718" w:type="dxa"/>
          <w:trHeight w:val="315"/>
        </w:trPr>
        <w:tc>
          <w:tcPr>
            <w:tcW w:w="3691" w:type="dxa"/>
            <w:gridSpan w:val="2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</w:pPr>
          </w:p>
        </w:tc>
        <w:tc>
          <w:tcPr>
            <w:tcW w:w="1636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1869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953" w:type="dxa"/>
            <w:gridSpan w:val="2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206" w:type="dxa"/>
            <w:gridSpan w:val="2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1745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2170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</w:tr>
      <w:tr w:rsidR="002B074D" w:rsidRPr="007E3C3D" w:rsidTr="00AB522F">
        <w:trPr>
          <w:gridBefore w:val="1"/>
          <w:gridAfter w:val="10"/>
          <w:wBefore w:w="70" w:type="dxa"/>
          <w:wAfter w:w="10719" w:type="dxa"/>
          <w:trHeight w:val="258"/>
        </w:trPr>
        <w:tc>
          <w:tcPr>
            <w:tcW w:w="3691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</w:pPr>
          </w:p>
        </w:tc>
        <w:tc>
          <w:tcPr>
            <w:tcW w:w="4458" w:type="dxa"/>
            <w:gridSpan w:val="10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Primary CVD prevention population</w:t>
            </w:r>
          </w:p>
          <w:p w:rsidR="002B074D" w:rsidRDefault="002B074D" w:rsidP="008E6EB6">
            <w:pPr>
              <w:pBdr>
                <w:bottom w:val="single" w:sz="4" w:space="1" w:color="auto"/>
              </w:pBd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N=95,581</w:t>
            </w:r>
          </w:p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206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492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2B074D" w:rsidRDefault="002B074D" w:rsidP="008E6EB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</w:pPr>
            <w:r w:rsidRPr="00E2373F"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  <w:t>Secondary CVD prevention population</w:t>
            </w:r>
          </w:p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E2373F"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  <w:t>N=31,553</w:t>
            </w:r>
          </w:p>
        </w:tc>
      </w:tr>
      <w:tr w:rsidR="002B074D" w:rsidRPr="007E3C3D" w:rsidTr="00AB522F">
        <w:trPr>
          <w:gridBefore w:val="1"/>
          <w:gridAfter w:val="10"/>
          <w:wBefore w:w="70" w:type="dxa"/>
          <w:wAfter w:w="10719" w:type="dxa"/>
          <w:trHeight w:val="258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</w:pPr>
          </w:p>
        </w:tc>
        <w:tc>
          <w:tcPr>
            <w:tcW w:w="4458" w:type="dxa"/>
            <w:gridSpan w:val="10"/>
            <w:vMerge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206" w:type="dxa"/>
            <w:gridSpan w:val="2"/>
            <w:vMerge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4922" w:type="dxa"/>
            <w:gridSpan w:val="10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2B074D" w:rsidRPr="00E2373F" w:rsidRDefault="002B074D" w:rsidP="008E6EB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</w:pPr>
          </w:p>
        </w:tc>
      </w:tr>
      <w:tr w:rsidR="002B074D" w:rsidRPr="00E87F84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fr-CA" w:eastAsia="fr-CA"/>
              </w:rPr>
            </w:pPr>
          </w:p>
        </w:tc>
        <w:tc>
          <w:tcPr>
            <w:tcW w:w="1636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  <w:t>With</w:t>
            </w:r>
          </w:p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  <w:t>any event</w:t>
            </w: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val="fr-CA" w:eastAsia="fr-CA"/>
              </w:rPr>
              <w:t>1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val="fr-CA" w:eastAsia="fr-CA"/>
              </w:rPr>
              <w:t>,2</w:t>
            </w:r>
          </w:p>
        </w:tc>
        <w:tc>
          <w:tcPr>
            <w:tcW w:w="1869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  <w:t>Without</w:t>
            </w:r>
          </w:p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  <w:t>any event</w:t>
            </w:r>
          </w:p>
        </w:tc>
        <w:tc>
          <w:tcPr>
            <w:tcW w:w="953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Std. diff.</w:t>
            </w:r>
          </w:p>
        </w:tc>
        <w:tc>
          <w:tcPr>
            <w:tcW w:w="2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1745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 xml:space="preserve">With </w:t>
            </w:r>
          </w:p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any event</w:t>
            </w: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val="fr-CA" w:eastAsia="fr-CA"/>
              </w:rPr>
              <w:t>1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val="fr-CA" w:eastAsia="fr-CA"/>
              </w:rPr>
              <w:t>,3</w:t>
            </w:r>
          </w:p>
        </w:tc>
        <w:tc>
          <w:tcPr>
            <w:tcW w:w="217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 xml:space="preserve">Without </w:t>
            </w:r>
          </w:p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any event</w:t>
            </w:r>
          </w:p>
        </w:tc>
        <w:tc>
          <w:tcPr>
            <w:tcW w:w="1008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Std. diff.</w:t>
            </w:r>
            <w:r w:rsidRPr="00D37D6B"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  <w:t> </w:t>
            </w:r>
          </w:p>
        </w:tc>
      </w:tr>
      <w:tr w:rsidR="002B074D" w:rsidRPr="00E87F84" w:rsidTr="00AB522F">
        <w:trPr>
          <w:gridBefore w:val="1"/>
          <w:wBefore w:w="70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sz w:val="20"/>
                <w:szCs w:val="20"/>
                <w:lang w:eastAsia="fr-CA"/>
              </w:rPr>
              <w:t>Risk factors during the baseline period</w:t>
            </w:r>
          </w:p>
        </w:tc>
        <w:tc>
          <w:tcPr>
            <w:tcW w:w="16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N=6,237 (6.5%)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N=89,344 (93.5%)</w:t>
            </w:r>
          </w:p>
        </w:tc>
        <w:tc>
          <w:tcPr>
            <w:tcW w:w="953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N=7,871 (24.9%)</w:t>
            </w:r>
          </w:p>
        </w:tc>
        <w:tc>
          <w:tcPr>
            <w:tcW w:w="21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  <w:t>N=23,682 (75.1%)</w:t>
            </w:r>
          </w:p>
        </w:tc>
        <w:tc>
          <w:tcPr>
            <w:tcW w:w="1008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</w:p>
        </w:tc>
        <w:tc>
          <w:tcPr>
            <w:tcW w:w="879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1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2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3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3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3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3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3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3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098" w:type="dxa"/>
            <w:vAlign w:val="bottom"/>
          </w:tcPr>
          <w:p w:rsidR="002B074D" w:rsidRPr="00E87F84" w:rsidRDefault="002B074D" w:rsidP="008E6EB6">
            <w:pPr>
              <w:spacing w:after="160" w:line="259" w:lineRule="auto"/>
              <w:rPr>
                <w:rFonts w:eastAsia="Times New Roman" w:cs="Times New Roman"/>
                <w:sz w:val="18"/>
                <w:szCs w:val="18"/>
                <w:lang w:eastAsia="fr-CA"/>
              </w:rPr>
            </w:pPr>
            <w:r w:rsidRPr="00E87F84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Age at end of baseline period, mean ± SD [median]</w:t>
            </w:r>
          </w:p>
        </w:tc>
        <w:tc>
          <w:tcPr>
            <w:tcW w:w="1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72.7 ± 9.1 [73.7]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66.4 ± 9.5 [66.2]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0.677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75.0 ± 8.9 [76.8]</w:t>
            </w:r>
          </w:p>
        </w:tc>
        <w:tc>
          <w:tcPr>
            <w:tcW w:w="2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71.4 ± 10.0 [71.8]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0.383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val="fr-CA" w:eastAsia="fr-CA"/>
              </w:rPr>
              <w:t>Female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2,888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(46.3%)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45,043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(50.4%)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0.082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3,737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(47.5%)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11,123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(47.0%)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0.010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="31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Ethnicity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="31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Not hispanic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3,991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(64.0%)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58,508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(65.5%)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0.031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4,685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(59.5%)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15,335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(64.8%)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0.108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="31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Hispanic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183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(2.9%)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3,892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(4.4%)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0.076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193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(2.5%)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821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0.060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="31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Unknown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2,063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(33.1%)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26,944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(30.2%)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0.063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2,993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(38.0%)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7,526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(31.8%)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0.131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E2373F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Year at end of baseline period</w:t>
            </w:r>
            <w:r w:rsidRPr="00E2373F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 xml:space="preserve"> before 2011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2,244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(36.0%)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20,806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(23.3%)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0.281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2,342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(29.8%)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4,152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(17.5%)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0.291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Race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ind w:firstLine="22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 xml:space="preserve">   Caucasian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4,166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(66.8%)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58,720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(65.7%)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0.023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4,888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(62.1%)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15,347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(64.8%)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0.056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ind w:firstLine="22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 xml:space="preserve">   African American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585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(9.4%)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9,244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(10.3%)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0.032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866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(11.0%)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2,777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(11.7%)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0.023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ind w:firstLine="22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 xml:space="preserve">   Asian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89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(1.4%)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2,130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(2.4%)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0.07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95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(1.2%)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413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(1.7%)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0.045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ind w:firstLine="221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 xml:space="preserve">   Other/unknown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1,397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(22.4%)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19,250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(21.5%)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0.021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2,022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(25.7%)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5,145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(21.7%)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0.093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52" w:firstLine="10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Geographic region,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Midwest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2,363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(37.9%)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33,903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(37.9%)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0.001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2,873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(36.5%)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8,152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(34.4%)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0.043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South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2,354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(37.7%)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33,819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(37.9%)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0.002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2,898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(36.8%)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9,156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(38.7%)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0.038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Northeast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745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(11.9%)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11,487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(12.9%)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0.028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1,057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(13.4%)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3,423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(14.5%)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0.030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West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608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7,889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0.032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791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(10.0%)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2,294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0.012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Other/Unknown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167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2,246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(2.5%)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0.010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252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(3.2%)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657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0.025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52" w:firstLine="10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Insurance type,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 xml:space="preserve">Health maintenance </w:t>
            </w:r>
          </w:p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organization (HMO)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2,708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(43.4%)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25,657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(28.7%)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0.310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3,444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(43.8%)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7,743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(32.7%)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0.229 ‡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Point-of-service (POS)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868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(13.9%)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27,239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(30.5%)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0.407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671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(8.5%)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3,997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(16.9%)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0.253 ‡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 xml:space="preserve">Preferred provider </w:t>
            </w:r>
          </w:p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lastRenderedPageBreak/>
              <w:t>organization (PPO)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lastRenderedPageBreak/>
              <w:t>376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(6.0%)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4,249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0.056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462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(5.9%)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1,258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(5.3%)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0.024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 xml:space="preserve">Exclusive provider </w:t>
            </w:r>
          </w:p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organization (EPO)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138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4,093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(4.6%)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0.131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109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(1.4%)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643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0.094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Indemnity (IND)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223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(3.6%)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1,228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(1.4%)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0.142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230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(2.9%)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462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(2.0%)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0.063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Other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1,924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(30.8%)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26,878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(30.1%)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0.017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2,955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(37.5%)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9,579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(40.4%)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0.060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Payer type, N(%)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Medicare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4,611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(73.9%)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44,456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(49.8%)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0.514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6,449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(81.9%)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16,542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(69.9%)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0.285 ‡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Commercial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1,612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(25.8%)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44,783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(50.1%)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0.517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1,386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(17.6%)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7,082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(29.9%)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0.292 ‡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187" w:firstLine="374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Medicaid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(0.2%)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105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(0.1%)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0.026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(0.5%)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(0.2%)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0.036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i/>
                <w:iCs/>
                <w:sz w:val="20"/>
                <w:szCs w:val="20"/>
                <w:lang w:val="fr-CA" w:eastAsia="fr-CA"/>
              </w:rPr>
              <w:t>Prior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val="fr-CA" w:eastAsia="fr-CA"/>
              </w:rPr>
              <w:t xml:space="preserve"> CVD diagnoses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Myocardial infarction,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1,707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(21.7%)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4,922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(20.8%)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0.022</w:t>
            </w:r>
          </w:p>
        </w:tc>
      </w:tr>
      <w:tr w:rsidR="002B074D" w:rsidRPr="00DC7A59" w:rsidTr="00AB522F">
        <w:trPr>
          <w:gridAfter w:val="11"/>
          <w:wAfter w:w="10789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Stroke,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2,986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(37.9%)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9,552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(40.3%)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0.049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Unstable angina,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1,381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(17.5%)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5,131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(21.7%)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0.104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Congestive heart failure,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5,793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(73.6%)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12,020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(50.8%)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0.485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074D" w:rsidRDefault="002B074D" w:rsidP="008E6EB6">
            <w:pPr>
              <w:spacing w:after="0" w:line="240" w:lineRule="auto"/>
              <w:ind w:left="380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Time from last observed CVD</w:t>
            </w:r>
          </w:p>
          <w:p w:rsidR="002B074D" w:rsidRDefault="002B074D" w:rsidP="008E6EB6">
            <w:pPr>
              <w:spacing w:after="0" w:line="240" w:lineRule="auto"/>
              <w:ind w:left="380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event to end of baseline period,</w:t>
            </w:r>
          </w:p>
          <w:p w:rsidR="002B074D" w:rsidRPr="00D37D6B" w:rsidRDefault="002B074D" w:rsidP="008E6EB6">
            <w:pPr>
              <w:spacing w:after="0" w:line="240" w:lineRule="auto"/>
              <w:ind w:left="380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months, mean ± SD [median]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9.0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 xml:space="preserve"> </w:t>
            </w: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± 12.8 [4.3]</w:t>
            </w:r>
          </w:p>
        </w:tc>
        <w:tc>
          <w:tcPr>
            <w:tcW w:w="2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16.8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 xml:space="preserve"> </w:t>
            </w: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± 20.0 [10.6]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0.462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400" w:firstLine="8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Less than 1 month,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2,025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(25.7%)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2,776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(11.7%)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0.365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400" w:firstLine="8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 to 3 months,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1,371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(17.4%)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2,737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(11.6%)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0.167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400" w:firstLine="8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  to 6 months,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1,106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(14.1%)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2,957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(12.5%)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0.046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400" w:firstLine="8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 to 12 months,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1,582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(20.1%)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5,521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(23.3%)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0.078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400" w:firstLine="8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12 months and above,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-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1,787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(22.7%)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9,691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(40.9%)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0.399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Default="002B074D" w:rsidP="008E6EB6">
            <w:pPr>
              <w:spacing w:after="0" w:line="240" w:lineRule="auto"/>
              <w:ind w:left="290"/>
              <w:rPr>
                <w:rFonts w:eastAsia="Times New Roman" w:cs="Times New Roman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eastAsia="fr-CA"/>
              </w:rPr>
              <w:t xml:space="preserve">Other CVD-related conditions (i.e., </w:t>
            </w:r>
          </w:p>
          <w:p w:rsidR="002B074D" w:rsidRDefault="002B074D" w:rsidP="008E6EB6">
            <w:pPr>
              <w:spacing w:after="0" w:line="240" w:lineRule="auto"/>
              <w:ind w:left="290"/>
              <w:rPr>
                <w:rFonts w:eastAsia="Times New Roman" w:cs="Times New Roman"/>
                <w:sz w:val="20"/>
                <w:szCs w:val="20"/>
                <w:lang w:eastAsia="fr-CA"/>
              </w:rPr>
            </w:pPr>
            <w:r>
              <w:rPr>
                <w:rFonts w:eastAsia="Times New Roman" w:cs="Times New Roman"/>
                <w:sz w:val="20"/>
                <w:szCs w:val="20"/>
                <w:lang w:eastAsia="fr-CA"/>
              </w:rPr>
              <w:t xml:space="preserve">conditions used </w:t>
            </w:r>
            <w:r w:rsidRPr="00D37D6B">
              <w:rPr>
                <w:rFonts w:eastAsia="Times New Roman" w:cs="Times New Roman"/>
                <w:sz w:val="20"/>
                <w:szCs w:val="20"/>
                <w:lang w:eastAsia="fr-CA"/>
              </w:rPr>
              <w:t xml:space="preserve">to define </w:t>
            </w:r>
          </w:p>
          <w:p w:rsidR="002B074D" w:rsidRPr="00D37D6B" w:rsidRDefault="002B074D" w:rsidP="008E6EB6">
            <w:pPr>
              <w:spacing w:after="0" w:line="240" w:lineRule="auto"/>
              <w:ind w:left="290"/>
              <w:rPr>
                <w:rFonts w:eastAsia="Times New Roman" w:cs="Times New Roman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eastAsia="fr-CA"/>
              </w:rPr>
              <w:t>CVD-related death)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3,133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(50.2%)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26,062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(29.2%)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0.441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6,911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(87.8%)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18,356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(77.5%)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0.274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val="fr-CA" w:eastAsia="fr-CA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val="fr-CA" w:eastAsia="fr-CA"/>
              </w:rPr>
              <w:t>D</w:t>
            </w:r>
            <w:r w:rsidRPr="00D37D6B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val="fr-CA" w:eastAsia="fr-CA"/>
              </w:rPr>
              <w:t>iabetes-related characteristics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074D" w:rsidRDefault="002B074D" w:rsidP="008E6EB6">
            <w:pPr>
              <w:spacing w:after="0" w:line="240" w:lineRule="auto"/>
              <w:ind w:left="290"/>
              <w:rPr>
                <w:rFonts w:eastAsia="Times New Roman" w:cs="Times New Roman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eastAsia="fr-CA"/>
              </w:rPr>
              <w:t xml:space="preserve">Time from first observed </w:t>
            </w:r>
          </w:p>
          <w:p w:rsidR="002B074D" w:rsidRDefault="002B074D" w:rsidP="008E6EB6">
            <w:pPr>
              <w:spacing w:after="0" w:line="240" w:lineRule="auto"/>
              <w:ind w:left="290"/>
              <w:rPr>
                <w:rFonts w:eastAsia="Times New Roman" w:cs="Times New Roman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eastAsia="fr-CA"/>
              </w:rPr>
              <w:t>type 2 diabetes diagnosis to end</w:t>
            </w:r>
          </w:p>
          <w:p w:rsidR="002B074D" w:rsidRPr="00D37D6B" w:rsidRDefault="002B074D" w:rsidP="008E6EB6">
            <w:pPr>
              <w:spacing w:after="0" w:line="240" w:lineRule="auto"/>
              <w:ind w:left="290"/>
              <w:rPr>
                <w:rFonts w:eastAsia="Times New Roman" w:cs="Times New Roman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eastAsia="fr-CA"/>
              </w:rPr>
              <w:t>of baseline period, months,</w:t>
            </w:r>
          </w:p>
          <w:p w:rsidR="002B074D" w:rsidRPr="00D37D6B" w:rsidRDefault="002B074D" w:rsidP="008E6EB6">
            <w:pPr>
              <w:spacing w:after="0" w:line="240" w:lineRule="auto"/>
              <w:ind w:left="290"/>
              <w:rPr>
                <w:rFonts w:eastAsia="Times New Roman" w:cs="Times New Roman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eastAsia="fr-CA"/>
              </w:rPr>
              <w:t>mean ± SD [median]</w:t>
            </w:r>
          </w:p>
        </w:tc>
        <w:tc>
          <w:tcPr>
            <w:tcW w:w="1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30.9 ± 21.8 [22.9]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32.0 ± 24.6 [21.8]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0.045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36.6 ± 25.1 [28.2]</w:t>
            </w:r>
          </w:p>
        </w:tc>
        <w:tc>
          <w:tcPr>
            <w:tcW w:w="2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41.4 ± 29.4 [31.2]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0.175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Less than 12 months,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1,162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(18.6%)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19,003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(21.3%)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0.066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1,088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(13.8%)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3,165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(13.4%)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0.013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12 to 24 months,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2,129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(34.1%)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29,274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(32.8%)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0.029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2,288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(29.1%)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6,229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(26.3%)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0.062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24 to 48 months,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1,740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(27.9%)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22,653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(25.4%)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0.058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2,306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(29.3%)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6,300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(26.6%)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0.060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48 months and above,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1,206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(19.3%)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18,414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(20.6%)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0.032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2,189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(27.8%)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7,988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(33.7%)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0.129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ind w:left="401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lastRenderedPageBreak/>
              <w:t>At least 1 diabetes-related hospitalization,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1,583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(25.4%)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16,002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(17.9%)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0.182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4,146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(52.7%)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9,821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(41.5%)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0.226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left="401" w:hanging="1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More than 2 diabetes-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r</w:t>
            </w: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elated outpatient visits,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5,524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(88.6%)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78,902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(88.3%)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0.008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7,013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(89.1%)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21,351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(90.2%)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0.035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Default="002B074D" w:rsidP="008E6EB6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  <w:t>Charlson comorbidity index, mean ±</w:t>
            </w:r>
          </w:p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  <w:t>SD [median]</w:t>
            </w:r>
          </w:p>
        </w:tc>
        <w:tc>
          <w:tcPr>
            <w:tcW w:w="1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1.5 ± 1.7 [1.0]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1.0 ± 1.4 [0.0]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0.302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3.5 ± 2.3 [3.0]</w:t>
            </w:r>
          </w:p>
        </w:tc>
        <w:tc>
          <w:tcPr>
            <w:tcW w:w="2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2.5 ± 2.2 [2.0]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0.443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2,260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(36.2%)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45,384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(50.8%)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0.297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768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(9.8%)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4,954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(20.9%)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0.314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1,603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(25.7%)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20,741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(23.2%)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0.058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753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(9.6%)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3,812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(16.1%)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0.196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1,135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(18.2%)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13,117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(14.7%)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0.095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1,184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(15.0%)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4,498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(19.0%)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0.105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608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5,183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0.148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1,504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(19.1%)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3,789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(16.0%)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0.082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 and more,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631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(10.1%)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4,919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(5.5%)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0.172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3,662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(46.5%)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6,629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(28.0%)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0.391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Default="002B074D" w:rsidP="008E6EB6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  <w:t>Adapted diabetes complications</w:t>
            </w:r>
          </w:p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  <w:t>severity index, mean ± SD [median]</w:t>
            </w:r>
          </w:p>
        </w:tc>
        <w:tc>
          <w:tcPr>
            <w:tcW w:w="1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1.9 ± 1.8 [2.0]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1.1 ± 1.4 [1.0]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0.499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4.1 ± 2.1 [4.0]</w:t>
            </w:r>
          </w:p>
        </w:tc>
        <w:tc>
          <w:tcPr>
            <w:tcW w:w="2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3.2 ± 2.0 [3.0]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0.442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1,833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(29.4%)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43,993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(49.2%)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0.415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252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(3.2%)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2,086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0.238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1,155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(18.5%)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18,196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(20.4%)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0.047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327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(4.2%)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2,565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(10.8%)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0.256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1,292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(20.7%)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13,686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(15.3%)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0.141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1,520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(19.3%)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5,563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(23.5%)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0.102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758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(12.2%)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6,911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(7.7%)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0.148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1,010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(12.8%)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3,552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(15.0%)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0.063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300" w:firstLine="6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 and more,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1,199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(19.2%)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6,558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(7.3%)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0.356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4,762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(60.5%)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9,916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(41.9%)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0.379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>Other recorded diagnoses</w:t>
            </w:r>
            <w:r w:rsidRPr="00F42603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fr-CA"/>
              </w:rPr>
              <w:t>, N (%)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F42603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F42603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Hypertension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5,412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(86.8%)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72,289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(80.9%)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0.160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7,385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(93.8%)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21,687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(91.6%)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0.087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Hyperlipidemia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4,802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(77.0%)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71,126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(79.6%)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0.064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6,065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(77.1%)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19,297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(81.5%)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0.109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Infection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3,354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(53.8%)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43,615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(48.8%)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0.099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5,435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(69.1%)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14,570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(61.5%)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0.159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sz w:val="20"/>
                <w:szCs w:val="20"/>
                <w:lang w:val="fr-CA" w:eastAsia="fr-CA"/>
              </w:rPr>
              <w:t xml:space="preserve">Mental disorders 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1,646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(26.4%)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22,663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(25.4%)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0.023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3,312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(42.1%)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9,016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(38.1%)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0.082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Chronic pulmonary disease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1,417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(22.7%)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13,944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(15.6%)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0.181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3,502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(44.5%)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7,440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(31.4%)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0.272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Obesity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685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(11.0%)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13,609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(15.2%)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0.126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1,153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(14.6%)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3,998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(16.9%)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0.061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Renal failure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1,172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(18.8%)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9,114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(10.2%)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0.246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3,101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(39.4%)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6,137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(25.9%)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0.291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Cancer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884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(14.2%)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8,894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(10.0%)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0.130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1,258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(16.0%)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3,056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(12.9%)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0.088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Peripheral vascular disorders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1,183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(19.0%)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8,318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(9.3%)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0.280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2,702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(34.3%)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6,183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(26.1%)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0.180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Fluid and electrolyte disorders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821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(13.2%)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6,776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(7.6%)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0.184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2,533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(32.2%)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5,078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(21.4%)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0.244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 xml:space="preserve">Smoking 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566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(9.1%)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6,828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(7.6%)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0.052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801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(10.2%)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2,646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(11.2%)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0.032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Deficiency anemia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535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(8.6%)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5,225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0.106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1,450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(18.4%)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3,041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(12.8%)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0.154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Neuropathy/peripheral neuropathy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379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(6.1%)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4,057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(4.5%)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0.069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741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(9.4%)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1,912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(8.1%)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0.047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 xml:space="preserve">Rheumatoid arthritis/collagen </w:t>
            </w:r>
          </w:p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vascular diseases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336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4,145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(4.6%)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0.034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552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(7.0%)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1,567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(6.6%)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0.016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firstLineChars="200" w:firstLine="400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lastRenderedPageBreak/>
              <w:t>Erectile dysfunction, organic origin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228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(3.7%)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3,483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(3.9%)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0.013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175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(2.2%)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752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(3.2%)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0.059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left="290" w:firstLineChars="38" w:firstLine="76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Coagulopathy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247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(4.0%)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1,868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(2.1%)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0.109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736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(9.4%)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1,470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(6.2%)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0.118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74D" w:rsidRDefault="002B074D" w:rsidP="008E6EB6">
            <w:pPr>
              <w:spacing w:after="0" w:line="240" w:lineRule="auto"/>
              <w:ind w:left="380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 xml:space="preserve">Phlebitis and thrombophlebitis </w:t>
            </w:r>
          </w:p>
          <w:p w:rsidR="002B074D" w:rsidRPr="00D37D6B" w:rsidRDefault="002B074D" w:rsidP="008E6EB6">
            <w:pPr>
              <w:spacing w:after="0" w:line="240" w:lineRule="auto"/>
              <w:ind w:left="380"/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eastAsia="fr-CA"/>
              </w:rPr>
              <w:t>and other venous embolism/thrombosis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222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(3.6%)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1,742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(1.9%)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0.098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618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(7.9%)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1,267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(5.4%)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0.101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left="290" w:firstLineChars="38" w:firstLine="76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Pulmonary circulation disorder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213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(3.4%)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1,325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(1.5%)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0.125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1,134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(14.4%)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1,854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0.210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left="290" w:firstLineChars="38" w:firstLine="76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Orthostatic hypotension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217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(3.5%)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1,528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(1.7%)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0.111 ‡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954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(12.1%)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1,847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(7.8%)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0.145 ‡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left="290" w:firstLineChars="38" w:firstLine="76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Alcohol abuse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(1.3%)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943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(1.1%)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0.018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154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(2.0%)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408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(1.7%)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0.017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left="290" w:firstLineChars="38" w:firstLine="76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Drug abuse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(1.2%)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881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(1.0%)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0.018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175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(2.2%)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439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(1.9%)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0.026</w:t>
            </w:r>
          </w:p>
        </w:tc>
      </w:tr>
      <w:tr w:rsidR="002B074D" w:rsidRPr="00DC7A59" w:rsidTr="00AB522F">
        <w:trPr>
          <w:gridBefore w:val="1"/>
          <w:gridAfter w:val="10"/>
          <w:wBefore w:w="70" w:type="dxa"/>
          <w:wAfter w:w="10718" w:type="dxa"/>
          <w:trHeight w:val="288"/>
        </w:trPr>
        <w:tc>
          <w:tcPr>
            <w:tcW w:w="36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ind w:left="290" w:firstLineChars="38" w:firstLine="76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Peptic ulcer disease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69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(1.1%)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730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(0.8%)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0.030</w:t>
            </w:r>
          </w:p>
        </w:tc>
        <w:tc>
          <w:tcPr>
            <w:tcW w:w="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181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(2.3%)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379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(1.6%)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074D" w:rsidRPr="00D37D6B" w:rsidRDefault="002B074D" w:rsidP="008E6EB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</w:pPr>
            <w:r w:rsidRPr="00D37D6B">
              <w:rPr>
                <w:rFonts w:eastAsia="Times New Roman" w:cs="Times New Roman"/>
                <w:color w:val="000000"/>
                <w:sz w:val="20"/>
                <w:szCs w:val="20"/>
                <w:lang w:val="fr-CA" w:eastAsia="fr-CA"/>
              </w:rPr>
              <w:t>0.051</w:t>
            </w:r>
          </w:p>
        </w:tc>
      </w:tr>
    </w:tbl>
    <w:p w:rsidR="002B074D" w:rsidRDefault="002B074D" w:rsidP="002B074D">
      <w:pPr>
        <w:spacing w:after="160" w:line="259" w:lineRule="auto"/>
        <w:rPr>
          <w:rFonts w:cs="Times New Roman"/>
          <w:b/>
        </w:rPr>
      </w:pPr>
    </w:p>
    <w:p w:rsidR="002B074D" w:rsidRDefault="002B074D" w:rsidP="002B074D">
      <w:pPr>
        <w:spacing w:after="0" w:line="240" w:lineRule="auto"/>
        <w:rPr>
          <w:rFonts w:cs="Times New Roman"/>
          <w:sz w:val="18"/>
          <w:szCs w:val="20"/>
        </w:rPr>
      </w:pPr>
      <w:r w:rsidRPr="0025788C">
        <w:rPr>
          <w:rFonts w:cs="Times New Roman"/>
          <w:b/>
          <w:sz w:val="18"/>
          <w:szCs w:val="20"/>
        </w:rPr>
        <w:t>Abbreviation:</w:t>
      </w:r>
      <w:r w:rsidRPr="00621DF3">
        <w:rPr>
          <w:rFonts w:cs="Times New Roman"/>
          <w:sz w:val="18"/>
          <w:szCs w:val="20"/>
        </w:rPr>
        <w:t xml:space="preserve"> CVD: Cardiovascular disease; </w:t>
      </w:r>
      <w:r w:rsidRPr="003A4061">
        <w:rPr>
          <w:rFonts w:cs="Times New Roman"/>
          <w:sz w:val="18"/>
          <w:szCs w:val="18"/>
        </w:rPr>
        <w:t>MACE: Major adverse cardiovascular events</w:t>
      </w:r>
      <w:r w:rsidRPr="00621DF3">
        <w:rPr>
          <w:rFonts w:cs="Times New Roman"/>
          <w:sz w:val="18"/>
          <w:szCs w:val="20"/>
        </w:rPr>
        <w:t>; SD: Standard deviation</w:t>
      </w:r>
      <w:r>
        <w:rPr>
          <w:rFonts w:cs="Times New Roman"/>
          <w:sz w:val="18"/>
          <w:szCs w:val="20"/>
        </w:rPr>
        <w:t>; Std. diff: Standardized difference</w:t>
      </w:r>
    </w:p>
    <w:p w:rsidR="002B074D" w:rsidRDefault="002B074D" w:rsidP="002B074D">
      <w:pPr>
        <w:spacing w:after="0" w:line="240" w:lineRule="auto"/>
        <w:rPr>
          <w:rFonts w:cs="Times New Roman"/>
          <w:sz w:val="18"/>
          <w:szCs w:val="20"/>
        </w:rPr>
      </w:pPr>
    </w:p>
    <w:p w:rsidR="002B074D" w:rsidRPr="00412435" w:rsidRDefault="002B074D" w:rsidP="002B074D">
      <w:pPr>
        <w:spacing w:after="0" w:line="240" w:lineRule="auto"/>
        <w:rPr>
          <w:rFonts w:cs="Times New Roman"/>
          <w:sz w:val="18"/>
          <w:szCs w:val="20"/>
        </w:rPr>
      </w:pPr>
      <w:r w:rsidRPr="00412435">
        <w:rPr>
          <w:rFonts w:cs="Times New Roman"/>
          <w:sz w:val="18"/>
          <w:szCs w:val="20"/>
        </w:rPr>
        <w:t xml:space="preserve">‡ </w:t>
      </w:r>
      <w:r>
        <w:rPr>
          <w:rFonts w:cs="Times New Roman"/>
          <w:sz w:val="18"/>
          <w:szCs w:val="20"/>
        </w:rPr>
        <w:t>I</w:t>
      </w:r>
      <w:r w:rsidRPr="00412435">
        <w:rPr>
          <w:rFonts w:cs="Times New Roman"/>
          <w:sz w:val="18"/>
          <w:szCs w:val="20"/>
        </w:rPr>
        <w:t>ndicates a standardized difference &gt; 0.1.</w:t>
      </w:r>
    </w:p>
    <w:p w:rsidR="002B074D" w:rsidRPr="00621DF3" w:rsidRDefault="002B074D" w:rsidP="002B074D">
      <w:pPr>
        <w:spacing w:after="0" w:line="240" w:lineRule="auto"/>
        <w:rPr>
          <w:rFonts w:cs="Times New Roman"/>
          <w:sz w:val="18"/>
          <w:szCs w:val="20"/>
        </w:rPr>
      </w:pPr>
    </w:p>
    <w:p w:rsidR="002B074D" w:rsidRDefault="002B074D" w:rsidP="002B074D">
      <w:pPr>
        <w:spacing w:after="0" w:line="240" w:lineRule="auto"/>
        <w:rPr>
          <w:rFonts w:cs="Times New Roman"/>
          <w:sz w:val="18"/>
          <w:szCs w:val="20"/>
        </w:rPr>
      </w:pPr>
      <w:r w:rsidRPr="00621DF3">
        <w:rPr>
          <w:rFonts w:cs="Times New Roman"/>
          <w:sz w:val="18"/>
          <w:szCs w:val="20"/>
        </w:rPr>
        <w:t>[1] Any events among non-fatal myocardial infarction, non-fatal stroke, hospitalization for unstable angina, hospitalization for congestive heart failure, or CVD-related death (i.e., MACE-plus).</w:t>
      </w:r>
    </w:p>
    <w:p w:rsidR="002B074D" w:rsidRPr="00694C6F" w:rsidRDefault="002B074D" w:rsidP="002B074D">
      <w:pPr>
        <w:spacing w:after="0" w:line="240" w:lineRule="auto"/>
        <w:rPr>
          <w:rFonts w:cs="Times New Roman"/>
          <w:sz w:val="18"/>
          <w:szCs w:val="18"/>
        </w:rPr>
      </w:pPr>
      <w:r w:rsidRPr="00694C6F">
        <w:rPr>
          <w:rFonts w:cs="Times New Roman"/>
          <w:sz w:val="18"/>
          <w:szCs w:val="18"/>
        </w:rPr>
        <w:t>[2] In the primary prevention population, there were 6,237 MACE-plus (6.5%), 4,535 MACE (4.7%), and 1,694 CVD-related deaths (1.8%).</w:t>
      </w:r>
    </w:p>
    <w:p w:rsidR="002B074D" w:rsidRPr="003051EE" w:rsidRDefault="002B074D" w:rsidP="002B074D">
      <w:pPr>
        <w:spacing w:after="0" w:line="240" w:lineRule="auto"/>
        <w:rPr>
          <w:rFonts w:cs="Times New Roman"/>
          <w:sz w:val="18"/>
          <w:szCs w:val="18"/>
        </w:rPr>
      </w:pPr>
      <w:r w:rsidRPr="00694C6F">
        <w:rPr>
          <w:rFonts w:cs="Times New Roman"/>
          <w:sz w:val="18"/>
          <w:szCs w:val="18"/>
        </w:rPr>
        <w:t>[3] In the secondary prevention population, there were 7,871 MACE-plus (24.9%), 5,199 MACE (16.5), and 2,598 CVD-related deaths (8.2%).</w:t>
      </w:r>
    </w:p>
    <w:p w:rsidR="006D7DAC" w:rsidRDefault="006D7DAC"/>
    <w:sectPr w:rsidR="006D7DAC" w:rsidSect="002B074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26B45"/>
    <w:multiLevelType w:val="hybridMultilevel"/>
    <w:tmpl w:val="AD6EC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A1109"/>
    <w:multiLevelType w:val="hybridMultilevel"/>
    <w:tmpl w:val="3DE4D74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26061"/>
    <w:multiLevelType w:val="multilevel"/>
    <w:tmpl w:val="863A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71457D"/>
    <w:multiLevelType w:val="hybridMultilevel"/>
    <w:tmpl w:val="AE522DC2"/>
    <w:lvl w:ilvl="0" w:tplc="6AA80E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70E2B"/>
    <w:multiLevelType w:val="hybridMultilevel"/>
    <w:tmpl w:val="644A066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D7D87"/>
    <w:multiLevelType w:val="hybridMultilevel"/>
    <w:tmpl w:val="D23017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CF6CD7"/>
    <w:multiLevelType w:val="hybridMultilevel"/>
    <w:tmpl w:val="2B2EF6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DA5DCB"/>
    <w:multiLevelType w:val="hybridMultilevel"/>
    <w:tmpl w:val="3D8C8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FD202F"/>
    <w:multiLevelType w:val="hybridMultilevel"/>
    <w:tmpl w:val="9A24F81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4AFC38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EA48931E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76614"/>
    <w:multiLevelType w:val="multilevel"/>
    <w:tmpl w:val="C0040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DE34B2"/>
    <w:multiLevelType w:val="hybridMultilevel"/>
    <w:tmpl w:val="88D86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90642"/>
    <w:multiLevelType w:val="hybridMultilevel"/>
    <w:tmpl w:val="1A22FFA0"/>
    <w:lvl w:ilvl="0" w:tplc="4A7E52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43C4F"/>
    <w:multiLevelType w:val="hybridMultilevel"/>
    <w:tmpl w:val="C4209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9C16E0"/>
    <w:multiLevelType w:val="hybridMultilevel"/>
    <w:tmpl w:val="910C1C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34592C"/>
    <w:multiLevelType w:val="hybridMultilevel"/>
    <w:tmpl w:val="1A22FFA0"/>
    <w:lvl w:ilvl="0" w:tplc="4A7E52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5170FB"/>
    <w:multiLevelType w:val="hybridMultilevel"/>
    <w:tmpl w:val="5456F8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8F3566"/>
    <w:multiLevelType w:val="hybridMultilevel"/>
    <w:tmpl w:val="C5943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B0D60"/>
    <w:multiLevelType w:val="hybridMultilevel"/>
    <w:tmpl w:val="8C6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92196"/>
    <w:multiLevelType w:val="hybridMultilevel"/>
    <w:tmpl w:val="3B9E95D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2464ED"/>
    <w:multiLevelType w:val="hybridMultilevel"/>
    <w:tmpl w:val="C6FC3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051D2"/>
    <w:multiLevelType w:val="hybridMultilevel"/>
    <w:tmpl w:val="625485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0F3592"/>
    <w:multiLevelType w:val="hybridMultilevel"/>
    <w:tmpl w:val="71983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E6007B"/>
    <w:multiLevelType w:val="hybridMultilevel"/>
    <w:tmpl w:val="A8A44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9D4F49"/>
    <w:multiLevelType w:val="hybridMultilevel"/>
    <w:tmpl w:val="38AA29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9D1897"/>
    <w:multiLevelType w:val="multilevel"/>
    <w:tmpl w:val="6D70B8C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66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1972384"/>
    <w:multiLevelType w:val="hybridMultilevel"/>
    <w:tmpl w:val="7EF63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27985"/>
    <w:multiLevelType w:val="multilevel"/>
    <w:tmpl w:val="7364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400331B"/>
    <w:multiLevelType w:val="hybridMultilevel"/>
    <w:tmpl w:val="987C7C64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870C46"/>
    <w:multiLevelType w:val="hybridMultilevel"/>
    <w:tmpl w:val="24E2528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4AFC38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F74EFF"/>
    <w:multiLevelType w:val="hybridMultilevel"/>
    <w:tmpl w:val="A73E899C"/>
    <w:lvl w:ilvl="0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62545CD"/>
    <w:multiLevelType w:val="hybridMultilevel"/>
    <w:tmpl w:val="2590723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87E5175"/>
    <w:multiLevelType w:val="hybridMultilevel"/>
    <w:tmpl w:val="D88AC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142C6"/>
    <w:multiLevelType w:val="hybridMultilevel"/>
    <w:tmpl w:val="691E3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8A136F"/>
    <w:multiLevelType w:val="hybridMultilevel"/>
    <w:tmpl w:val="91FC0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D61AC"/>
    <w:multiLevelType w:val="hybridMultilevel"/>
    <w:tmpl w:val="FBB4E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0"/>
  </w:num>
  <w:num w:numId="4">
    <w:abstractNumId w:val="15"/>
  </w:num>
  <w:num w:numId="5">
    <w:abstractNumId w:val="23"/>
  </w:num>
  <w:num w:numId="6">
    <w:abstractNumId w:val="30"/>
  </w:num>
  <w:num w:numId="7">
    <w:abstractNumId w:val="20"/>
  </w:num>
  <w:num w:numId="8">
    <w:abstractNumId w:val="18"/>
  </w:num>
  <w:num w:numId="9">
    <w:abstractNumId w:val="1"/>
  </w:num>
  <w:num w:numId="10">
    <w:abstractNumId w:val="6"/>
  </w:num>
  <w:num w:numId="11">
    <w:abstractNumId w:val="3"/>
  </w:num>
  <w:num w:numId="12">
    <w:abstractNumId w:val="16"/>
  </w:num>
  <w:num w:numId="13">
    <w:abstractNumId w:val="5"/>
  </w:num>
  <w:num w:numId="14">
    <w:abstractNumId w:val="13"/>
  </w:num>
  <w:num w:numId="15">
    <w:abstractNumId w:val="24"/>
  </w:num>
  <w:num w:numId="16">
    <w:abstractNumId w:val="8"/>
  </w:num>
  <w:num w:numId="17">
    <w:abstractNumId w:val="28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11"/>
  </w:num>
  <w:num w:numId="20">
    <w:abstractNumId w:val="10"/>
  </w:num>
  <w:num w:numId="21">
    <w:abstractNumId w:val="34"/>
  </w:num>
  <w:num w:numId="22">
    <w:abstractNumId w:val="21"/>
  </w:num>
  <w:num w:numId="23">
    <w:abstractNumId w:val="19"/>
  </w:num>
  <w:num w:numId="24">
    <w:abstractNumId w:val="17"/>
  </w:num>
  <w:num w:numId="25">
    <w:abstractNumId w:val="31"/>
  </w:num>
  <w:num w:numId="26">
    <w:abstractNumId w:val="22"/>
  </w:num>
  <w:num w:numId="27">
    <w:abstractNumId w:val="7"/>
  </w:num>
  <w:num w:numId="28">
    <w:abstractNumId w:val="29"/>
  </w:num>
  <w:num w:numId="29">
    <w:abstractNumId w:val="12"/>
  </w:num>
  <w:num w:numId="30">
    <w:abstractNumId w:val="2"/>
  </w:num>
  <w:num w:numId="31">
    <w:abstractNumId w:val="14"/>
  </w:num>
  <w:num w:numId="32">
    <w:abstractNumId w:val="26"/>
  </w:num>
  <w:num w:numId="33">
    <w:abstractNumId w:val="4"/>
  </w:num>
  <w:num w:numId="34">
    <w:abstractNumId w:val="27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74D"/>
    <w:rsid w:val="002B074D"/>
    <w:rsid w:val="005D2E12"/>
    <w:rsid w:val="006D7DAC"/>
    <w:rsid w:val="00AB522F"/>
    <w:rsid w:val="00CA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9ECA6"/>
  <w15:chartTrackingRefBased/>
  <w15:docId w15:val="{6D5F987E-8919-45C9-857B-E58604FC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3" w:unhideWhenUsed="1" w:qFormat="1"/>
    <w:lsdException w:name="heading 4" w:semiHidden="1" w:uiPriority="4" w:unhideWhenUsed="1" w:qFormat="1"/>
    <w:lsdException w:name="heading 5" w:semiHidden="1" w:uiPriority="9" w:unhideWhenUsed="1" w:qFormat="1"/>
    <w:lsdException w:name="heading 6" w:semiHidden="1" w:uiPriority="5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74D"/>
    <w:pPr>
      <w:spacing w:after="200" w:line="276" w:lineRule="auto"/>
    </w:pPr>
    <w:rPr>
      <w:rFonts w:ascii="Times New Roman" w:hAnsi="Times New Roman"/>
    </w:rPr>
  </w:style>
  <w:style w:type="paragraph" w:styleId="Heading1">
    <w:name w:val="heading 1"/>
    <w:aliases w:val="AG Heading 1"/>
    <w:basedOn w:val="Normal"/>
    <w:next w:val="Normal"/>
    <w:link w:val="Heading1Char"/>
    <w:uiPriority w:val="1"/>
    <w:qFormat/>
    <w:rsid w:val="002B074D"/>
    <w:pPr>
      <w:keepNext/>
      <w:numPr>
        <w:numId w:val="15"/>
      </w:numPr>
      <w:spacing w:before="480" w:after="120" w:line="264" w:lineRule="auto"/>
      <w:outlineLvl w:val="0"/>
    </w:pPr>
    <w:rPr>
      <w:rFonts w:ascii="Arial" w:eastAsia="Times New Roman" w:hAnsi="Arial" w:cs="Times New Roman"/>
      <w:b/>
      <w:caps/>
      <w:color w:val="44546A" w:themeColor="text2"/>
      <w:sz w:val="24"/>
      <w:szCs w:val="24"/>
    </w:rPr>
  </w:style>
  <w:style w:type="paragraph" w:styleId="Heading2">
    <w:name w:val="heading 2"/>
    <w:aliases w:val="AG Heading 2,(A.)"/>
    <w:basedOn w:val="Normal"/>
    <w:next w:val="Normal"/>
    <w:link w:val="Heading2Char"/>
    <w:qFormat/>
    <w:rsid w:val="002B074D"/>
    <w:pPr>
      <w:keepNext/>
      <w:numPr>
        <w:ilvl w:val="1"/>
        <w:numId w:val="15"/>
      </w:numPr>
      <w:spacing w:before="360" w:after="120" w:line="264" w:lineRule="auto"/>
      <w:outlineLvl w:val="1"/>
    </w:pPr>
    <w:rPr>
      <w:rFonts w:ascii="Arial" w:eastAsia="Times New Roman" w:hAnsi="Arial" w:cs="Times New Roman"/>
      <w:b/>
      <w:color w:val="44546A" w:themeColor="text2"/>
    </w:rPr>
  </w:style>
  <w:style w:type="paragraph" w:styleId="Heading3">
    <w:name w:val="heading 3"/>
    <w:aliases w:val="AG Heading 3"/>
    <w:basedOn w:val="Normal"/>
    <w:next w:val="Normal"/>
    <w:link w:val="Heading3Char"/>
    <w:uiPriority w:val="3"/>
    <w:qFormat/>
    <w:rsid w:val="002B074D"/>
    <w:pPr>
      <w:keepNext/>
      <w:numPr>
        <w:ilvl w:val="2"/>
        <w:numId w:val="15"/>
      </w:numPr>
      <w:spacing w:before="360" w:after="120" w:line="264" w:lineRule="auto"/>
      <w:outlineLvl w:val="2"/>
    </w:pPr>
    <w:rPr>
      <w:rFonts w:ascii="Arial" w:eastAsia="Times New Roman" w:hAnsi="Arial" w:cs="Times New Roman"/>
      <w:b/>
      <w:i/>
      <w:color w:val="44546A" w:themeColor="text2"/>
    </w:rPr>
  </w:style>
  <w:style w:type="paragraph" w:styleId="Heading4">
    <w:name w:val="heading 4"/>
    <w:aliases w:val="AG Heading 4"/>
    <w:basedOn w:val="Normal"/>
    <w:next w:val="Normal"/>
    <w:link w:val="Heading4Char"/>
    <w:uiPriority w:val="4"/>
    <w:qFormat/>
    <w:rsid w:val="002B074D"/>
    <w:pPr>
      <w:keepNext/>
      <w:numPr>
        <w:ilvl w:val="3"/>
        <w:numId w:val="15"/>
      </w:numPr>
      <w:spacing w:before="360" w:after="120" w:line="264" w:lineRule="auto"/>
      <w:outlineLvl w:val="3"/>
    </w:pPr>
    <w:rPr>
      <w:rFonts w:ascii="Arial" w:eastAsia="Times New Roman" w:hAnsi="Arial" w:cs="Times New Roman"/>
      <w:color w:val="44546A" w:themeColor="text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7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aliases w:val="AG Heading 6"/>
    <w:basedOn w:val="Normal"/>
    <w:next w:val="Normal"/>
    <w:link w:val="Heading6Char"/>
    <w:autoRedefine/>
    <w:uiPriority w:val="5"/>
    <w:qFormat/>
    <w:rsid w:val="002B074D"/>
    <w:pPr>
      <w:numPr>
        <w:ilvl w:val="5"/>
        <w:numId w:val="15"/>
      </w:numPr>
      <w:spacing w:before="360" w:after="120" w:line="264" w:lineRule="auto"/>
      <w:outlineLvl w:val="5"/>
    </w:pPr>
    <w:rPr>
      <w:rFonts w:cs="Times New Roman"/>
      <w:i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2B074D"/>
    <w:pPr>
      <w:keepNext/>
      <w:keepLines/>
      <w:numPr>
        <w:ilvl w:val="6"/>
        <w:numId w:val="15"/>
      </w:numPr>
      <w:spacing w:before="200" w:after="0" w:line="264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2B074D"/>
    <w:pPr>
      <w:keepNext/>
      <w:keepLines/>
      <w:numPr>
        <w:ilvl w:val="7"/>
        <w:numId w:val="15"/>
      </w:numPr>
      <w:spacing w:before="200" w:after="0" w:line="264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2B074D"/>
    <w:pPr>
      <w:keepNext/>
      <w:keepLines/>
      <w:numPr>
        <w:ilvl w:val="8"/>
        <w:numId w:val="15"/>
      </w:numPr>
      <w:spacing w:before="200" w:after="0" w:line="264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AG Heading 1 Char"/>
    <w:basedOn w:val="DefaultParagraphFont"/>
    <w:link w:val="Heading1"/>
    <w:uiPriority w:val="1"/>
    <w:rsid w:val="002B074D"/>
    <w:rPr>
      <w:rFonts w:ascii="Arial" w:eastAsia="Times New Roman" w:hAnsi="Arial" w:cs="Times New Roman"/>
      <w:b/>
      <w:caps/>
      <w:color w:val="44546A" w:themeColor="text2"/>
      <w:sz w:val="24"/>
      <w:szCs w:val="24"/>
    </w:rPr>
  </w:style>
  <w:style w:type="character" w:customStyle="1" w:styleId="Heading2Char">
    <w:name w:val="Heading 2 Char"/>
    <w:aliases w:val="AG Heading 2 Char,(A.) Char"/>
    <w:basedOn w:val="DefaultParagraphFont"/>
    <w:link w:val="Heading2"/>
    <w:rsid w:val="002B074D"/>
    <w:rPr>
      <w:rFonts w:ascii="Arial" w:eastAsia="Times New Roman" w:hAnsi="Arial" w:cs="Times New Roman"/>
      <w:b/>
      <w:color w:val="44546A" w:themeColor="text2"/>
    </w:rPr>
  </w:style>
  <w:style w:type="character" w:customStyle="1" w:styleId="Heading3Char">
    <w:name w:val="Heading 3 Char"/>
    <w:aliases w:val="AG Heading 3 Char"/>
    <w:basedOn w:val="DefaultParagraphFont"/>
    <w:link w:val="Heading3"/>
    <w:uiPriority w:val="3"/>
    <w:rsid w:val="002B074D"/>
    <w:rPr>
      <w:rFonts w:ascii="Arial" w:eastAsia="Times New Roman" w:hAnsi="Arial" w:cs="Times New Roman"/>
      <w:b/>
      <w:i/>
      <w:color w:val="44546A" w:themeColor="text2"/>
    </w:rPr>
  </w:style>
  <w:style w:type="character" w:customStyle="1" w:styleId="Heading4Char">
    <w:name w:val="Heading 4 Char"/>
    <w:aliases w:val="AG Heading 4 Char"/>
    <w:basedOn w:val="DefaultParagraphFont"/>
    <w:link w:val="Heading4"/>
    <w:uiPriority w:val="4"/>
    <w:rsid w:val="002B074D"/>
    <w:rPr>
      <w:rFonts w:ascii="Arial" w:eastAsia="Times New Roman" w:hAnsi="Arial" w:cs="Times New Roman"/>
      <w:color w:val="44546A" w:themeColor="text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74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aliases w:val="AG Heading 6 Char"/>
    <w:basedOn w:val="DefaultParagraphFont"/>
    <w:link w:val="Heading6"/>
    <w:uiPriority w:val="5"/>
    <w:rsid w:val="002B074D"/>
    <w:rPr>
      <w:rFonts w:ascii="Times New Roman" w:hAnsi="Times New Roman" w:cs="Times New Roman"/>
      <w:i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74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74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74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B07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74D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B07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74D"/>
    <w:rPr>
      <w:rFonts w:ascii="Times New Roman" w:hAnsi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2B074D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B074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B074D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B074D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B074D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  <w:style w:type="paragraph" w:customStyle="1" w:styleId="EndNoteBibliographyTitle">
    <w:name w:val="EndNote Bibliography Title"/>
    <w:basedOn w:val="Normal"/>
    <w:link w:val="EndNoteBibliographyTitleChar"/>
    <w:rsid w:val="002B074D"/>
    <w:pPr>
      <w:spacing w:after="0"/>
      <w:jc w:val="center"/>
    </w:pPr>
    <w:rPr>
      <w:rFonts w:cs="Times New Roman"/>
      <w:noProof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B074D"/>
    <w:rPr>
      <w:rFonts w:ascii="Times New Roman" w:hAnsi="Times New Roman"/>
    </w:rPr>
  </w:style>
  <w:style w:type="character" w:customStyle="1" w:styleId="EndNoteBibliographyTitleChar">
    <w:name w:val="EndNote Bibliography Title Char"/>
    <w:basedOn w:val="ListParagraphChar"/>
    <w:link w:val="EndNoteBibliographyTitle"/>
    <w:rsid w:val="002B074D"/>
    <w:rPr>
      <w:rFonts w:ascii="Times New Roman" w:hAnsi="Times New Roman" w:cs="Times New Roman"/>
      <w:noProof/>
      <w:sz w:val="24"/>
    </w:rPr>
  </w:style>
  <w:style w:type="paragraph" w:customStyle="1" w:styleId="EndNoteBibliography">
    <w:name w:val="EndNote Bibliography"/>
    <w:basedOn w:val="Normal"/>
    <w:link w:val="EndNoteBibliographyChar"/>
    <w:rsid w:val="002B074D"/>
    <w:pPr>
      <w:spacing w:line="480" w:lineRule="auto"/>
    </w:pPr>
    <w:rPr>
      <w:rFonts w:cs="Times New Roman"/>
      <w:noProof/>
      <w:sz w:val="24"/>
    </w:rPr>
  </w:style>
  <w:style w:type="character" w:customStyle="1" w:styleId="EndNoteBibliographyChar">
    <w:name w:val="EndNote Bibliography Char"/>
    <w:basedOn w:val="ListParagraphChar"/>
    <w:link w:val="EndNoteBibliography"/>
    <w:rsid w:val="002B074D"/>
    <w:rPr>
      <w:rFonts w:ascii="Times New Roman" w:hAnsi="Times New Roman" w:cs="Times New Roma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4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2B07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07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074D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07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074D"/>
    <w:rPr>
      <w:rFonts w:ascii="Times New Roman" w:hAnsi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B074D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2B074D"/>
    <w:pPr>
      <w:spacing w:after="0" w:line="240" w:lineRule="auto"/>
    </w:pPr>
    <w:rPr>
      <w:rFonts w:ascii="Times New Roman" w:hAnsi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2B074D"/>
    <w:rPr>
      <w:color w:val="954F72" w:themeColor="followedHyperlink"/>
      <w:u w:val="single"/>
    </w:rPr>
  </w:style>
  <w:style w:type="paragraph" w:customStyle="1" w:styleId="AGDash">
    <w:name w:val="AG Dash"/>
    <w:basedOn w:val="ListParagraph"/>
    <w:uiPriority w:val="6"/>
    <w:qFormat/>
    <w:rsid w:val="002B074D"/>
    <w:pPr>
      <w:spacing w:before="120" w:after="120" w:line="264" w:lineRule="auto"/>
      <w:ind w:left="0"/>
    </w:pPr>
    <w:rPr>
      <w:rFonts w:eastAsia="Times New Roman" w:cs="Times New Roman"/>
    </w:rPr>
  </w:style>
  <w:style w:type="paragraph" w:styleId="FootnoteText">
    <w:name w:val="footnote text"/>
    <w:aliases w:val="AG Footnote Text"/>
    <w:basedOn w:val="Normal"/>
    <w:link w:val="FootnoteTextChar"/>
    <w:autoRedefine/>
    <w:uiPriority w:val="99"/>
    <w:rsid w:val="002B074D"/>
    <w:pPr>
      <w:keepLines/>
      <w:spacing w:after="0" w:line="240" w:lineRule="auto"/>
    </w:pPr>
    <w:rPr>
      <w:rFonts w:eastAsia="Times New Roman" w:cs="Times New Roman"/>
      <w:sz w:val="20"/>
    </w:rPr>
  </w:style>
  <w:style w:type="character" w:customStyle="1" w:styleId="FootnoteTextChar">
    <w:name w:val="Footnote Text Char"/>
    <w:aliases w:val="AG Footnote Text Char"/>
    <w:basedOn w:val="DefaultParagraphFont"/>
    <w:link w:val="FootnoteText"/>
    <w:uiPriority w:val="99"/>
    <w:rsid w:val="002B074D"/>
    <w:rPr>
      <w:rFonts w:ascii="Times New Roman" w:eastAsia="Times New Roman" w:hAnsi="Times New Roman" w:cs="Times New Roman"/>
      <w:sz w:val="20"/>
    </w:rPr>
  </w:style>
  <w:style w:type="character" w:styleId="FootnoteReference">
    <w:name w:val="footnote reference"/>
    <w:basedOn w:val="DefaultParagraphFont"/>
    <w:uiPriority w:val="99"/>
    <w:rsid w:val="002B074D"/>
    <w:rPr>
      <w:vertAlign w:val="superscript"/>
    </w:rPr>
  </w:style>
  <w:style w:type="character" w:customStyle="1" w:styleId="cit-source">
    <w:name w:val="cit-source"/>
    <w:basedOn w:val="DefaultParagraphFont"/>
    <w:rsid w:val="002B074D"/>
  </w:style>
  <w:style w:type="character" w:styleId="Emphasis">
    <w:name w:val="Emphasis"/>
    <w:basedOn w:val="DefaultParagraphFont"/>
    <w:uiPriority w:val="20"/>
    <w:qFormat/>
    <w:rsid w:val="002B074D"/>
    <w:rPr>
      <w:i/>
      <w:iCs/>
    </w:rPr>
  </w:style>
  <w:style w:type="character" w:customStyle="1" w:styleId="cit-pub-date">
    <w:name w:val="cit-pub-date"/>
    <w:basedOn w:val="DefaultParagraphFont"/>
    <w:rsid w:val="002B074D"/>
  </w:style>
  <w:style w:type="character" w:customStyle="1" w:styleId="cit-vol">
    <w:name w:val="cit-vol"/>
    <w:basedOn w:val="DefaultParagraphFont"/>
    <w:rsid w:val="002B074D"/>
  </w:style>
  <w:style w:type="character" w:customStyle="1" w:styleId="cit-fpage">
    <w:name w:val="cit-fpage"/>
    <w:basedOn w:val="DefaultParagraphFont"/>
    <w:rsid w:val="002B074D"/>
  </w:style>
  <w:style w:type="table" w:customStyle="1" w:styleId="TableGridLight1">
    <w:name w:val="Table Grid Light1"/>
    <w:basedOn w:val="TableNormal"/>
    <w:uiPriority w:val="40"/>
    <w:rsid w:val="002B074D"/>
    <w:pPr>
      <w:spacing w:after="0" w:line="240" w:lineRule="auto"/>
    </w:pPr>
    <w:rPr>
      <w:lang w:val="fr-C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sonormal0">
    <w:name w:val="msonormal"/>
    <w:basedOn w:val="Normal"/>
    <w:rsid w:val="002B074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font5">
    <w:name w:val="font5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9"/>
      <w:szCs w:val="19"/>
    </w:rPr>
  </w:style>
  <w:style w:type="paragraph" w:customStyle="1" w:styleId="font6">
    <w:name w:val="font6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9"/>
      <w:szCs w:val="19"/>
    </w:rPr>
  </w:style>
  <w:style w:type="paragraph" w:customStyle="1" w:styleId="font7">
    <w:name w:val="font7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9"/>
      <w:szCs w:val="19"/>
    </w:rPr>
  </w:style>
  <w:style w:type="paragraph" w:customStyle="1" w:styleId="font8">
    <w:name w:val="font8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9"/>
      <w:szCs w:val="19"/>
    </w:rPr>
  </w:style>
  <w:style w:type="paragraph" w:customStyle="1" w:styleId="font9">
    <w:name w:val="font9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color w:val="000000"/>
      <w:sz w:val="19"/>
      <w:szCs w:val="19"/>
    </w:rPr>
  </w:style>
  <w:style w:type="paragraph" w:customStyle="1" w:styleId="font10">
    <w:name w:val="font10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</w:rPr>
  </w:style>
  <w:style w:type="paragraph" w:customStyle="1" w:styleId="font11">
    <w:name w:val="font11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sz w:val="19"/>
      <w:szCs w:val="19"/>
    </w:rPr>
  </w:style>
  <w:style w:type="paragraph" w:customStyle="1" w:styleId="font12">
    <w:name w:val="font12"/>
    <w:basedOn w:val="Normal"/>
    <w:rsid w:val="002B074D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color w:val="000000"/>
      <w:sz w:val="19"/>
      <w:szCs w:val="19"/>
    </w:rPr>
  </w:style>
  <w:style w:type="paragraph" w:customStyle="1" w:styleId="font13">
    <w:name w:val="font13"/>
    <w:basedOn w:val="Normal"/>
    <w:rsid w:val="002B074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4">
    <w:name w:val="font14"/>
    <w:basedOn w:val="Normal"/>
    <w:rsid w:val="002B074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66">
    <w:name w:val="xl66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xl67">
    <w:name w:val="xl67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 w:val="19"/>
      <w:szCs w:val="19"/>
    </w:rPr>
  </w:style>
  <w:style w:type="paragraph" w:customStyle="1" w:styleId="xl68">
    <w:name w:val="xl68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b/>
      <w:bCs/>
      <w:sz w:val="19"/>
      <w:szCs w:val="19"/>
    </w:rPr>
  </w:style>
  <w:style w:type="paragraph" w:customStyle="1" w:styleId="xl69">
    <w:name w:val="xl69"/>
    <w:basedOn w:val="Normal"/>
    <w:rsid w:val="002B074D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 w:val="19"/>
      <w:szCs w:val="19"/>
    </w:rPr>
  </w:style>
  <w:style w:type="paragraph" w:customStyle="1" w:styleId="xl70">
    <w:name w:val="xl70"/>
    <w:basedOn w:val="Normal"/>
    <w:rsid w:val="002B074D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4"/>
      <w:szCs w:val="24"/>
    </w:rPr>
  </w:style>
  <w:style w:type="paragraph" w:customStyle="1" w:styleId="xl71">
    <w:name w:val="xl71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 w:val="19"/>
      <w:szCs w:val="19"/>
    </w:rPr>
  </w:style>
  <w:style w:type="paragraph" w:customStyle="1" w:styleId="xl72">
    <w:name w:val="xl72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 w:val="19"/>
      <w:szCs w:val="19"/>
    </w:rPr>
  </w:style>
  <w:style w:type="paragraph" w:customStyle="1" w:styleId="xl73">
    <w:name w:val="xl73"/>
    <w:basedOn w:val="Normal"/>
    <w:rsid w:val="002B074D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b/>
      <w:bCs/>
      <w:sz w:val="19"/>
      <w:szCs w:val="19"/>
    </w:rPr>
  </w:style>
  <w:style w:type="paragraph" w:customStyle="1" w:styleId="xl74">
    <w:name w:val="xl74"/>
    <w:basedOn w:val="Normal"/>
    <w:rsid w:val="002B074D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19"/>
      <w:szCs w:val="19"/>
    </w:rPr>
  </w:style>
  <w:style w:type="paragraph" w:customStyle="1" w:styleId="xl75">
    <w:name w:val="xl75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sz w:val="19"/>
      <w:szCs w:val="19"/>
    </w:rPr>
  </w:style>
  <w:style w:type="paragraph" w:customStyle="1" w:styleId="xl76">
    <w:name w:val="xl76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right"/>
    </w:pPr>
    <w:rPr>
      <w:rFonts w:eastAsia="Times New Roman" w:cs="Times New Roman"/>
      <w:sz w:val="19"/>
      <w:szCs w:val="19"/>
    </w:rPr>
  </w:style>
  <w:style w:type="paragraph" w:customStyle="1" w:styleId="xl77">
    <w:name w:val="xl77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 w:val="19"/>
      <w:szCs w:val="19"/>
    </w:rPr>
  </w:style>
  <w:style w:type="paragraph" w:customStyle="1" w:styleId="xl78">
    <w:name w:val="xl78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79">
    <w:name w:val="xl79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80">
    <w:name w:val="xl80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81">
    <w:name w:val="xl81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right"/>
    </w:pPr>
    <w:rPr>
      <w:rFonts w:eastAsia="Times New Roman" w:cs="Times New Roman"/>
      <w:sz w:val="19"/>
      <w:szCs w:val="19"/>
    </w:rPr>
  </w:style>
  <w:style w:type="paragraph" w:customStyle="1" w:styleId="xl82">
    <w:name w:val="xl82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 w:val="19"/>
      <w:szCs w:val="19"/>
    </w:rPr>
  </w:style>
  <w:style w:type="paragraph" w:customStyle="1" w:styleId="xl83">
    <w:name w:val="xl83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300" w:firstLine="300"/>
    </w:pPr>
    <w:rPr>
      <w:rFonts w:eastAsia="Times New Roman" w:cs="Times New Roman"/>
      <w:sz w:val="19"/>
      <w:szCs w:val="19"/>
    </w:rPr>
  </w:style>
  <w:style w:type="paragraph" w:customStyle="1" w:styleId="xl84">
    <w:name w:val="xl84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i/>
      <w:iCs/>
      <w:sz w:val="19"/>
      <w:szCs w:val="19"/>
    </w:rPr>
  </w:style>
  <w:style w:type="paragraph" w:customStyle="1" w:styleId="xl85">
    <w:name w:val="xl85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400" w:firstLine="400"/>
    </w:pPr>
    <w:rPr>
      <w:rFonts w:eastAsia="Times New Roman" w:cs="Times New Roman"/>
      <w:sz w:val="19"/>
      <w:szCs w:val="19"/>
    </w:rPr>
  </w:style>
  <w:style w:type="paragraph" w:customStyle="1" w:styleId="xl86">
    <w:name w:val="xl86"/>
    <w:basedOn w:val="Normal"/>
    <w:rsid w:val="002B074D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i/>
      <w:iCs/>
      <w:sz w:val="19"/>
      <w:szCs w:val="19"/>
    </w:rPr>
  </w:style>
  <w:style w:type="paragraph" w:customStyle="1" w:styleId="xl87">
    <w:name w:val="xl87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i/>
      <w:iCs/>
      <w:sz w:val="19"/>
      <w:szCs w:val="19"/>
    </w:rPr>
  </w:style>
  <w:style w:type="paragraph" w:customStyle="1" w:styleId="xl88">
    <w:name w:val="xl88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400" w:firstLine="400"/>
    </w:pPr>
    <w:rPr>
      <w:rFonts w:eastAsia="Times New Roman" w:cs="Times New Roman"/>
      <w:sz w:val="19"/>
      <w:szCs w:val="19"/>
    </w:rPr>
  </w:style>
  <w:style w:type="paragraph" w:customStyle="1" w:styleId="xl89">
    <w:name w:val="xl89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eastAsia="Times New Roman" w:cs="Times New Roman"/>
      <w:sz w:val="24"/>
      <w:szCs w:val="24"/>
    </w:rPr>
  </w:style>
  <w:style w:type="paragraph" w:customStyle="1" w:styleId="xl90">
    <w:name w:val="xl90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sz w:val="19"/>
      <w:szCs w:val="19"/>
    </w:rPr>
  </w:style>
  <w:style w:type="paragraph" w:customStyle="1" w:styleId="xl91">
    <w:name w:val="xl91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92">
    <w:name w:val="xl92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sz w:val="19"/>
      <w:szCs w:val="19"/>
    </w:rPr>
  </w:style>
  <w:style w:type="paragraph" w:customStyle="1" w:styleId="xl93">
    <w:name w:val="xl93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i/>
      <w:iCs/>
      <w:sz w:val="19"/>
      <w:szCs w:val="19"/>
    </w:rPr>
  </w:style>
  <w:style w:type="paragraph" w:customStyle="1" w:styleId="xl94">
    <w:name w:val="xl94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300" w:firstLine="300"/>
    </w:pPr>
    <w:rPr>
      <w:rFonts w:eastAsia="Times New Roman" w:cs="Times New Roman"/>
      <w:sz w:val="19"/>
      <w:szCs w:val="19"/>
    </w:rPr>
  </w:style>
  <w:style w:type="paragraph" w:customStyle="1" w:styleId="xl95">
    <w:name w:val="xl95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eastAsia="Times New Roman" w:cs="Times New Roman"/>
      <w:i/>
      <w:iCs/>
      <w:sz w:val="19"/>
      <w:szCs w:val="19"/>
    </w:rPr>
  </w:style>
  <w:style w:type="paragraph" w:customStyle="1" w:styleId="xl96">
    <w:name w:val="xl96"/>
    <w:basedOn w:val="Normal"/>
    <w:rsid w:val="002B074D"/>
    <w:pPr>
      <w:shd w:val="clear" w:color="000000" w:fill="FFFFFF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sz w:val="19"/>
      <w:szCs w:val="19"/>
    </w:rPr>
  </w:style>
  <w:style w:type="paragraph" w:customStyle="1" w:styleId="xl97">
    <w:name w:val="xl97"/>
    <w:basedOn w:val="Normal"/>
    <w:rsid w:val="002B074D"/>
    <w:pPr>
      <w:shd w:val="clear" w:color="000000" w:fill="F2F2F2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xl98">
    <w:name w:val="xl98"/>
    <w:basedOn w:val="Normal"/>
    <w:rsid w:val="002B074D"/>
    <w:pPr>
      <w:shd w:val="clear" w:color="000000" w:fill="F2F2F2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color w:val="000000"/>
      <w:sz w:val="19"/>
      <w:szCs w:val="19"/>
    </w:rPr>
  </w:style>
  <w:style w:type="paragraph" w:customStyle="1" w:styleId="xl99">
    <w:name w:val="xl99"/>
    <w:basedOn w:val="Normal"/>
    <w:rsid w:val="002B074D"/>
    <w:pPr>
      <w:shd w:val="clear" w:color="000000" w:fill="F2F2F2"/>
      <w:spacing w:before="100" w:beforeAutospacing="1" w:after="100" w:afterAutospacing="1" w:line="240" w:lineRule="auto"/>
      <w:jc w:val="right"/>
    </w:pPr>
    <w:rPr>
      <w:rFonts w:eastAsia="Times New Roman" w:cs="Times New Roman"/>
      <w:sz w:val="19"/>
      <w:szCs w:val="19"/>
    </w:rPr>
  </w:style>
  <w:style w:type="paragraph" w:customStyle="1" w:styleId="xl100">
    <w:name w:val="xl100"/>
    <w:basedOn w:val="Normal"/>
    <w:rsid w:val="002B074D"/>
    <w:pPr>
      <w:shd w:val="clear" w:color="000000" w:fill="F2F2F2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101">
    <w:name w:val="xl101"/>
    <w:basedOn w:val="Normal"/>
    <w:rsid w:val="002B074D"/>
    <w:pPr>
      <w:shd w:val="clear" w:color="000000" w:fill="F2F2F2"/>
      <w:spacing w:before="100" w:beforeAutospacing="1" w:after="100" w:afterAutospacing="1" w:line="240" w:lineRule="auto"/>
      <w:jc w:val="right"/>
    </w:pPr>
    <w:rPr>
      <w:rFonts w:eastAsia="Times New Roman" w:cs="Times New Roman"/>
      <w:sz w:val="19"/>
      <w:szCs w:val="19"/>
    </w:rPr>
  </w:style>
  <w:style w:type="paragraph" w:customStyle="1" w:styleId="xl102">
    <w:name w:val="xl102"/>
    <w:basedOn w:val="Normal"/>
    <w:rsid w:val="002B074D"/>
    <w:pPr>
      <w:shd w:val="clear" w:color="000000" w:fill="F2F2F2"/>
      <w:spacing w:before="100" w:beforeAutospacing="1" w:after="100" w:afterAutospacing="1" w:line="240" w:lineRule="auto"/>
    </w:pPr>
    <w:rPr>
      <w:rFonts w:eastAsia="Times New Roman" w:cs="Times New Roman"/>
      <w:sz w:val="19"/>
      <w:szCs w:val="19"/>
    </w:rPr>
  </w:style>
  <w:style w:type="paragraph" w:customStyle="1" w:styleId="xl103">
    <w:name w:val="xl103"/>
    <w:basedOn w:val="Normal"/>
    <w:rsid w:val="002B074D"/>
    <w:pPr>
      <w:shd w:val="clear" w:color="000000" w:fill="F2F2F2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104">
    <w:name w:val="xl104"/>
    <w:basedOn w:val="Normal"/>
    <w:rsid w:val="002B074D"/>
    <w:pPr>
      <w:shd w:val="clear" w:color="000000" w:fill="F2F2F2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sz w:val="19"/>
      <w:szCs w:val="19"/>
    </w:rPr>
  </w:style>
  <w:style w:type="paragraph" w:customStyle="1" w:styleId="xl105">
    <w:name w:val="xl105"/>
    <w:basedOn w:val="Normal"/>
    <w:rsid w:val="002B074D"/>
    <w:pPr>
      <w:shd w:val="clear" w:color="000000" w:fill="F2F2F2"/>
      <w:spacing w:before="100" w:beforeAutospacing="1" w:after="100" w:afterAutospacing="1" w:line="240" w:lineRule="auto"/>
      <w:ind w:firstLineChars="300" w:firstLine="300"/>
    </w:pPr>
    <w:rPr>
      <w:rFonts w:eastAsia="Times New Roman" w:cs="Times New Roman"/>
      <w:sz w:val="19"/>
      <w:szCs w:val="19"/>
    </w:rPr>
  </w:style>
  <w:style w:type="paragraph" w:customStyle="1" w:styleId="xl106">
    <w:name w:val="xl106"/>
    <w:basedOn w:val="Normal"/>
    <w:rsid w:val="002B074D"/>
    <w:pPr>
      <w:shd w:val="clear" w:color="000000" w:fill="F2F2F2"/>
      <w:spacing w:before="100" w:beforeAutospacing="1" w:after="100" w:afterAutospacing="1" w:line="240" w:lineRule="auto"/>
    </w:pPr>
    <w:rPr>
      <w:rFonts w:eastAsia="Times New Roman" w:cs="Times New Roman"/>
      <w:sz w:val="19"/>
      <w:szCs w:val="19"/>
    </w:rPr>
  </w:style>
  <w:style w:type="paragraph" w:customStyle="1" w:styleId="xl107">
    <w:name w:val="xl107"/>
    <w:basedOn w:val="Normal"/>
    <w:rsid w:val="002B074D"/>
    <w:pPr>
      <w:shd w:val="clear" w:color="000000" w:fill="F2F2F2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sz w:val="19"/>
      <w:szCs w:val="19"/>
    </w:rPr>
  </w:style>
  <w:style w:type="paragraph" w:customStyle="1" w:styleId="xl108">
    <w:name w:val="xl108"/>
    <w:basedOn w:val="Normal"/>
    <w:rsid w:val="002B074D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109">
    <w:name w:val="xl109"/>
    <w:basedOn w:val="Normal"/>
    <w:rsid w:val="002B074D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i/>
      <w:iCs/>
      <w:sz w:val="19"/>
      <w:szCs w:val="19"/>
    </w:rPr>
  </w:style>
  <w:style w:type="paragraph" w:customStyle="1" w:styleId="xl110">
    <w:name w:val="xl110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i/>
      <w:iCs/>
      <w:sz w:val="19"/>
      <w:szCs w:val="19"/>
    </w:rPr>
  </w:style>
  <w:style w:type="paragraph" w:customStyle="1" w:styleId="xl111">
    <w:name w:val="xl111"/>
    <w:basedOn w:val="Normal"/>
    <w:rsid w:val="002B074D"/>
    <w:pPr>
      <w:shd w:val="clear" w:color="000000" w:fill="E7E6E6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xl112">
    <w:name w:val="xl112"/>
    <w:basedOn w:val="Normal"/>
    <w:rsid w:val="002B074D"/>
    <w:pPr>
      <w:shd w:val="clear" w:color="000000" w:fill="E7E6E6"/>
      <w:spacing w:before="100" w:beforeAutospacing="1" w:after="100" w:afterAutospacing="1" w:line="240" w:lineRule="auto"/>
      <w:ind w:firstLineChars="200" w:firstLine="200"/>
    </w:pPr>
    <w:rPr>
      <w:rFonts w:eastAsia="Times New Roman" w:cs="Times New Roman"/>
      <w:sz w:val="19"/>
      <w:szCs w:val="19"/>
    </w:rPr>
  </w:style>
  <w:style w:type="paragraph" w:customStyle="1" w:styleId="xl113">
    <w:name w:val="xl113"/>
    <w:basedOn w:val="Normal"/>
    <w:rsid w:val="002B074D"/>
    <w:pPr>
      <w:shd w:val="clear" w:color="000000" w:fill="E7E6E6"/>
      <w:spacing w:before="100" w:beforeAutospacing="1" w:after="100" w:afterAutospacing="1" w:line="240" w:lineRule="auto"/>
      <w:jc w:val="right"/>
    </w:pPr>
    <w:rPr>
      <w:rFonts w:eastAsia="Times New Roman" w:cs="Times New Roman"/>
      <w:sz w:val="19"/>
      <w:szCs w:val="19"/>
    </w:rPr>
  </w:style>
  <w:style w:type="paragraph" w:customStyle="1" w:styleId="xl114">
    <w:name w:val="xl114"/>
    <w:basedOn w:val="Normal"/>
    <w:rsid w:val="002B074D"/>
    <w:pPr>
      <w:shd w:val="clear" w:color="000000" w:fill="E7E6E6"/>
      <w:spacing w:before="100" w:beforeAutospacing="1" w:after="100" w:afterAutospacing="1" w:line="240" w:lineRule="auto"/>
    </w:pPr>
    <w:rPr>
      <w:rFonts w:eastAsia="Times New Roman" w:cs="Times New Roman"/>
      <w:sz w:val="19"/>
      <w:szCs w:val="19"/>
    </w:rPr>
  </w:style>
  <w:style w:type="paragraph" w:customStyle="1" w:styleId="xl115">
    <w:name w:val="xl115"/>
    <w:basedOn w:val="Normal"/>
    <w:rsid w:val="002B074D"/>
    <w:pPr>
      <w:shd w:val="clear" w:color="000000" w:fill="E7E6E6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116">
    <w:name w:val="xl116"/>
    <w:basedOn w:val="Normal"/>
    <w:rsid w:val="002B074D"/>
    <w:pPr>
      <w:shd w:val="clear" w:color="000000" w:fill="E7E6E6"/>
      <w:spacing w:before="100" w:beforeAutospacing="1" w:after="100" w:afterAutospacing="1" w:line="240" w:lineRule="auto"/>
      <w:jc w:val="center"/>
    </w:pPr>
    <w:rPr>
      <w:rFonts w:eastAsia="Times New Roman" w:cs="Times New Roman"/>
      <w:sz w:val="19"/>
      <w:szCs w:val="19"/>
    </w:rPr>
  </w:style>
  <w:style w:type="paragraph" w:customStyle="1" w:styleId="xl117">
    <w:name w:val="xl117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9"/>
      <w:szCs w:val="19"/>
    </w:rPr>
  </w:style>
  <w:style w:type="paragraph" w:customStyle="1" w:styleId="xl118">
    <w:name w:val="xl118"/>
    <w:basedOn w:val="Normal"/>
    <w:rsid w:val="002B074D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9"/>
      <w:szCs w:val="19"/>
    </w:rPr>
  </w:style>
  <w:style w:type="paragraph" w:customStyle="1" w:styleId="xl119">
    <w:name w:val="xl119"/>
    <w:basedOn w:val="Normal"/>
    <w:rsid w:val="002B074D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9"/>
      <w:szCs w:val="19"/>
    </w:rPr>
  </w:style>
  <w:style w:type="table" w:styleId="TableGrid">
    <w:name w:val="Table Grid"/>
    <w:basedOn w:val="TableNormal"/>
    <w:uiPriority w:val="39"/>
    <w:rsid w:val="002B0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20">
    <w:name w:val="xl120"/>
    <w:basedOn w:val="Normal"/>
    <w:rsid w:val="002B074D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9"/>
      <w:szCs w:val="19"/>
    </w:rPr>
  </w:style>
  <w:style w:type="numbering" w:customStyle="1" w:styleId="NoList1">
    <w:name w:val="No List1"/>
    <w:next w:val="NoList"/>
    <w:uiPriority w:val="99"/>
    <w:semiHidden/>
    <w:unhideWhenUsed/>
    <w:rsid w:val="002B074D"/>
  </w:style>
  <w:style w:type="paragraph" w:customStyle="1" w:styleId="xl121">
    <w:name w:val="xl121"/>
    <w:basedOn w:val="Normal"/>
    <w:rsid w:val="002B074D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9"/>
      <w:szCs w:val="19"/>
    </w:rPr>
  </w:style>
  <w:style w:type="paragraph" w:customStyle="1" w:styleId="xl122">
    <w:name w:val="xl122"/>
    <w:basedOn w:val="Normal"/>
    <w:rsid w:val="002B074D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9"/>
      <w:szCs w:val="19"/>
    </w:rPr>
  </w:style>
  <w:style w:type="character" w:styleId="Strong">
    <w:name w:val="Strong"/>
    <w:basedOn w:val="DefaultParagraphFont"/>
    <w:uiPriority w:val="22"/>
    <w:qFormat/>
    <w:rsid w:val="002B074D"/>
    <w:rPr>
      <w:b/>
      <w:bCs/>
      <w:sz w:val="24"/>
      <w:szCs w:val="24"/>
      <w:bdr w:val="none" w:sz="0" w:space="0" w:color="auto" w:frame="1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Analysis Group</Company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Rochette</dc:creator>
  <cp:keywords/>
  <dc:description/>
  <cp:lastModifiedBy>Analysis Group, Inc.</cp:lastModifiedBy>
  <cp:revision>4</cp:revision>
  <dcterms:created xsi:type="dcterms:W3CDTF">2018-03-28T16:55:00Z</dcterms:created>
  <dcterms:modified xsi:type="dcterms:W3CDTF">2018-05-25T13:20:00Z</dcterms:modified>
</cp:coreProperties>
</file>