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12" w:rsidRPr="00D91983" w:rsidRDefault="00D26E61">
      <w:pPr>
        <w:rPr>
          <w:rFonts w:ascii="Arial" w:hAnsi="Arial" w:cs="Arial"/>
          <w:sz w:val="20"/>
          <w:szCs w:val="20"/>
        </w:rPr>
      </w:pPr>
      <w:r w:rsidRPr="00D91983">
        <w:rPr>
          <w:rFonts w:ascii="Arial" w:hAnsi="Arial" w:cs="Arial"/>
          <w:sz w:val="20"/>
          <w:szCs w:val="20"/>
        </w:rPr>
        <w:t xml:space="preserve">Table </w:t>
      </w:r>
      <w:r>
        <w:rPr>
          <w:rFonts w:ascii="Arial" w:hAnsi="Arial" w:cs="Arial"/>
          <w:sz w:val="20"/>
          <w:szCs w:val="20"/>
        </w:rPr>
        <w:t>S</w:t>
      </w:r>
      <w:r w:rsidR="00681167">
        <w:rPr>
          <w:rFonts w:ascii="Arial" w:hAnsi="Arial" w:cs="Arial"/>
          <w:sz w:val="20"/>
          <w:szCs w:val="20"/>
        </w:rPr>
        <w:t>2</w:t>
      </w:r>
      <w:r w:rsidR="00983020" w:rsidRPr="00D91983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983020" w:rsidRPr="00D91983">
        <w:rPr>
          <w:rFonts w:ascii="Arial" w:hAnsi="Arial" w:cs="Arial"/>
          <w:sz w:val="20"/>
          <w:szCs w:val="20"/>
        </w:rPr>
        <w:t>Distribution</w:t>
      </w:r>
      <w:r w:rsidR="0056334F" w:rsidRPr="00D91983">
        <w:rPr>
          <w:rFonts w:ascii="Arial" w:hAnsi="Arial" w:cs="Arial"/>
          <w:sz w:val="20"/>
          <w:szCs w:val="20"/>
        </w:rPr>
        <w:t xml:space="preserve"> </w:t>
      </w:r>
      <w:r w:rsidR="00983020" w:rsidRPr="00D91983">
        <w:rPr>
          <w:rFonts w:ascii="Arial" w:hAnsi="Arial" w:cs="Arial"/>
          <w:sz w:val="20"/>
          <w:szCs w:val="20"/>
        </w:rPr>
        <w:t xml:space="preserve">according to study variables of propensity score–matched </w:t>
      </w:r>
      <w:r w:rsidR="001D7DFB" w:rsidRPr="00D91983">
        <w:rPr>
          <w:rFonts w:ascii="Arial" w:hAnsi="Arial" w:cs="Arial"/>
          <w:sz w:val="20"/>
          <w:szCs w:val="20"/>
        </w:rPr>
        <w:t>T2DM</w:t>
      </w:r>
      <w:r w:rsidR="00983020" w:rsidRPr="00D91983">
        <w:rPr>
          <w:rFonts w:ascii="Arial" w:hAnsi="Arial" w:cs="Arial"/>
          <w:sz w:val="20"/>
          <w:szCs w:val="20"/>
        </w:rPr>
        <w:t xml:space="preserve"> and </w:t>
      </w:r>
      <w:r w:rsidR="001D7DFB" w:rsidRPr="00D91983">
        <w:rPr>
          <w:rFonts w:ascii="Arial" w:hAnsi="Arial" w:cs="Arial"/>
          <w:sz w:val="20"/>
          <w:szCs w:val="20"/>
        </w:rPr>
        <w:t xml:space="preserve">non-T2DM </w:t>
      </w:r>
      <w:r w:rsidR="00EB7C93">
        <w:rPr>
          <w:rFonts w:ascii="Arial" w:hAnsi="Arial" w:cs="Arial"/>
          <w:sz w:val="20"/>
          <w:szCs w:val="20"/>
        </w:rPr>
        <w:t xml:space="preserve">patients </w:t>
      </w:r>
      <w:r w:rsidR="00983020" w:rsidRPr="00D91983">
        <w:rPr>
          <w:rFonts w:ascii="Arial" w:hAnsi="Arial" w:cs="Arial"/>
          <w:sz w:val="20"/>
          <w:szCs w:val="20"/>
        </w:rPr>
        <w:t xml:space="preserve">who underwent a </w:t>
      </w:r>
      <w:r w:rsidR="00DB7E6B" w:rsidRPr="00D91983">
        <w:rPr>
          <w:rFonts w:ascii="Arial" w:hAnsi="Arial" w:cs="Arial"/>
          <w:sz w:val="20"/>
          <w:szCs w:val="20"/>
        </w:rPr>
        <w:t>mechanical</w:t>
      </w:r>
      <w:r w:rsidR="00983020" w:rsidRPr="00D91983">
        <w:rPr>
          <w:rFonts w:ascii="Arial" w:hAnsi="Arial" w:cs="Arial"/>
          <w:sz w:val="20"/>
          <w:szCs w:val="20"/>
        </w:rPr>
        <w:t xml:space="preserve"> surgical </w:t>
      </w:r>
      <w:r w:rsidR="001D7DFB" w:rsidRPr="00D91983">
        <w:rPr>
          <w:rFonts w:ascii="Arial" w:hAnsi="Arial" w:cs="Arial"/>
          <w:sz w:val="20"/>
          <w:szCs w:val="20"/>
        </w:rPr>
        <w:t>mitral</w:t>
      </w:r>
      <w:r w:rsidR="00983020" w:rsidRPr="00D91983">
        <w:rPr>
          <w:rFonts w:ascii="Arial" w:hAnsi="Arial" w:cs="Arial"/>
          <w:sz w:val="20"/>
          <w:szCs w:val="20"/>
        </w:rPr>
        <w:t xml:space="preserve"> valve replacement.</w:t>
      </w:r>
      <w:proofErr w:type="gramEnd"/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877"/>
        <w:gridCol w:w="1701"/>
        <w:gridCol w:w="2694"/>
        <w:gridCol w:w="1149"/>
      </w:tblGrid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noWrap/>
            <w:vAlign w:val="center"/>
            <w:hideMark/>
          </w:tcPr>
          <w:p w:rsidR="004510A6" w:rsidRPr="00901F12" w:rsidRDefault="004510A6" w:rsidP="00D91983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510A6" w:rsidRPr="00901F12" w:rsidRDefault="004510A6" w:rsidP="00D91983">
            <w:pPr>
              <w:spacing w:after="0" w:line="240" w:lineRule="atLeas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T2DM</w:t>
            </w:r>
            <w:r w:rsid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D91983"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(2232)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4510A6" w:rsidRPr="00901F12" w:rsidRDefault="00B43DD8" w:rsidP="00D91983">
            <w:pPr>
              <w:spacing w:after="0" w:line="240" w:lineRule="atLeas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Matched </w:t>
            </w:r>
            <w:r w:rsidR="004510A6"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</w:t>
            </w:r>
            <w:r w:rsidR="004510A6"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 T2DM</w:t>
            </w:r>
            <w:r w:rsidR="004510A6"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r w:rsid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2232</w:t>
            </w:r>
            <w:r w:rsidR="004510A6"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4510A6" w:rsidRPr="00901F12" w:rsidRDefault="004510A6" w:rsidP="00D91983">
            <w:pPr>
              <w:spacing w:after="0" w:line="240" w:lineRule="atLeast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D91983" w:rsidRPr="00D91983" w:rsidTr="00D91983">
        <w:trPr>
          <w:trHeight w:val="293"/>
        </w:trPr>
        <w:tc>
          <w:tcPr>
            <w:tcW w:w="2376" w:type="dxa"/>
            <w:vMerge w:val="restart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Time period</w:t>
            </w:r>
          </w:p>
        </w:tc>
        <w:tc>
          <w:tcPr>
            <w:tcW w:w="1877" w:type="dxa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2001/05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709(31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77)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724(32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44)</w:t>
            </w:r>
          </w:p>
        </w:tc>
        <w:tc>
          <w:tcPr>
            <w:tcW w:w="1149" w:type="dxa"/>
            <w:vMerge w:val="restart"/>
            <w:shd w:val="clear" w:color="auto" w:fill="auto"/>
            <w:noWrap/>
            <w:vAlign w:val="center"/>
          </w:tcPr>
          <w:p w:rsidR="00DB7E6B" w:rsidRPr="00901F12" w:rsidRDefault="00D91983" w:rsidP="00D91983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0.</w:t>
            </w:r>
            <w:r w:rsidRPr="00D91983">
              <w:rPr>
                <w:rFonts w:ascii="Arial" w:eastAsia="Times New Roman" w:hAnsi="Arial" w:cs="Arial"/>
                <w:sz w:val="20"/>
                <w:szCs w:val="20"/>
              </w:rPr>
              <w:t>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D91983" w:rsidRPr="00D91983" w:rsidTr="00D91983">
        <w:trPr>
          <w:trHeight w:val="293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2006/10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781(34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99)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734(32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89)</w:t>
            </w:r>
          </w:p>
        </w:tc>
        <w:tc>
          <w:tcPr>
            <w:tcW w:w="1149" w:type="dxa"/>
            <w:vMerge/>
            <w:vAlign w:val="center"/>
          </w:tcPr>
          <w:p w:rsidR="00DB7E6B" w:rsidRPr="00901F12" w:rsidRDefault="00DB7E6B" w:rsidP="00D91983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  <w:tr w:rsidR="00D91983" w:rsidRPr="00D91983" w:rsidTr="00D91983">
        <w:trPr>
          <w:trHeight w:val="293"/>
        </w:trPr>
        <w:tc>
          <w:tcPr>
            <w:tcW w:w="2376" w:type="dxa"/>
            <w:vMerge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2011/15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742(33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24)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774(34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68)</w:t>
            </w:r>
          </w:p>
        </w:tc>
        <w:tc>
          <w:tcPr>
            <w:tcW w:w="1149" w:type="dxa"/>
            <w:vMerge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1518(68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01)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1552(69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53)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Age in years, mean (SD)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67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88(7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85)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67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12(8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44)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965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Charlson Comorbidity Index, mean(SD)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185(8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29)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155(6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94)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091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Chronic obstructive pulmonary disease,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64(2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87)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56(2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51)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459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>Peripheral</w:t>
            </w:r>
            <w:proofErr w:type="spell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 xml:space="preserve"> vascular </w:t>
            </w:r>
            <w:proofErr w:type="spell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>disease</w:t>
            </w:r>
            <w:proofErr w:type="spell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 xml:space="preserve">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s-ES_tradnl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215(9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63)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178(7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97)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051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Acute renal disease,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134(6)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113(5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06)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Cerebrovascular disease,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503(22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54)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473(21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19)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Congestive heart failure,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1380(61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83)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1437(64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38)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077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Atrial fibrillation,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637(28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54)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652(29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21)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620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Pulmonary hypertension,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355(15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91)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324(14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52)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Coronary artery disease,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294(13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17)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274(12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28)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369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Obesity,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59(2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64)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41(1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84)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069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Cardiogenic shock,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9(0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4)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8(0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36)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808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Endocarditis,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200(8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96)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176(7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89)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Pneumonia,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50(2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24)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32(1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43)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045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Renal disease,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206(9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23)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185(8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29)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Liver disease,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79(3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54)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63(2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82)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Cancer, n (%)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23(1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03)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21(0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94)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762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Weight loss,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9(0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4)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5(0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color w:val="000000"/>
                <w:sz w:val="20"/>
                <w:szCs w:val="20"/>
              </w:rPr>
              <w:t>22)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DB7E6B" w:rsidRPr="00D91983"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Intra-aortic balloon counter-pulsation,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65(2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91)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58(2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="00DB7E6B" w:rsidRPr="00D91983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Pacemaker implantation,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83(3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72)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87(3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9)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="00DB7E6B" w:rsidRPr="00D91983">
              <w:rPr>
                <w:rFonts w:ascii="Arial" w:hAnsi="Arial" w:cs="Arial"/>
                <w:sz w:val="20"/>
                <w:szCs w:val="20"/>
              </w:rPr>
              <w:t>754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Blood transfusion,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481(21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55)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479(21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46)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="00DB7E6B" w:rsidRPr="00D91983">
              <w:rPr>
                <w:rFonts w:ascii="Arial" w:hAnsi="Arial" w:cs="Arial"/>
                <w:sz w:val="20"/>
                <w:szCs w:val="20"/>
              </w:rPr>
              <w:t>942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DB7E6B" w:rsidRPr="00901F12" w:rsidRDefault="00DB7E6B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Length of hospital stay, mean(SD)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21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94(19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25)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21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23(17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83)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DB7E6B" w:rsidRPr="00D91983" w:rsidRDefault="00DB7E6B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93704A" w:rsidRPr="00901F12" w:rsidRDefault="0093704A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In-hospital mortality, </w:t>
            </w:r>
            <w:proofErr w:type="gramStart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n(</w:t>
            </w:r>
            <w:proofErr w:type="gramEnd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704A" w:rsidRPr="00D91983" w:rsidRDefault="0093704A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218(9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77)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93704A" w:rsidRPr="00D91983" w:rsidRDefault="0093704A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220(9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86)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93704A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="0093704A" w:rsidRPr="00D91983">
              <w:rPr>
                <w:rFonts w:ascii="Arial" w:hAnsi="Arial" w:cs="Arial"/>
                <w:sz w:val="20"/>
                <w:szCs w:val="20"/>
              </w:rPr>
              <w:t>920</w:t>
            </w:r>
          </w:p>
        </w:tc>
      </w:tr>
      <w:tr w:rsidR="00D91983" w:rsidRPr="00D91983" w:rsidTr="00D91983">
        <w:trPr>
          <w:trHeight w:val="293"/>
        </w:trPr>
        <w:tc>
          <w:tcPr>
            <w:tcW w:w="4253" w:type="dxa"/>
            <w:gridSpan w:val="2"/>
            <w:shd w:val="clear" w:color="auto" w:fill="auto"/>
            <w:vAlign w:val="center"/>
            <w:hideMark/>
          </w:tcPr>
          <w:p w:rsidR="0093704A" w:rsidRPr="00901F12" w:rsidRDefault="0093704A" w:rsidP="00D91983">
            <w:pPr>
              <w:spacing w:after="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901F1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MACCE</w:t>
            </w:r>
            <w:r w:rsidR="00AE6AA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</w:t>
            </w:r>
            <w:bookmarkStart w:id="0" w:name="_GoBack"/>
            <w:bookmarkEnd w:id="0"/>
            <w:r w:rsidRPr="00D91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n(%)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3704A" w:rsidRPr="00D91983" w:rsidRDefault="0093704A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294(13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17)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93704A" w:rsidRPr="00D91983" w:rsidRDefault="0093704A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983">
              <w:rPr>
                <w:rFonts w:ascii="Arial" w:hAnsi="Arial" w:cs="Arial"/>
                <w:sz w:val="20"/>
                <w:szCs w:val="20"/>
              </w:rPr>
              <w:t>303(13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Pr="00D91983">
              <w:rPr>
                <w:rFonts w:ascii="Arial" w:hAnsi="Arial" w:cs="Arial"/>
                <w:sz w:val="20"/>
                <w:szCs w:val="20"/>
              </w:rPr>
              <w:t>58)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93704A" w:rsidRPr="00D91983" w:rsidRDefault="00B20422" w:rsidP="00D9198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91983">
              <w:rPr>
                <w:rFonts w:ascii="Arial" w:hAnsi="Arial" w:cs="Arial"/>
                <w:sz w:val="20"/>
                <w:szCs w:val="20"/>
              </w:rPr>
              <w:t>.</w:t>
            </w:r>
            <w:r w:rsidR="0093704A" w:rsidRPr="00D91983">
              <w:rPr>
                <w:rFonts w:ascii="Arial" w:hAnsi="Arial" w:cs="Arial"/>
                <w:sz w:val="20"/>
                <w:szCs w:val="20"/>
              </w:rPr>
              <w:t>692</w:t>
            </w:r>
          </w:p>
        </w:tc>
      </w:tr>
    </w:tbl>
    <w:p w:rsidR="00901F12" w:rsidRPr="00D91983" w:rsidRDefault="00594C07">
      <w:pPr>
        <w:rPr>
          <w:rFonts w:ascii="Arial" w:hAnsi="Arial" w:cs="Arial"/>
          <w:sz w:val="20"/>
          <w:szCs w:val="20"/>
        </w:rPr>
      </w:pPr>
      <w:r w:rsidRPr="00D91983">
        <w:rPr>
          <w:rFonts w:ascii="Arial" w:hAnsi="Arial" w:cs="Arial"/>
          <w:sz w:val="20"/>
          <w:szCs w:val="20"/>
        </w:rPr>
        <w:t>T2DM: Type 2 diabetes mellitus. MACCE include in-hospital all-cause death, acute myocardial infarction or ischemic stroke</w:t>
      </w:r>
    </w:p>
    <w:sectPr w:rsidR="00901F12" w:rsidRPr="00D91983" w:rsidSect="009919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characterSpacingControl w:val="doNotCompress"/>
  <w:compat/>
  <w:rsids>
    <w:rsidRoot w:val="00901F12"/>
    <w:rsid w:val="001D7DFB"/>
    <w:rsid w:val="00367046"/>
    <w:rsid w:val="004510A6"/>
    <w:rsid w:val="00501A2A"/>
    <w:rsid w:val="0056334F"/>
    <w:rsid w:val="00592F2C"/>
    <w:rsid w:val="00594C07"/>
    <w:rsid w:val="00681167"/>
    <w:rsid w:val="00901F12"/>
    <w:rsid w:val="0093704A"/>
    <w:rsid w:val="00983020"/>
    <w:rsid w:val="009919B4"/>
    <w:rsid w:val="009B7671"/>
    <w:rsid w:val="00AB5A4C"/>
    <w:rsid w:val="00AE6AAF"/>
    <w:rsid w:val="00B20422"/>
    <w:rsid w:val="00B43DD8"/>
    <w:rsid w:val="00D26E61"/>
    <w:rsid w:val="00D91983"/>
    <w:rsid w:val="00DB7E6B"/>
    <w:rsid w:val="00EB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9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Jiménez García</dc:creator>
  <cp:lastModifiedBy>0013434</cp:lastModifiedBy>
  <cp:revision>10</cp:revision>
  <dcterms:created xsi:type="dcterms:W3CDTF">2019-04-24T15:18:00Z</dcterms:created>
  <dcterms:modified xsi:type="dcterms:W3CDTF">2019-05-06T06:29:00Z</dcterms:modified>
</cp:coreProperties>
</file>