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31F" w:rsidRPr="000C7906" w:rsidRDefault="0075431F" w:rsidP="0075431F">
      <w:pPr>
        <w:spacing w:line="480" w:lineRule="auto"/>
        <w:rPr>
          <w:rFonts w:ascii="Verdana" w:hAnsi="Verdana" w:cs="Arial"/>
          <w:b/>
          <w:sz w:val="20"/>
          <w:szCs w:val="20"/>
          <w:lang w:val="en-GB"/>
        </w:rPr>
      </w:pPr>
      <w:r w:rsidRPr="00F6291E">
        <w:rPr>
          <w:rFonts w:ascii="Verdana" w:hAnsi="Verdana" w:cs="Arial"/>
          <w:b/>
          <w:sz w:val="20"/>
          <w:szCs w:val="20"/>
          <w:lang w:val="en-GB"/>
        </w:rPr>
        <w:t>ADDITIONAL FILE</w:t>
      </w:r>
    </w:p>
    <w:p w:rsidR="0075431F" w:rsidRPr="00F6291E" w:rsidRDefault="0075431F" w:rsidP="0075431F">
      <w:pPr>
        <w:spacing w:line="480" w:lineRule="auto"/>
        <w:rPr>
          <w:rFonts w:ascii="Verdana" w:hAnsi="Verdana"/>
          <w:sz w:val="20"/>
          <w:szCs w:val="20"/>
          <w:lang w:val="en-GB"/>
        </w:rPr>
      </w:pPr>
      <w:r w:rsidRPr="00F6291E">
        <w:rPr>
          <w:rFonts w:ascii="Verdana" w:hAnsi="Verdana"/>
          <w:iCs/>
          <w:sz w:val="20"/>
          <w:szCs w:val="20"/>
          <w:lang w:val="en-GB"/>
        </w:rPr>
        <w:t xml:space="preserve">A series of regression analyses were performed to investigate the effect of age at baseline on the risks for major adverse cardiac events (MACE) and gastrointestinal adverse events (GI </w:t>
      </w:r>
      <w:proofErr w:type="spellStart"/>
      <w:r w:rsidRPr="00F6291E">
        <w:rPr>
          <w:rFonts w:ascii="Verdana" w:hAnsi="Verdana"/>
          <w:iCs/>
          <w:sz w:val="20"/>
          <w:szCs w:val="20"/>
          <w:lang w:val="en-GB"/>
        </w:rPr>
        <w:t>AEs</w:t>
      </w:r>
      <w:proofErr w:type="spellEnd"/>
      <w:r w:rsidRPr="00F6291E">
        <w:rPr>
          <w:rFonts w:ascii="Verdana" w:hAnsi="Verdana"/>
          <w:iCs/>
          <w:sz w:val="20"/>
          <w:szCs w:val="20"/>
          <w:lang w:val="en-GB"/>
        </w:rPr>
        <w:t xml:space="preserve">). Operating under the assumption that the event rate (number of events per exposure time) followed a negative-binomial distribution, both treatment-dependent and treatment-independent non-linear (spline) and linear effects of age at baseline were tested while controlling for randomized treatment and cardiovascular disease status at baseline) for MACE and GI </w:t>
      </w:r>
      <w:proofErr w:type="spellStart"/>
      <w:r w:rsidRPr="00F6291E">
        <w:rPr>
          <w:rFonts w:ascii="Verdana" w:hAnsi="Verdana"/>
          <w:iCs/>
          <w:sz w:val="20"/>
          <w:szCs w:val="20"/>
          <w:lang w:val="en-GB"/>
        </w:rPr>
        <w:t>AEs</w:t>
      </w:r>
      <w:proofErr w:type="spellEnd"/>
      <w:r w:rsidRPr="00F6291E">
        <w:rPr>
          <w:rFonts w:ascii="Verdana" w:hAnsi="Verdana"/>
          <w:iCs/>
          <w:sz w:val="20"/>
          <w:szCs w:val="20"/>
          <w:lang w:val="en-GB"/>
        </w:rPr>
        <w:t xml:space="preserve">. None of the regression analyses showed any effect of age at baseline on the incidence risk for either endpoint (MACE or GI </w:t>
      </w:r>
      <w:proofErr w:type="spellStart"/>
      <w:r w:rsidRPr="00F6291E">
        <w:rPr>
          <w:rFonts w:ascii="Verdana" w:hAnsi="Verdana"/>
          <w:iCs/>
          <w:sz w:val="20"/>
          <w:szCs w:val="20"/>
          <w:lang w:val="en-GB"/>
        </w:rPr>
        <w:t>AEs</w:t>
      </w:r>
      <w:proofErr w:type="spellEnd"/>
      <w:r w:rsidRPr="00F6291E">
        <w:rPr>
          <w:rFonts w:ascii="Verdana" w:hAnsi="Verdana"/>
          <w:iCs/>
          <w:sz w:val="20"/>
          <w:szCs w:val="20"/>
          <w:lang w:val="en-GB"/>
        </w:rPr>
        <w:t>; p&gt;0.1) (Table).</w:t>
      </w:r>
      <w:r w:rsidRPr="00F6291E">
        <w:rPr>
          <w:rFonts w:ascii="Verdana" w:hAnsi="Verdana"/>
          <w:sz w:val="20"/>
          <w:szCs w:val="20"/>
          <w:lang w:val="en-GB"/>
        </w:rPr>
        <w:t xml:space="preserve"> </w:t>
      </w:r>
    </w:p>
    <w:tbl>
      <w:tblPr>
        <w:tblStyle w:val="TableGrid"/>
        <w:tblW w:w="9535" w:type="dxa"/>
        <w:tblInd w:w="-185" w:type="dxa"/>
        <w:tblLook w:val="04A0"/>
      </w:tblPr>
      <w:tblGrid>
        <w:gridCol w:w="7380"/>
        <w:gridCol w:w="1080"/>
        <w:gridCol w:w="1075"/>
      </w:tblGrid>
      <w:tr w:rsidR="0075431F" w:rsidRPr="00F6291E" w:rsidTr="008C183E">
        <w:trPr>
          <w:trHeight w:val="180"/>
        </w:trPr>
        <w:tc>
          <w:tcPr>
            <w:tcW w:w="7380" w:type="dxa"/>
            <w:vMerge w:val="restart"/>
            <w:shd w:val="clear" w:color="auto" w:fill="auto"/>
          </w:tcPr>
          <w:p w:rsidR="0075431F" w:rsidRPr="00F6291E" w:rsidRDefault="0075431F" w:rsidP="008C183E">
            <w:pPr>
              <w:spacing w:before="60" w:line="480" w:lineRule="auto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  <w:r w:rsidRPr="00F6291E">
              <w:rPr>
                <w:rFonts w:ascii="Verdana" w:hAnsi="Verdana"/>
                <w:sz w:val="20"/>
                <w:szCs w:val="20"/>
                <w:lang w:val="en-GB"/>
              </w:rPr>
              <w:t>Statistical test for effect of age on endpoint</w:t>
            </w:r>
          </w:p>
        </w:tc>
        <w:tc>
          <w:tcPr>
            <w:tcW w:w="2155" w:type="dxa"/>
            <w:gridSpan w:val="2"/>
            <w:shd w:val="clear" w:color="auto" w:fill="auto"/>
          </w:tcPr>
          <w:p w:rsidR="0075431F" w:rsidRPr="00F6291E" w:rsidRDefault="0075431F" w:rsidP="008C183E">
            <w:pPr>
              <w:spacing w:before="60" w:line="480" w:lineRule="auto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  <w:r w:rsidRPr="00F6291E">
              <w:rPr>
                <w:rFonts w:ascii="Verdana" w:hAnsi="Verdana"/>
                <w:sz w:val="20"/>
                <w:szCs w:val="20"/>
                <w:lang w:val="en-GB"/>
              </w:rPr>
              <w:t>p</w:t>
            </w:r>
          </w:p>
        </w:tc>
      </w:tr>
      <w:tr w:rsidR="0075431F" w:rsidRPr="00F6291E" w:rsidTr="008C183E">
        <w:trPr>
          <w:trHeight w:val="180"/>
        </w:trPr>
        <w:tc>
          <w:tcPr>
            <w:tcW w:w="7380" w:type="dxa"/>
            <w:vMerge/>
            <w:shd w:val="clear" w:color="auto" w:fill="auto"/>
          </w:tcPr>
          <w:p w:rsidR="0075431F" w:rsidRPr="00F6291E" w:rsidRDefault="0075431F" w:rsidP="008C183E">
            <w:pPr>
              <w:spacing w:line="480" w:lineRule="auto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75431F" w:rsidRPr="00F6291E" w:rsidRDefault="0075431F" w:rsidP="008C183E">
            <w:pPr>
              <w:spacing w:before="60" w:line="480" w:lineRule="auto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  <w:r w:rsidRPr="00F6291E">
              <w:rPr>
                <w:rFonts w:ascii="Verdana" w:hAnsi="Verdana"/>
                <w:sz w:val="20"/>
                <w:szCs w:val="20"/>
                <w:lang w:val="en-GB"/>
              </w:rPr>
              <w:t>MACE</w:t>
            </w:r>
          </w:p>
        </w:tc>
        <w:tc>
          <w:tcPr>
            <w:tcW w:w="1075" w:type="dxa"/>
            <w:shd w:val="clear" w:color="auto" w:fill="auto"/>
          </w:tcPr>
          <w:p w:rsidR="0075431F" w:rsidRPr="00F6291E" w:rsidRDefault="0075431F" w:rsidP="008C183E">
            <w:pPr>
              <w:spacing w:before="60" w:line="480" w:lineRule="auto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  <w:r w:rsidRPr="00F6291E">
              <w:rPr>
                <w:rFonts w:ascii="Verdana" w:hAnsi="Verdana"/>
                <w:sz w:val="20"/>
                <w:szCs w:val="20"/>
                <w:lang w:val="en-GB"/>
              </w:rPr>
              <w:t xml:space="preserve">GI </w:t>
            </w:r>
            <w:proofErr w:type="spellStart"/>
            <w:r w:rsidRPr="00F6291E">
              <w:rPr>
                <w:rFonts w:ascii="Verdana" w:hAnsi="Verdana"/>
                <w:sz w:val="20"/>
                <w:szCs w:val="20"/>
                <w:lang w:val="en-GB"/>
              </w:rPr>
              <w:t>AEs</w:t>
            </w:r>
            <w:proofErr w:type="spellEnd"/>
          </w:p>
        </w:tc>
      </w:tr>
      <w:tr w:rsidR="0075431F" w:rsidRPr="00F6291E" w:rsidTr="008C183E">
        <w:tc>
          <w:tcPr>
            <w:tcW w:w="7380" w:type="dxa"/>
            <w:shd w:val="clear" w:color="auto" w:fill="auto"/>
          </w:tcPr>
          <w:p w:rsidR="0075431F" w:rsidRPr="00F6291E" w:rsidRDefault="0075431F" w:rsidP="008C183E">
            <w:pPr>
              <w:spacing w:before="60" w:line="480" w:lineRule="auto"/>
              <w:rPr>
                <w:rFonts w:ascii="Verdana" w:hAnsi="Verdana"/>
                <w:sz w:val="20"/>
                <w:szCs w:val="20"/>
                <w:lang w:val="en-GB"/>
              </w:rPr>
            </w:pPr>
            <w:r w:rsidRPr="00F6291E">
              <w:rPr>
                <w:rFonts w:ascii="Verdana" w:hAnsi="Verdana"/>
                <w:sz w:val="20"/>
                <w:szCs w:val="20"/>
                <w:lang w:val="en-GB"/>
              </w:rPr>
              <w:t>Treatment-dependent non-linear vs treatment-independent non-linear</w:t>
            </w:r>
          </w:p>
        </w:tc>
        <w:tc>
          <w:tcPr>
            <w:tcW w:w="1080" w:type="dxa"/>
            <w:shd w:val="clear" w:color="auto" w:fill="auto"/>
          </w:tcPr>
          <w:p w:rsidR="0075431F" w:rsidRPr="00F6291E" w:rsidRDefault="0075431F" w:rsidP="008C183E">
            <w:pPr>
              <w:spacing w:before="60" w:line="480" w:lineRule="auto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  <w:r w:rsidRPr="00F6291E">
              <w:rPr>
                <w:rFonts w:ascii="Verdana" w:hAnsi="Verdana"/>
                <w:sz w:val="20"/>
                <w:szCs w:val="20"/>
                <w:lang w:val="en-GB"/>
              </w:rPr>
              <w:t>0.67</w:t>
            </w:r>
          </w:p>
        </w:tc>
        <w:tc>
          <w:tcPr>
            <w:tcW w:w="1075" w:type="dxa"/>
            <w:shd w:val="clear" w:color="auto" w:fill="auto"/>
          </w:tcPr>
          <w:p w:rsidR="0075431F" w:rsidRPr="00F6291E" w:rsidRDefault="0075431F" w:rsidP="008C183E">
            <w:pPr>
              <w:spacing w:before="60" w:line="480" w:lineRule="auto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  <w:r w:rsidRPr="00F6291E">
              <w:rPr>
                <w:rFonts w:ascii="Verdana" w:hAnsi="Verdana"/>
                <w:sz w:val="20"/>
                <w:szCs w:val="20"/>
                <w:lang w:val="en-GB"/>
              </w:rPr>
              <w:t>0.91</w:t>
            </w:r>
          </w:p>
        </w:tc>
      </w:tr>
      <w:tr w:rsidR="0075431F" w:rsidRPr="00F6291E" w:rsidTr="008C183E">
        <w:tc>
          <w:tcPr>
            <w:tcW w:w="7380" w:type="dxa"/>
            <w:shd w:val="clear" w:color="auto" w:fill="auto"/>
          </w:tcPr>
          <w:p w:rsidR="0075431F" w:rsidRPr="00F6291E" w:rsidRDefault="0075431F" w:rsidP="008C183E">
            <w:pPr>
              <w:spacing w:before="60" w:line="480" w:lineRule="auto"/>
              <w:rPr>
                <w:rFonts w:ascii="Verdana" w:hAnsi="Verdana"/>
                <w:sz w:val="20"/>
                <w:szCs w:val="20"/>
                <w:lang w:val="en-GB"/>
              </w:rPr>
            </w:pPr>
            <w:r w:rsidRPr="00F6291E">
              <w:rPr>
                <w:rFonts w:ascii="Verdana" w:hAnsi="Verdana"/>
                <w:sz w:val="20"/>
                <w:szCs w:val="20"/>
                <w:lang w:val="en-GB"/>
              </w:rPr>
              <w:t>Treatment-dependent non-linear vs treatment-dependent linear</w:t>
            </w:r>
          </w:p>
        </w:tc>
        <w:tc>
          <w:tcPr>
            <w:tcW w:w="1080" w:type="dxa"/>
            <w:shd w:val="clear" w:color="auto" w:fill="auto"/>
          </w:tcPr>
          <w:p w:rsidR="0075431F" w:rsidRPr="00F6291E" w:rsidRDefault="0075431F" w:rsidP="008C183E">
            <w:pPr>
              <w:spacing w:before="60" w:line="480" w:lineRule="auto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  <w:r w:rsidRPr="00F6291E">
              <w:rPr>
                <w:rFonts w:ascii="Verdana" w:hAnsi="Verdana"/>
                <w:sz w:val="20"/>
                <w:szCs w:val="20"/>
                <w:lang w:val="en-GB"/>
              </w:rPr>
              <w:t>0.59</w:t>
            </w:r>
          </w:p>
        </w:tc>
        <w:tc>
          <w:tcPr>
            <w:tcW w:w="1075" w:type="dxa"/>
            <w:shd w:val="clear" w:color="auto" w:fill="auto"/>
          </w:tcPr>
          <w:p w:rsidR="0075431F" w:rsidRPr="00F6291E" w:rsidRDefault="0075431F" w:rsidP="008C183E">
            <w:pPr>
              <w:spacing w:before="60" w:line="480" w:lineRule="auto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  <w:r w:rsidRPr="00F6291E">
              <w:rPr>
                <w:rFonts w:ascii="Verdana" w:hAnsi="Verdana"/>
                <w:sz w:val="20"/>
                <w:szCs w:val="20"/>
                <w:lang w:val="en-GB"/>
              </w:rPr>
              <w:t>0.78</w:t>
            </w:r>
          </w:p>
        </w:tc>
      </w:tr>
      <w:tr w:rsidR="0075431F" w:rsidRPr="00F6291E" w:rsidTr="008C183E">
        <w:tc>
          <w:tcPr>
            <w:tcW w:w="7380" w:type="dxa"/>
            <w:shd w:val="clear" w:color="auto" w:fill="auto"/>
          </w:tcPr>
          <w:p w:rsidR="0075431F" w:rsidRPr="00F6291E" w:rsidRDefault="0075431F" w:rsidP="008C183E">
            <w:pPr>
              <w:spacing w:before="60" w:line="480" w:lineRule="auto"/>
              <w:rPr>
                <w:rFonts w:ascii="Verdana" w:hAnsi="Verdana"/>
                <w:sz w:val="20"/>
                <w:szCs w:val="20"/>
                <w:lang w:val="en-GB"/>
              </w:rPr>
            </w:pPr>
            <w:r w:rsidRPr="00F6291E">
              <w:rPr>
                <w:rFonts w:ascii="Verdana" w:hAnsi="Verdana"/>
                <w:sz w:val="20"/>
                <w:szCs w:val="20"/>
                <w:lang w:val="en-GB"/>
              </w:rPr>
              <w:t>Treatment-independent non-linear vs treatment-independent linear</w:t>
            </w:r>
          </w:p>
        </w:tc>
        <w:tc>
          <w:tcPr>
            <w:tcW w:w="1080" w:type="dxa"/>
            <w:shd w:val="clear" w:color="auto" w:fill="auto"/>
          </w:tcPr>
          <w:p w:rsidR="0075431F" w:rsidRPr="00F6291E" w:rsidRDefault="0075431F" w:rsidP="008C183E">
            <w:pPr>
              <w:spacing w:before="60" w:line="480" w:lineRule="auto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  <w:r w:rsidRPr="00F6291E">
              <w:rPr>
                <w:rFonts w:ascii="Verdana" w:hAnsi="Verdana"/>
                <w:sz w:val="20"/>
                <w:szCs w:val="20"/>
                <w:lang w:val="en-GB"/>
              </w:rPr>
              <w:t>0.51</w:t>
            </w:r>
          </w:p>
        </w:tc>
        <w:tc>
          <w:tcPr>
            <w:tcW w:w="1075" w:type="dxa"/>
            <w:shd w:val="clear" w:color="auto" w:fill="auto"/>
          </w:tcPr>
          <w:p w:rsidR="0075431F" w:rsidRPr="00F6291E" w:rsidRDefault="0075431F" w:rsidP="008C183E">
            <w:pPr>
              <w:spacing w:before="60" w:line="480" w:lineRule="auto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  <w:r w:rsidRPr="00F6291E">
              <w:rPr>
                <w:rFonts w:ascii="Verdana" w:hAnsi="Verdana"/>
                <w:sz w:val="20"/>
                <w:szCs w:val="20"/>
                <w:lang w:val="en-GB"/>
              </w:rPr>
              <w:t>0.51</w:t>
            </w:r>
          </w:p>
        </w:tc>
      </w:tr>
      <w:tr w:rsidR="0075431F" w:rsidRPr="00F6291E" w:rsidTr="008C183E">
        <w:tc>
          <w:tcPr>
            <w:tcW w:w="7380" w:type="dxa"/>
            <w:shd w:val="clear" w:color="auto" w:fill="auto"/>
          </w:tcPr>
          <w:p w:rsidR="0075431F" w:rsidRPr="00F6291E" w:rsidRDefault="0075431F" w:rsidP="008C183E">
            <w:pPr>
              <w:spacing w:before="60" w:line="480" w:lineRule="auto"/>
              <w:rPr>
                <w:rFonts w:ascii="Verdana" w:hAnsi="Verdana"/>
                <w:sz w:val="20"/>
                <w:szCs w:val="20"/>
                <w:lang w:val="en-GB"/>
              </w:rPr>
            </w:pPr>
            <w:r w:rsidRPr="00F6291E">
              <w:rPr>
                <w:rFonts w:ascii="Verdana" w:hAnsi="Verdana"/>
                <w:sz w:val="20"/>
                <w:szCs w:val="20"/>
                <w:lang w:val="en-GB"/>
              </w:rPr>
              <w:t>Treatment-independent linear vs no effect of age</w:t>
            </w:r>
          </w:p>
        </w:tc>
        <w:tc>
          <w:tcPr>
            <w:tcW w:w="1080" w:type="dxa"/>
            <w:shd w:val="clear" w:color="auto" w:fill="auto"/>
          </w:tcPr>
          <w:p w:rsidR="0075431F" w:rsidRPr="00F6291E" w:rsidRDefault="0075431F" w:rsidP="008C183E">
            <w:pPr>
              <w:spacing w:before="60" w:line="480" w:lineRule="auto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  <w:r w:rsidRPr="00F6291E">
              <w:rPr>
                <w:rFonts w:ascii="Verdana" w:hAnsi="Verdana"/>
                <w:sz w:val="20"/>
                <w:szCs w:val="20"/>
                <w:lang w:val="en-GB"/>
              </w:rPr>
              <w:t>0.41</w:t>
            </w:r>
          </w:p>
        </w:tc>
        <w:tc>
          <w:tcPr>
            <w:tcW w:w="1075" w:type="dxa"/>
            <w:shd w:val="clear" w:color="auto" w:fill="auto"/>
          </w:tcPr>
          <w:p w:rsidR="0075431F" w:rsidRPr="00F6291E" w:rsidRDefault="0075431F" w:rsidP="008C183E">
            <w:pPr>
              <w:spacing w:before="60" w:line="480" w:lineRule="auto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  <w:r w:rsidRPr="00F6291E">
              <w:rPr>
                <w:rFonts w:ascii="Verdana" w:hAnsi="Verdana"/>
                <w:sz w:val="20"/>
                <w:szCs w:val="20"/>
                <w:lang w:val="en-GB"/>
              </w:rPr>
              <w:t>0.14</w:t>
            </w:r>
          </w:p>
        </w:tc>
      </w:tr>
    </w:tbl>
    <w:p w:rsidR="0075431F" w:rsidRPr="00F6291E" w:rsidRDefault="0075431F" w:rsidP="0075431F">
      <w:pPr>
        <w:spacing w:line="480" w:lineRule="auto"/>
        <w:rPr>
          <w:rFonts w:ascii="Verdana" w:hAnsi="Verdana" w:cs="Arial"/>
          <w:sz w:val="20"/>
          <w:szCs w:val="20"/>
          <w:lang w:val="en-GB"/>
        </w:rPr>
      </w:pPr>
      <w:proofErr w:type="gramStart"/>
      <w:r w:rsidRPr="00F6291E">
        <w:rPr>
          <w:rFonts w:ascii="Verdana" w:hAnsi="Verdana" w:cs="Arial"/>
          <w:sz w:val="20"/>
          <w:szCs w:val="20"/>
          <w:lang w:val="en-GB"/>
        </w:rPr>
        <w:t>AE, adverse event; GI, gastrointestinal; MACE, major adverse cardiac event.</w:t>
      </w:r>
      <w:proofErr w:type="gramEnd"/>
    </w:p>
    <w:p w:rsidR="002E1167" w:rsidRPr="0075431F" w:rsidRDefault="002E1167">
      <w:pPr>
        <w:rPr>
          <w:lang w:val="en-GB"/>
        </w:rPr>
      </w:pPr>
    </w:p>
    <w:sectPr w:rsidR="002E1167" w:rsidRPr="0075431F" w:rsidSect="002E11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5431F"/>
    <w:rsid w:val="002E1167"/>
    <w:rsid w:val="007514B0"/>
    <w:rsid w:val="0075431F"/>
    <w:rsid w:val="00A015F1"/>
    <w:rsid w:val="00AB312B"/>
    <w:rsid w:val="00BA7428"/>
    <w:rsid w:val="00C97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1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431F"/>
    <w:pPr>
      <w:spacing w:after="0" w:line="240" w:lineRule="auto"/>
    </w:pPr>
    <w:rPr>
      <w:rFonts w:eastAsiaTheme="minorEastAsia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Company>Microsoft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0013357</dc:creator>
  <cp:lastModifiedBy>0013357</cp:lastModifiedBy>
  <cp:revision>1</cp:revision>
  <dcterms:created xsi:type="dcterms:W3CDTF">2019-05-23T02:22:00Z</dcterms:created>
  <dcterms:modified xsi:type="dcterms:W3CDTF">2019-05-23T02:23:00Z</dcterms:modified>
</cp:coreProperties>
</file>