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1D" w:rsidRPr="0006321D" w:rsidRDefault="00A100E0" w:rsidP="0006321D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/>
          <w:b/>
          <w:bCs/>
          <w:sz w:val="28"/>
          <w:szCs w:val="28"/>
          <w:lang w:val="en-GB"/>
        </w:rPr>
        <w:t>Additional file</w:t>
      </w:r>
    </w:p>
    <w:p w:rsidR="0006321D" w:rsidRDefault="0006321D" w:rsidP="00091BC4">
      <w:pPr>
        <w:spacing w:after="0" w:line="360" w:lineRule="auto"/>
        <w:jc w:val="both"/>
        <w:rPr>
          <w:rFonts w:ascii="Times New Roman" w:hAnsi="Times New Roman"/>
          <w:b/>
          <w:bCs/>
          <w:lang w:val="en-GB"/>
        </w:rPr>
      </w:pPr>
    </w:p>
    <w:p w:rsidR="004066B2" w:rsidRPr="009D03CD" w:rsidRDefault="004066B2" w:rsidP="00091BC4">
      <w:pPr>
        <w:spacing w:after="0" w:line="360" w:lineRule="auto"/>
        <w:jc w:val="both"/>
        <w:rPr>
          <w:rFonts w:ascii="Times New Roman" w:hAnsi="Times New Roman"/>
          <w:lang w:val="en-GB"/>
        </w:rPr>
      </w:pPr>
      <w:r w:rsidRPr="009D03CD">
        <w:rPr>
          <w:rFonts w:ascii="Times New Roman" w:hAnsi="Times New Roman"/>
          <w:b/>
          <w:bCs/>
          <w:lang w:val="en-GB"/>
        </w:rPr>
        <w:t>Figure S1. Balance before and after matching</w:t>
      </w:r>
      <w:r w:rsidRPr="009D03CD">
        <w:rPr>
          <w:rFonts w:ascii="Times New Roman" w:hAnsi="Times New Roman"/>
          <w:b/>
          <w:lang w:val="en-GB"/>
        </w:rPr>
        <w:t xml:space="preserve">. </w:t>
      </w:r>
      <w:r w:rsidR="00B123E4">
        <w:rPr>
          <w:rFonts w:ascii="Times New Roman" w:hAnsi="Times New Roman"/>
          <w:bCs/>
          <w:lang w:val="en-GB"/>
        </w:rPr>
        <w:t>A</w:t>
      </w:r>
      <w:r w:rsidRPr="009D03CD">
        <w:rPr>
          <w:rFonts w:ascii="Times New Roman" w:hAnsi="Times New Roman"/>
          <w:bCs/>
          <w:lang w:val="en-GB"/>
        </w:rPr>
        <w:t>bsolute standardi</w:t>
      </w:r>
      <w:r w:rsidR="00B123E4">
        <w:rPr>
          <w:rFonts w:ascii="Times New Roman" w:hAnsi="Times New Roman"/>
          <w:bCs/>
          <w:lang w:val="en-GB"/>
        </w:rPr>
        <w:t>z</w:t>
      </w:r>
      <w:r w:rsidRPr="009D03CD">
        <w:rPr>
          <w:rFonts w:ascii="Times New Roman" w:hAnsi="Times New Roman"/>
          <w:bCs/>
          <w:lang w:val="en-GB"/>
        </w:rPr>
        <w:t>ed mean differences before and after PSM.</w:t>
      </w:r>
      <w:r w:rsidR="00B123E4">
        <w:rPr>
          <w:rFonts w:ascii="Times New Roman" w:hAnsi="Times New Roman"/>
          <w:bCs/>
          <w:lang w:val="en-GB"/>
        </w:rPr>
        <w:t xml:space="preserve"> The</w:t>
      </w:r>
      <w:r w:rsidRPr="009D03CD">
        <w:rPr>
          <w:rFonts w:ascii="Times New Roman" w:hAnsi="Times New Roman"/>
          <w:bCs/>
          <w:lang w:val="en-GB"/>
        </w:rPr>
        <w:t xml:space="preserve"> 0.10 threshold</w:t>
      </w:r>
      <w:r w:rsidR="00B123E4">
        <w:rPr>
          <w:rFonts w:ascii="Times New Roman" w:hAnsi="Times New Roman"/>
          <w:bCs/>
          <w:lang w:val="en-GB"/>
        </w:rPr>
        <w:t xml:space="preserve"> is indicated by a dashed line</w:t>
      </w:r>
      <w:r w:rsidRPr="009D03CD">
        <w:rPr>
          <w:rFonts w:ascii="Times New Roman" w:hAnsi="Times New Roman"/>
          <w:bCs/>
          <w:lang w:val="en-GB"/>
        </w:rPr>
        <w:t>.</w:t>
      </w:r>
    </w:p>
    <w:p w:rsidR="004066B2" w:rsidRPr="009D03CD" w:rsidRDefault="004066B2" w:rsidP="00091BC4">
      <w:pPr>
        <w:spacing w:after="0" w:line="360" w:lineRule="auto"/>
        <w:ind w:left="360"/>
        <w:jc w:val="both"/>
        <w:rPr>
          <w:rFonts w:ascii="Times New Roman" w:hAnsi="Times New Roman"/>
          <w:lang w:val="en-GB"/>
        </w:rPr>
      </w:pPr>
    </w:p>
    <w:p w:rsidR="001A7C13" w:rsidRPr="009D03CD" w:rsidRDefault="00B123E4" w:rsidP="00091BC4">
      <w:pPr>
        <w:spacing w:after="0" w:line="36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276975" cy="5230813"/>
            <wp:effectExtent l="0" t="0" r="0" b="825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540" cy="523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6B2" w:rsidRPr="009D03CD" w:rsidRDefault="001A7C13" w:rsidP="00B123E4">
      <w:pPr>
        <w:rPr>
          <w:rFonts w:ascii="Times New Roman" w:hAnsi="Times New Roman"/>
          <w:lang w:val="en-GB"/>
        </w:rPr>
      </w:pPr>
      <w:r w:rsidRPr="009D03CD">
        <w:rPr>
          <w:rFonts w:ascii="Times New Roman" w:hAnsi="Times New Roman"/>
          <w:lang w:val="en-GB"/>
        </w:rPr>
        <w:br w:type="page"/>
      </w:r>
      <w:r w:rsidR="004066B2" w:rsidRPr="009D03CD">
        <w:rPr>
          <w:rFonts w:ascii="Times New Roman" w:hAnsi="Times New Roman"/>
          <w:b/>
          <w:bCs/>
          <w:lang w:val="en-GB"/>
        </w:rPr>
        <w:lastRenderedPageBreak/>
        <w:t>Table S1</w:t>
      </w:r>
      <w:r w:rsidR="004066B2" w:rsidRPr="009D03CD">
        <w:rPr>
          <w:rFonts w:ascii="Times New Roman" w:hAnsi="Times New Roman"/>
          <w:lang w:val="en-GB"/>
        </w:rPr>
        <w:t xml:space="preserve">. </w:t>
      </w:r>
      <w:r w:rsidR="004066B2" w:rsidRPr="009D03CD">
        <w:rPr>
          <w:rFonts w:ascii="Times New Roman" w:hAnsi="Times New Roman"/>
          <w:b/>
          <w:lang w:val="en-GB"/>
        </w:rPr>
        <w:t>Claims-based definition of study variables</w:t>
      </w:r>
      <w:r w:rsidR="004066B2" w:rsidRPr="009D03CD">
        <w:rPr>
          <w:rFonts w:ascii="Times New Roman" w:hAnsi="Times New Roman"/>
          <w:lang w:val="en-GB"/>
        </w:rPr>
        <w:t>. Each variable was defined as the presence of at least one of the claims-based indicators in the corresponding row. Medication names have been internally mapped 1:1 to ATC codes, exemptions from copayment to regional exemption codes.</w:t>
      </w:r>
    </w:p>
    <w:p w:rsidR="004066B2" w:rsidRPr="009D03CD" w:rsidRDefault="004066B2" w:rsidP="00091BC4">
      <w:pPr>
        <w:spacing w:after="0" w:line="360" w:lineRule="auto"/>
        <w:jc w:val="both"/>
        <w:rPr>
          <w:rFonts w:ascii="Times New Roman" w:hAnsi="Times New Roman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05"/>
        <w:gridCol w:w="1335"/>
        <w:gridCol w:w="1500"/>
        <w:gridCol w:w="2240"/>
        <w:gridCol w:w="1870"/>
      </w:tblGrid>
      <w:tr w:rsidR="009D03CD" w:rsidRPr="009D03CD" w:rsidTr="009D3ADB">
        <w:tc>
          <w:tcPr>
            <w:tcW w:w="240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33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sz w:val="20"/>
                <w:szCs w:val="20"/>
              </w:rPr>
              <w:t>ICD-9-CM</w:t>
            </w:r>
            <w:r w:rsidRPr="009D03CD">
              <w:rPr>
                <w:rFonts w:ascii="Times New Roman" w:hAnsi="Times New Roman"/>
                <w:b/>
                <w:sz w:val="20"/>
                <w:szCs w:val="20"/>
              </w:rPr>
              <w:br/>
              <w:t>Diagnosis Codes</w:t>
            </w:r>
          </w:p>
        </w:tc>
        <w:tc>
          <w:tcPr>
            <w:tcW w:w="150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sz w:val="20"/>
                <w:szCs w:val="20"/>
              </w:rPr>
              <w:t>ICD-9-CM</w:t>
            </w:r>
            <w:r w:rsidRPr="009D03CD">
              <w:rPr>
                <w:rFonts w:ascii="Times New Roman" w:hAnsi="Times New Roman"/>
                <w:b/>
                <w:sz w:val="20"/>
                <w:szCs w:val="20"/>
              </w:rPr>
              <w:br/>
              <w:t>Procedure Codes</w:t>
            </w:r>
          </w:p>
        </w:tc>
        <w:tc>
          <w:tcPr>
            <w:tcW w:w="224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sz w:val="20"/>
                <w:szCs w:val="20"/>
              </w:rPr>
              <w:t>Medications</w:t>
            </w:r>
          </w:p>
        </w:tc>
        <w:tc>
          <w:tcPr>
            <w:tcW w:w="187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sz w:val="20"/>
                <w:szCs w:val="20"/>
              </w:rPr>
              <w:t>Exemptions</w:t>
            </w:r>
            <w:r w:rsidRPr="009D03CD">
              <w:rPr>
                <w:rFonts w:ascii="Times New Roman" w:hAnsi="Times New Roman"/>
                <w:b/>
                <w:sz w:val="20"/>
                <w:szCs w:val="20"/>
              </w:rPr>
              <w:br/>
              <w:t>from Copayment</w:t>
            </w:r>
          </w:p>
        </w:tc>
      </w:tr>
      <w:tr w:rsidR="009D03CD" w:rsidRPr="009D03CD" w:rsidTr="009D3ADB">
        <w:tc>
          <w:tcPr>
            <w:tcW w:w="240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bCs/>
                <w:sz w:val="20"/>
                <w:szCs w:val="20"/>
              </w:rPr>
              <w:t>Hypertension</w:t>
            </w:r>
          </w:p>
        </w:tc>
        <w:tc>
          <w:tcPr>
            <w:tcW w:w="133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401-405</w:t>
            </w:r>
          </w:p>
        </w:tc>
        <w:tc>
          <w:tcPr>
            <w:tcW w:w="150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ACE inhibitors, diuretics, beta blockers, other antihypertensives</w:t>
            </w:r>
          </w:p>
        </w:tc>
        <w:tc>
          <w:tcPr>
            <w:tcW w:w="187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Hypertension</w:t>
            </w:r>
          </w:p>
        </w:tc>
      </w:tr>
      <w:tr w:rsidR="009D03CD" w:rsidRPr="009D03CD" w:rsidTr="009D3ADB">
        <w:tc>
          <w:tcPr>
            <w:tcW w:w="240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9D03CD">
              <w:rPr>
                <w:rFonts w:ascii="Times New Roman" w:hAnsi="Times New Roman"/>
                <w:b/>
                <w:bCs/>
                <w:sz w:val="20"/>
                <w:szCs w:val="20"/>
              </w:rPr>
              <w:t>Dyslipidaemia</w:t>
            </w:r>
            <w:proofErr w:type="spellEnd"/>
          </w:p>
        </w:tc>
        <w:tc>
          <w:tcPr>
            <w:tcW w:w="133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Statins, fibrates, omega 3, PCSK9 inhibitors, ezetimibe</w:t>
            </w:r>
          </w:p>
        </w:tc>
        <w:tc>
          <w:tcPr>
            <w:tcW w:w="187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03CD">
              <w:rPr>
                <w:rFonts w:ascii="Times New Roman" w:hAnsi="Times New Roman"/>
                <w:sz w:val="20"/>
                <w:szCs w:val="20"/>
              </w:rPr>
              <w:t>Dyslipidaemia</w:t>
            </w:r>
            <w:proofErr w:type="spellEnd"/>
          </w:p>
        </w:tc>
      </w:tr>
      <w:tr w:rsidR="009D03CD" w:rsidRPr="009D03CD" w:rsidTr="009D3ADB">
        <w:tc>
          <w:tcPr>
            <w:tcW w:w="240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bCs/>
                <w:sz w:val="20"/>
                <w:szCs w:val="20"/>
              </w:rPr>
              <w:t>Peripheral circulatory complications</w:t>
            </w:r>
          </w:p>
        </w:tc>
        <w:tc>
          <w:tcPr>
            <w:tcW w:w="133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440, 250.7</w:t>
            </w:r>
          </w:p>
        </w:tc>
        <w:tc>
          <w:tcPr>
            <w:tcW w:w="150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00.55, 38.48, 39.50, 39.52, 39.71, 39.90</w:t>
            </w:r>
          </w:p>
        </w:tc>
        <w:tc>
          <w:tcPr>
            <w:tcW w:w="224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03CD" w:rsidRPr="009D03CD" w:rsidTr="009D3ADB">
        <w:tc>
          <w:tcPr>
            <w:tcW w:w="240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bCs/>
                <w:sz w:val="20"/>
                <w:szCs w:val="20"/>
              </w:rPr>
              <w:t>Myocardial Infarction</w:t>
            </w:r>
          </w:p>
        </w:tc>
        <w:tc>
          <w:tcPr>
            <w:tcW w:w="133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410-414</w:t>
            </w:r>
          </w:p>
        </w:tc>
        <w:tc>
          <w:tcPr>
            <w:tcW w:w="150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03CD" w:rsidRPr="009D03CD" w:rsidTr="009D3ADB">
        <w:tc>
          <w:tcPr>
            <w:tcW w:w="240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bCs/>
                <w:sz w:val="20"/>
                <w:szCs w:val="20"/>
              </w:rPr>
              <w:t>Ischemic heart disease</w:t>
            </w:r>
          </w:p>
        </w:tc>
        <w:tc>
          <w:tcPr>
            <w:tcW w:w="133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410-414</w:t>
            </w:r>
          </w:p>
        </w:tc>
        <w:tc>
          <w:tcPr>
            <w:tcW w:w="150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00.66, 36.03, 36.06, 36.07, 36.10, 36.19</w:t>
            </w:r>
          </w:p>
        </w:tc>
        <w:tc>
          <w:tcPr>
            <w:tcW w:w="224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Ischemic heart disease</w:t>
            </w:r>
          </w:p>
        </w:tc>
      </w:tr>
      <w:tr w:rsidR="009D03CD" w:rsidRPr="009D03CD" w:rsidTr="009D3ADB">
        <w:tc>
          <w:tcPr>
            <w:tcW w:w="240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bCs/>
                <w:sz w:val="20"/>
                <w:szCs w:val="20"/>
              </w:rPr>
              <w:t>Stroke or TIA</w:t>
            </w:r>
          </w:p>
        </w:tc>
        <w:tc>
          <w:tcPr>
            <w:tcW w:w="133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431-436</w:t>
            </w:r>
          </w:p>
        </w:tc>
        <w:tc>
          <w:tcPr>
            <w:tcW w:w="150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00.61-00.65</w:t>
            </w:r>
          </w:p>
        </w:tc>
        <w:tc>
          <w:tcPr>
            <w:tcW w:w="224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Stroke or TIA</w:t>
            </w:r>
          </w:p>
        </w:tc>
      </w:tr>
      <w:tr w:rsidR="009D03CD" w:rsidRPr="009D03CD" w:rsidTr="009D3ADB">
        <w:tc>
          <w:tcPr>
            <w:tcW w:w="240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bCs/>
                <w:sz w:val="20"/>
                <w:szCs w:val="20"/>
              </w:rPr>
              <w:t>Heart failure</w:t>
            </w:r>
          </w:p>
        </w:tc>
        <w:tc>
          <w:tcPr>
            <w:tcW w:w="133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428</w:t>
            </w:r>
          </w:p>
        </w:tc>
        <w:tc>
          <w:tcPr>
            <w:tcW w:w="150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Heart failure</w:t>
            </w:r>
          </w:p>
        </w:tc>
      </w:tr>
      <w:tr w:rsidR="009D03CD" w:rsidRPr="009D03CD" w:rsidTr="009D3ADB">
        <w:tc>
          <w:tcPr>
            <w:tcW w:w="240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bCs/>
                <w:sz w:val="20"/>
                <w:szCs w:val="20"/>
              </w:rPr>
              <w:t>Cardiovascular disease</w:t>
            </w:r>
          </w:p>
        </w:tc>
        <w:tc>
          <w:tcPr>
            <w:tcW w:w="133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410-414, 428, 431-436, 440</w:t>
            </w:r>
          </w:p>
        </w:tc>
        <w:tc>
          <w:tcPr>
            <w:tcW w:w="150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00.55, 00.61-00.66, 36.03, 36.06, 36.07, 36.10, 36.19, 38.48, 39.50, 39.52, 39.71, 39.90</w:t>
            </w:r>
          </w:p>
        </w:tc>
        <w:tc>
          <w:tcPr>
            <w:tcW w:w="224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Ischemic heart disease, stroke or TIA, heart failure</w:t>
            </w:r>
          </w:p>
        </w:tc>
      </w:tr>
      <w:tr w:rsidR="009D03CD" w:rsidRPr="009D03CD" w:rsidTr="009D3ADB">
        <w:tc>
          <w:tcPr>
            <w:tcW w:w="240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bCs/>
                <w:sz w:val="20"/>
                <w:szCs w:val="20"/>
              </w:rPr>
              <w:t>Neurological complications</w:t>
            </w:r>
          </w:p>
        </w:tc>
        <w:tc>
          <w:tcPr>
            <w:tcW w:w="133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250.6</w:t>
            </w:r>
          </w:p>
        </w:tc>
        <w:tc>
          <w:tcPr>
            <w:tcW w:w="150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03CD" w:rsidRPr="009D03CD" w:rsidTr="009D3ADB">
        <w:tc>
          <w:tcPr>
            <w:tcW w:w="240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bCs/>
                <w:sz w:val="20"/>
                <w:szCs w:val="20"/>
              </w:rPr>
              <w:t>Ocular complications</w:t>
            </w:r>
          </w:p>
        </w:tc>
        <w:tc>
          <w:tcPr>
            <w:tcW w:w="133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250.5</w:t>
            </w:r>
          </w:p>
        </w:tc>
        <w:tc>
          <w:tcPr>
            <w:tcW w:w="150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03CD" w:rsidRPr="009D03CD" w:rsidTr="009D3ADB">
        <w:tc>
          <w:tcPr>
            <w:tcW w:w="240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bCs/>
                <w:sz w:val="20"/>
                <w:szCs w:val="20"/>
              </w:rPr>
              <w:t>Renal complications</w:t>
            </w:r>
          </w:p>
        </w:tc>
        <w:tc>
          <w:tcPr>
            <w:tcW w:w="133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250.4</w:t>
            </w:r>
          </w:p>
        </w:tc>
        <w:tc>
          <w:tcPr>
            <w:tcW w:w="150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03CD" w:rsidRPr="009D03CD" w:rsidTr="009D3ADB">
        <w:tc>
          <w:tcPr>
            <w:tcW w:w="240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bCs/>
                <w:sz w:val="20"/>
                <w:szCs w:val="20"/>
              </w:rPr>
              <w:t>Chronic kidney disease</w:t>
            </w:r>
          </w:p>
        </w:tc>
        <w:tc>
          <w:tcPr>
            <w:tcW w:w="133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585-587</w:t>
            </w:r>
          </w:p>
        </w:tc>
        <w:tc>
          <w:tcPr>
            <w:tcW w:w="150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Chronic kidney disease</w:t>
            </w:r>
          </w:p>
        </w:tc>
      </w:tr>
      <w:tr w:rsidR="009D03CD" w:rsidRPr="009D03CD" w:rsidTr="009D3ADB">
        <w:tc>
          <w:tcPr>
            <w:tcW w:w="240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bCs/>
                <w:sz w:val="20"/>
                <w:szCs w:val="20"/>
              </w:rPr>
              <w:t>Severe hypoglycaemia</w:t>
            </w:r>
          </w:p>
        </w:tc>
        <w:tc>
          <w:tcPr>
            <w:tcW w:w="133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 xml:space="preserve">250.3, 250.8, 250.10, </w:t>
            </w:r>
            <w:r w:rsidRPr="009D03CD">
              <w:rPr>
                <w:rFonts w:ascii="Times New Roman" w:hAnsi="Times New Roman"/>
                <w:sz w:val="20"/>
                <w:szCs w:val="20"/>
              </w:rPr>
              <w:lastRenderedPageBreak/>
              <w:t>250.12</w:t>
            </w:r>
          </w:p>
        </w:tc>
        <w:tc>
          <w:tcPr>
            <w:tcW w:w="150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03CD" w:rsidRPr="009D03CD" w:rsidTr="009D3ADB">
        <w:tc>
          <w:tcPr>
            <w:tcW w:w="240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Chronic pulmonary disease</w:t>
            </w:r>
          </w:p>
        </w:tc>
        <w:tc>
          <w:tcPr>
            <w:tcW w:w="133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491-496, 518.83, 518.84</w:t>
            </w:r>
          </w:p>
        </w:tc>
        <w:tc>
          <w:tcPr>
            <w:tcW w:w="150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Medications for obstructive airway diseases</w:t>
            </w:r>
          </w:p>
        </w:tc>
        <w:tc>
          <w:tcPr>
            <w:tcW w:w="187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Chronic pulmonary disease, asthma</w:t>
            </w:r>
          </w:p>
        </w:tc>
      </w:tr>
      <w:tr w:rsidR="009D03CD" w:rsidRPr="009D03CD" w:rsidTr="009D3ADB">
        <w:tc>
          <w:tcPr>
            <w:tcW w:w="240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bCs/>
                <w:sz w:val="20"/>
                <w:szCs w:val="20"/>
              </w:rPr>
              <w:t>Systemic inflammatory disease</w:t>
            </w:r>
          </w:p>
        </w:tc>
        <w:tc>
          <w:tcPr>
            <w:tcW w:w="133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Rheumatoid arthritis, systemic lupus erythematosus, connective tissue disease, Sjogren's syndrome, psoriasis, ankylosing spondylitis</w:t>
            </w:r>
          </w:p>
        </w:tc>
      </w:tr>
      <w:tr w:rsidR="009D03CD" w:rsidRPr="009D03CD" w:rsidTr="009D3ADB">
        <w:tc>
          <w:tcPr>
            <w:tcW w:w="240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D03CD">
              <w:rPr>
                <w:rFonts w:ascii="Times New Roman" w:hAnsi="Times New Roman"/>
                <w:b/>
                <w:bCs/>
                <w:sz w:val="20"/>
                <w:szCs w:val="20"/>
              </w:rPr>
              <w:t>Cancer</w:t>
            </w:r>
          </w:p>
        </w:tc>
        <w:tc>
          <w:tcPr>
            <w:tcW w:w="1335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4066B2" w:rsidRPr="009D03CD" w:rsidRDefault="004066B2" w:rsidP="00091BC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CD">
              <w:rPr>
                <w:rFonts w:ascii="Times New Roman" w:hAnsi="Times New Roman"/>
                <w:sz w:val="20"/>
                <w:szCs w:val="20"/>
              </w:rPr>
              <w:t>Cancer</w:t>
            </w:r>
          </w:p>
        </w:tc>
      </w:tr>
    </w:tbl>
    <w:p w:rsidR="006C196A" w:rsidRDefault="006C196A">
      <w:pPr>
        <w:rPr>
          <w:rFonts w:ascii="Times New Roman" w:hAnsi="Times New Roman"/>
          <w:b/>
          <w:bCs/>
          <w:lang w:val="en-GB"/>
        </w:rPr>
      </w:pPr>
      <w:r>
        <w:rPr>
          <w:rFonts w:ascii="Times New Roman" w:hAnsi="Times New Roman"/>
          <w:b/>
          <w:bCs/>
          <w:lang w:val="en-GB"/>
        </w:rPr>
        <w:br w:type="page"/>
      </w:r>
    </w:p>
    <w:p w:rsidR="006C196A" w:rsidRDefault="006C196A" w:rsidP="008B2E8D">
      <w:pPr>
        <w:spacing w:after="0" w:line="360" w:lineRule="auto"/>
        <w:jc w:val="both"/>
        <w:rPr>
          <w:rFonts w:ascii="Times New Roman" w:hAnsi="Times New Roman"/>
          <w:color w:val="FF0000"/>
          <w:lang w:val="en-GB"/>
        </w:rPr>
      </w:pPr>
      <w:r w:rsidRPr="00A014AA">
        <w:rPr>
          <w:rFonts w:ascii="Times New Roman" w:hAnsi="Times New Roman"/>
          <w:b/>
          <w:bCs/>
          <w:color w:val="FF0000"/>
          <w:lang w:val="en-GB"/>
        </w:rPr>
        <w:lastRenderedPageBreak/>
        <w:t>Table S2</w:t>
      </w:r>
      <w:r w:rsidRPr="00A014AA">
        <w:rPr>
          <w:rFonts w:ascii="Times New Roman" w:hAnsi="Times New Roman"/>
          <w:color w:val="FF0000"/>
          <w:lang w:val="en-GB"/>
        </w:rPr>
        <w:t xml:space="preserve">. </w:t>
      </w:r>
      <w:r w:rsidRPr="00A014AA">
        <w:rPr>
          <w:rFonts w:ascii="Times New Roman" w:hAnsi="Times New Roman"/>
          <w:b/>
          <w:color w:val="FF0000"/>
          <w:lang w:val="en-GB"/>
        </w:rPr>
        <w:t>Index year distribution in the matched cohort</w:t>
      </w:r>
      <w:r w:rsidRPr="00A014AA">
        <w:rPr>
          <w:rFonts w:ascii="Times New Roman" w:hAnsi="Times New Roman"/>
          <w:color w:val="FF0000"/>
          <w:lang w:val="en-GB"/>
        </w:rPr>
        <w:t>. Columns 2 and 3 report the number of matched GLP-1RA or DPP4i initiators (respectively) whose index date was in the year indicated by column 1.</w:t>
      </w:r>
    </w:p>
    <w:p w:rsidR="00DA7E15" w:rsidRPr="00A014AA" w:rsidRDefault="00DA7E15" w:rsidP="008B2E8D">
      <w:pPr>
        <w:spacing w:after="0" w:line="360" w:lineRule="auto"/>
        <w:jc w:val="both"/>
        <w:rPr>
          <w:rFonts w:ascii="Times New Roman" w:hAnsi="Times New Roman"/>
          <w:color w:val="FF0000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3"/>
        <w:gridCol w:w="1843"/>
        <w:gridCol w:w="1984"/>
      </w:tblGrid>
      <w:tr w:rsidR="00A014AA" w:rsidRPr="00A014AA" w:rsidTr="006C196A">
        <w:trPr>
          <w:jc w:val="center"/>
        </w:trPr>
        <w:tc>
          <w:tcPr>
            <w:tcW w:w="1413" w:type="dxa"/>
            <w:vAlign w:val="center"/>
          </w:tcPr>
          <w:p w:rsidR="006C196A" w:rsidRPr="00A014AA" w:rsidRDefault="006C196A" w:rsidP="00942312">
            <w:pPr>
              <w:spacing w:after="0" w:line="36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Index year</w:t>
            </w:r>
          </w:p>
        </w:tc>
        <w:tc>
          <w:tcPr>
            <w:tcW w:w="1843" w:type="dxa"/>
            <w:vAlign w:val="center"/>
          </w:tcPr>
          <w:p w:rsidR="006C196A" w:rsidRPr="00A014AA" w:rsidRDefault="006C196A" w:rsidP="00942312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GLP-1RA</w:t>
            </w:r>
          </w:p>
        </w:tc>
        <w:tc>
          <w:tcPr>
            <w:tcW w:w="1984" w:type="dxa"/>
            <w:vAlign w:val="center"/>
          </w:tcPr>
          <w:p w:rsidR="006C196A" w:rsidRPr="00A014AA" w:rsidRDefault="006C196A" w:rsidP="00942312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DPP4i</w:t>
            </w:r>
          </w:p>
        </w:tc>
      </w:tr>
      <w:tr w:rsidR="00A014AA" w:rsidRPr="00A014AA" w:rsidTr="006C196A">
        <w:trPr>
          <w:jc w:val="center"/>
        </w:trPr>
        <w:tc>
          <w:tcPr>
            <w:tcW w:w="1413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2011</w:t>
            </w:r>
          </w:p>
        </w:tc>
        <w:tc>
          <w:tcPr>
            <w:tcW w:w="1843" w:type="dxa"/>
            <w:vAlign w:val="center"/>
          </w:tcPr>
          <w:p w:rsidR="006C196A" w:rsidRPr="00A014AA" w:rsidRDefault="006C196A" w:rsidP="006C196A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6C196A" w:rsidRPr="00A014AA" w:rsidRDefault="006C196A" w:rsidP="006C196A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</w:tr>
      <w:tr w:rsidR="00A014AA" w:rsidRPr="00A014AA" w:rsidTr="006C196A">
        <w:trPr>
          <w:jc w:val="center"/>
        </w:trPr>
        <w:tc>
          <w:tcPr>
            <w:tcW w:w="1413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2012</w:t>
            </w:r>
          </w:p>
        </w:tc>
        <w:tc>
          <w:tcPr>
            <w:tcW w:w="1843" w:type="dxa"/>
            <w:vAlign w:val="center"/>
          </w:tcPr>
          <w:p w:rsidR="006C196A" w:rsidRPr="00A014AA" w:rsidRDefault="006C196A" w:rsidP="006C196A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color w:val="FF0000"/>
                <w:sz w:val="20"/>
                <w:szCs w:val="20"/>
              </w:rPr>
              <w:t>200</w:t>
            </w:r>
          </w:p>
        </w:tc>
        <w:tc>
          <w:tcPr>
            <w:tcW w:w="1984" w:type="dxa"/>
            <w:vAlign w:val="center"/>
          </w:tcPr>
          <w:p w:rsidR="006C196A" w:rsidRPr="00A014AA" w:rsidRDefault="006C196A" w:rsidP="006C196A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color w:val="FF0000"/>
                <w:sz w:val="20"/>
                <w:szCs w:val="20"/>
              </w:rPr>
              <w:t>136</w:t>
            </w:r>
          </w:p>
        </w:tc>
      </w:tr>
      <w:tr w:rsidR="00A014AA" w:rsidRPr="00A014AA" w:rsidTr="006C196A">
        <w:trPr>
          <w:jc w:val="center"/>
        </w:trPr>
        <w:tc>
          <w:tcPr>
            <w:tcW w:w="1413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2013</w:t>
            </w:r>
          </w:p>
        </w:tc>
        <w:tc>
          <w:tcPr>
            <w:tcW w:w="1843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color w:val="FF0000"/>
                <w:sz w:val="20"/>
                <w:szCs w:val="20"/>
              </w:rPr>
              <w:t>377</w:t>
            </w:r>
          </w:p>
        </w:tc>
        <w:tc>
          <w:tcPr>
            <w:tcW w:w="1984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color w:val="FF0000"/>
                <w:sz w:val="20"/>
                <w:szCs w:val="20"/>
              </w:rPr>
              <w:t>433</w:t>
            </w:r>
          </w:p>
        </w:tc>
      </w:tr>
      <w:tr w:rsidR="00A014AA" w:rsidRPr="00A014AA" w:rsidTr="006C196A">
        <w:trPr>
          <w:jc w:val="center"/>
        </w:trPr>
        <w:tc>
          <w:tcPr>
            <w:tcW w:w="1413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2014</w:t>
            </w:r>
          </w:p>
        </w:tc>
        <w:tc>
          <w:tcPr>
            <w:tcW w:w="1843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color w:val="FF0000"/>
                <w:sz w:val="20"/>
                <w:szCs w:val="20"/>
              </w:rPr>
              <w:t>329</w:t>
            </w:r>
          </w:p>
        </w:tc>
        <w:tc>
          <w:tcPr>
            <w:tcW w:w="1984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color w:val="FF0000"/>
                <w:sz w:val="20"/>
                <w:szCs w:val="20"/>
              </w:rPr>
              <w:t>292</w:t>
            </w:r>
          </w:p>
        </w:tc>
      </w:tr>
      <w:tr w:rsidR="00A014AA" w:rsidRPr="00A014AA" w:rsidTr="006C196A">
        <w:trPr>
          <w:jc w:val="center"/>
        </w:trPr>
        <w:tc>
          <w:tcPr>
            <w:tcW w:w="1413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2015</w:t>
            </w:r>
          </w:p>
        </w:tc>
        <w:tc>
          <w:tcPr>
            <w:tcW w:w="1843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color w:val="FF0000"/>
                <w:sz w:val="20"/>
                <w:szCs w:val="20"/>
              </w:rPr>
              <w:t>374</w:t>
            </w:r>
          </w:p>
        </w:tc>
        <w:tc>
          <w:tcPr>
            <w:tcW w:w="1984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color w:val="FF0000"/>
                <w:sz w:val="20"/>
                <w:szCs w:val="20"/>
              </w:rPr>
              <w:t>517</w:t>
            </w:r>
          </w:p>
        </w:tc>
      </w:tr>
      <w:tr w:rsidR="00A014AA" w:rsidRPr="00A014AA" w:rsidTr="006C196A">
        <w:trPr>
          <w:jc w:val="center"/>
        </w:trPr>
        <w:tc>
          <w:tcPr>
            <w:tcW w:w="1413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2016</w:t>
            </w:r>
          </w:p>
        </w:tc>
        <w:tc>
          <w:tcPr>
            <w:tcW w:w="1843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color w:val="FF0000"/>
                <w:sz w:val="20"/>
                <w:szCs w:val="20"/>
              </w:rPr>
              <w:t>525</w:t>
            </w:r>
          </w:p>
        </w:tc>
        <w:tc>
          <w:tcPr>
            <w:tcW w:w="1984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color w:val="FF0000"/>
                <w:sz w:val="20"/>
                <w:szCs w:val="20"/>
              </w:rPr>
              <w:t>495</w:t>
            </w:r>
          </w:p>
        </w:tc>
      </w:tr>
      <w:tr w:rsidR="00A014AA" w:rsidRPr="00A014AA" w:rsidTr="006C196A">
        <w:trPr>
          <w:jc w:val="center"/>
        </w:trPr>
        <w:tc>
          <w:tcPr>
            <w:tcW w:w="1413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2017</w:t>
            </w:r>
          </w:p>
        </w:tc>
        <w:tc>
          <w:tcPr>
            <w:tcW w:w="1843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color w:val="FF0000"/>
                <w:sz w:val="20"/>
                <w:szCs w:val="20"/>
              </w:rPr>
              <w:t>614</w:t>
            </w:r>
          </w:p>
        </w:tc>
        <w:tc>
          <w:tcPr>
            <w:tcW w:w="1984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color w:val="FF0000"/>
                <w:sz w:val="20"/>
                <w:szCs w:val="20"/>
              </w:rPr>
              <w:t>586</w:t>
            </w:r>
          </w:p>
        </w:tc>
      </w:tr>
      <w:tr w:rsidR="00A014AA" w:rsidRPr="00A014AA" w:rsidTr="006C196A">
        <w:trPr>
          <w:jc w:val="center"/>
        </w:trPr>
        <w:tc>
          <w:tcPr>
            <w:tcW w:w="1413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2018</w:t>
            </w:r>
          </w:p>
        </w:tc>
        <w:tc>
          <w:tcPr>
            <w:tcW w:w="1843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color w:val="FF0000"/>
                <w:sz w:val="20"/>
                <w:szCs w:val="20"/>
              </w:rPr>
              <w:t>387</w:t>
            </w:r>
          </w:p>
        </w:tc>
        <w:tc>
          <w:tcPr>
            <w:tcW w:w="1984" w:type="dxa"/>
            <w:vAlign w:val="bottom"/>
          </w:tcPr>
          <w:p w:rsidR="006C196A" w:rsidRPr="00A014AA" w:rsidRDefault="006C196A" w:rsidP="006C196A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14AA">
              <w:rPr>
                <w:rFonts w:ascii="Times New Roman" w:hAnsi="Times New Roman"/>
                <w:color w:val="FF0000"/>
                <w:sz w:val="20"/>
                <w:szCs w:val="20"/>
              </w:rPr>
              <w:t>348</w:t>
            </w:r>
          </w:p>
        </w:tc>
      </w:tr>
    </w:tbl>
    <w:p w:rsidR="006C196A" w:rsidRPr="00A014AA" w:rsidRDefault="006C196A" w:rsidP="008B2E8D">
      <w:pPr>
        <w:spacing w:after="0" w:line="360" w:lineRule="auto"/>
        <w:jc w:val="both"/>
        <w:rPr>
          <w:rFonts w:ascii="Times New Roman" w:hAnsi="Times New Roman"/>
          <w:color w:val="FF0000"/>
          <w:lang w:val="en-GB"/>
        </w:rPr>
      </w:pPr>
    </w:p>
    <w:p w:rsidR="006C196A" w:rsidRPr="00A014AA" w:rsidRDefault="006C196A">
      <w:pPr>
        <w:rPr>
          <w:rFonts w:ascii="Times New Roman" w:hAnsi="Times New Roman"/>
          <w:color w:val="FF0000"/>
          <w:lang w:val="en-GB"/>
        </w:rPr>
      </w:pPr>
      <w:r w:rsidRPr="00A014AA">
        <w:rPr>
          <w:rFonts w:ascii="Times New Roman" w:hAnsi="Times New Roman"/>
          <w:color w:val="FF0000"/>
          <w:lang w:val="en-GB"/>
        </w:rPr>
        <w:br w:type="page"/>
      </w:r>
    </w:p>
    <w:p w:rsidR="00942312" w:rsidRPr="00942312" w:rsidRDefault="00942312" w:rsidP="00942312">
      <w:pPr>
        <w:spacing w:after="0" w:line="360" w:lineRule="auto"/>
        <w:jc w:val="both"/>
        <w:rPr>
          <w:rFonts w:ascii="Times New Roman" w:hAnsi="Times New Roman"/>
          <w:color w:val="FF0000"/>
        </w:rPr>
      </w:pPr>
      <w:r w:rsidRPr="00942312">
        <w:rPr>
          <w:rFonts w:ascii="Times New Roman" w:hAnsi="Times New Roman"/>
          <w:b/>
          <w:bCs/>
          <w:color w:val="FF0000"/>
        </w:rPr>
        <w:lastRenderedPageBreak/>
        <w:t xml:space="preserve">Table S3. Baseline clinical characteristics </w:t>
      </w:r>
      <w:r>
        <w:rPr>
          <w:rFonts w:ascii="Times New Roman" w:hAnsi="Times New Roman"/>
          <w:b/>
          <w:bCs/>
          <w:color w:val="FF0000"/>
        </w:rPr>
        <w:t>of human-based GLP-1RA and exendin-based GLP-1RA initiators vs. DPP4i initiators</w:t>
      </w:r>
      <w:r w:rsidRPr="00942312">
        <w:rPr>
          <w:rFonts w:ascii="Times New Roman" w:hAnsi="Times New Roman"/>
          <w:b/>
          <w:color w:val="FF0000"/>
        </w:rPr>
        <w:t>.</w:t>
      </w:r>
      <w:r w:rsidRPr="00942312">
        <w:rPr>
          <w:rFonts w:ascii="Times New Roman" w:hAnsi="Times New Roman"/>
          <w:color w:val="FF0000"/>
        </w:rPr>
        <w:t xml:space="preserve"> Therapy variables were calculated starting from 12 months before the index date, unless otherwise indicated. Pre-existing conditions were calculated with all available data up to the index date. Clinical-laboratory data refer to the visit closest to the index date. Absolute SMD values are shown.</w:t>
      </w:r>
    </w:p>
    <w:tbl>
      <w:tblPr>
        <w:tblpPr w:leftFromText="180" w:rightFromText="180" w:vertAnchor="page" w:horzAnchor="margin" w:tblpY="3601"/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2"/>
        <w:gridCol w:w="964"/>
        <w:gridCol w:w="992"/>
        <w:gridCol w:w="653"/>
        <w:gridCol w:w="906"/>
        <w:gridCol w:w="992"/>
        <w:gridCol w:w="1016"/>
        <w:gridCol w:w="709"/>
        <w:gridCol w:w="782"/>
      </w:tblGrid>
      <w:tr w:rsidR="00942312" w:rsidRPr="00942312" w:rsidTr="00942312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942312" w:rsidRPr="00942312" w:rsidRDefault="00942312" w:rsidP="00942312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3515" w:type="dxa"/>
            <w:gridSpan w:val="4"/>
            <w:noWrap/>
            <w:vAlign w:val="center"/>
          </w:tcPr>
          <w:p w:rsidR="00942312" w:rsidRPr="00942312" w:rsidRDefault="00942312" w:rsidP="0094231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Human-based GLP-1RA</w:t>
            </w:r>
          </w:p>
        </w:tc>
        <w:tc>
          <w:tcPr>
            <w:tcW w:w="3499" w:type="dxa"/>
            <w:gridSpan w:val="4"/>
            <w:noWrap/>
            <w:vAlign w:val="center"/>
          </w:tcPr>
          <w:p w:rsidR="00942312" w:rsidRPr="00942312" w:rsidRDefault="00942312" w:rsidP="0094231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Exendin-based GLP-1RA</w:t>
            </w:r>
          </w:p>
        </w:tc>
      </w:tr>
      <w:tr w:rsidR="00942312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942312" w:rsidRPr="00942312" w:rsidRDefault="00942312" w:rsidP="0094231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64" w:type="dxa"/>
            <w:noWrap/>
            <w:vAlign w:val="center"/>
          </w:tcPr>
          <w:p w:rsidR="00942312" w:rsidRPr="00942312" w:rsidRDefault="00942312" w:rsidP="0094231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GLP-1RA</w:t>
            </w:r>
            <w:r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br/>
              <w:t>(N=</w:t>
            </w:r>
            <w:r w:rsid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2186</w:t>
            </w:r>
            <w:r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</w:tcPr>
          <w:p w:rsidR="00942312" w:rsidRPr="00942312" w:rsidRDefault="00942312" w:rsidP="0094231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DPP4i (N=</w:t>
            </w:r>
            <w:r w:rsidR="00F01C90"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2807</w:t>
            </w:r>
            <w:r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)</w:t>
            </w:r>
          </w:p>
        </w:tc>
        <w:tc>
          <w:tcPr>
            <w:tcW w:w="653" w:type="dxa"/>
            <w:noWrap/>
            <w:vAlign w:val="center"/>
          </w:tcPr>
          <w:p w:rsidR="00942312" w:rsidRPr="00942312" w:rsidRDefault="00942312" w:rsidP="0094231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SMD</w:t>
            </w:r>
            <w:r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906" w:type="dxa"/>
            <w:noWrap/>
            <w:vAlign w:val="center"/>
          </w:tcPr>
          <w:p w:rsidR="00942312" w:rsidRPr="00942312" w:rsidRDefault="00942312" w:rsidP="0094231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p value</w:t>
            </w:r>
            <w:r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noWrap/>
            <w:vAlign w:val="center"/>
          </w:tcPr>
          <w:p w:rsidR="00942312" w:rsidRPr="00942312" w:rsidRDefault="00942312" w:rsidP="0094231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GLP-1RA</w:t>
            </w:r>
            <w:r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br/>
              <w:t>(N=</w:t>
            </w:r>
            <w:r w:rsid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621</w:t>
            </w:r>
            <w:r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)</w:t>
            </w:r>
          </w:p>
        </w:tc>
        <w:tc>
          <w:tcPr>
            <w:tcW w:w="1016" w:type="dxa"/>
            <w:noWrap/>
            <w:vAlign w:val="center"/>
          </w:tcPr>
          <w:p w:rsidR="00942312" w:rsidRPr="00942312" w:rsidRDefault="00942312" w:rsidP="0094231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DPP4i (N=2807)</w:t>
            </w:r>
          </w:p>
        </w:tc>
        <w:tc>
          <w:tcPr>
            <w:tcW w:w="709" w:type="dxa"/>
            <w:noWrap/>
            <w:vAlign w:val="center"/>
          </w:tcPr>
          <w:p w:rsidR="00942312" w:rsidRPr="00942312" w:rsidRDefault="00942312" w:rsidP="0094231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SMD</w:t>
            </w:r>
            <w:r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782" w:type="dxa"/>
            <w:noWrap/>
            <w:vAlign w:val="center"/>
          </w:tcPr>
          <w:p w:rsidR="00942312" w:rsidRPr="00942312" w:rsidRDefault="00942312" w:rsidP="0094231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p value</w:t>
            </w:r>
            <w:r w:rsidRPr="009423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vertAlign w:val="superscript"/>
              </w:rPr>
              <w:t>**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Demographics 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Age at index date (years)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63.8 (8.6)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63.4 (10.2)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0.03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0.063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62.1 (8.4)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63.4 (10.2)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-0.14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0.001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Female sex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38.8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39.9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-0.02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0.448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42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39.9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0.04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0.359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Claims-based history </w:t>
            </w:r>
            <w:proofErr w:type="spellStart"/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length</w:t>
            </w: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vertAlign w:val="superscript"/>
              </w:rPr>
              <w:t>a</w:t>
            </w:r>
            <w:proofErr w:type="spellEnd"/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(months)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49.3 (22.1)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48.3 (20.9)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0.05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0.01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42.4 (17.0)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48.3 (20.9)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-0.29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Claims-based diabetes </w:t>
            </w:r>
            <w:proofErr w:type="spellStart"/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duration</w:t>
            </w: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vertAlign w:val="superscript"/>
              </w:rPr>
              <w:t>b</w:t>
            </w:r>
            <w:proofErr w:type="spellEnd"/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(months)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102.0 (63.4)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100.5 (61.8)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0.02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0.267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93.0 (60.1)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100.5 (61.8)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-0.12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0.002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Risk factors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Hypertension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82.8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82.4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0.01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0.773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83.3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82.4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0.02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0.654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proofErr w:type="spellStart"/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Dyslipidaemia</w:t>
            </w:r>
            <w:proofErr w:type="spellEnd"/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69.3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69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0.01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0.845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67.1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69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-0.04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0.393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Macrovascular complications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Peripheral circulatory complications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1.2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1.5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-0.02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0.482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0.8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1.5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-0.06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0.275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Infarction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5.5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5.3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0.01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0.827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3.5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5.3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-0.08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0.084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Ischemic heart disease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9.9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10.2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-0.01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0.756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8.9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10.2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-0.04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0.353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Stroke or TIA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3.4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3.9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-0.02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0.444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2.3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3.9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-0.09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0.064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Heart failure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2.3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2.6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-0.02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0.537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2.1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2.6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-0.03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0.555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Cardiovascular disease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14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15.1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-0.03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0.312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12.6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15.1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-0.07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0.119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Microvascular complications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Neurological complications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0.2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0.3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-0.01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0.915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0.2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0.3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-0.02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0.91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Ocular complications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0.2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0.2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0.886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0.2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0.2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-0.02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0.963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Renal complications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0.3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0.3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0.842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0.3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-0.06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0.383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Chronic kidney disease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1.5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1.8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-0.02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0.527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1.8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-0.06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0.202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Severe hypoglycaemia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0.5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0.6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-0.02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0.726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0.3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0.6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-0.03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0.641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Comorbidities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Chronic pulmonary disease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29.9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30.3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-0.01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0.805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28.7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30.3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-0.04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0.455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Systemic inflammatory disease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2.3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2.3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0.937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2.1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2.3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-0.01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0.893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Cancer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10.3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9.8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0.02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0.531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10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9.8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0.01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0.925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proofErr w:type="spellStart"/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Charlson</w:t>
            </w:r>
            <w:proofErr w:type="spellEnd"/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comorbidity index 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0.4 (0.9)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0.4 (1.0)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0.203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0.2 (0.8)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0.4 (1.0)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-0.11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0.03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Glucose lowering medications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No. of different A10B </w:t>
            </w:r>
            <w:proofErr w:type="spellStart"/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therapies</w:t>
            </w: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vertAlign w:val="superscript"/>
              </w:rPr>
              <w:t>c</w:t>
            </w:r>
            <w:proofErr w:type="spellEnd"/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1.8 (0.9)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1.8 (0.9)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0.03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0.225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1.7 (0.8)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1.8 (0.9)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-0.04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0.37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Ever used insulin</w:t>
            </w: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vertAlign w:val="superscript"/>
              </w:rPr>
              <w:t xml:space="preserve"> </w:t>
            </w: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18.3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17.6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0.02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0.553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14.3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17.6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-0.09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0.06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Long-acting insulin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14.9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13.7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0.04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0.231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8.9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13.7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-0.14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0.001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Metformin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90.3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91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-0.03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0.381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92.4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91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0.05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0.295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lastRenderedPageBreak/>
              <w:t>Sulfonylureas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50.2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48.2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0.04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0.181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47.7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48.2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-0.01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0.831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SGLT-2i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2.7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1.3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0.1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0.001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0.5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1.3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-0.08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0.122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Pioglitazone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13.5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13.9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-0.01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0.723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16.4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13.9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0.07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0.123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Other therapies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ACE inhibitors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71.9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72.2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-0.01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0.861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72.3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72.2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0.989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Diuretics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20.1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20.3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0.904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22.1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20.3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0.04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0.356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Beta blockers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35.3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34.9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0.01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0.79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34.9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34.9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0.975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Other antihypertensives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8.6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8.5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0.955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9.8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8.5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0.05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0.334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Statins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61.3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61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0.01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0.821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57.3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61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-0.07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0.1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42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Fibrates or omega-3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11.2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11.1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0.995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10.6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11.1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-0.02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0.78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68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Ezetimibe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2.4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2.6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-0.01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0.684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2.3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2.6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-0.02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0.722</w:t>
            </w:r>
          </w:p>
        </w:tc>
      </w:tr>
      <w:tr w:rsidR="00F01C90" w:rsidRPr="00942312" w:rsidTr="00D2088B">
        <w:trPr>
          <w:cantSplit/>
          <w:trHeight w:val="20"/>
        </w:trPr>
        <w:tc>
          <w:tcPr>
            <w:tcW w:w="2552" w:type="dxa"/>
            <w:noWrap/>
            <w:vAlign w:val="center"/>
          </w:tcPr>
          <w:p w:rsidR="00F01C90" w:rsidRPr="00F01C90" w:rsidRDefault="00F01C90" w:rsidP="00F01C90">
            <w:pPr>
              <w:spacing w:after="0" w:line="360" w:lineRule="auto"/>
              <w:ind w:left="168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F01C90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Platelet aggregation inhibitors (%)</w:t>
            </w:r>
          </w:p>
        </w:tc>
        <w:tc>
          <w:tcPr>
            <w:tcW w:w="964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36.2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34.3</w:t>
            </w:r>
          </w:p>
        </w:tc>
        <w:tc>
          <w:tcPr>
            <w:tcW w:w="653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0.04</w:t>
            </w:r>
          </w:p>
        </w:tc>
        <w:tc>
          <w:tcPr>
            <w:tcW w:w="90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0.169</w:t>
            </w:r>
          </w:p>
        </w:tc>
        <w:tc>
          <w:tcPr>
            <w:tcW w:w="99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27.9</w:t>
            </w:r>
          </w:p>
        </w:tc>
        <w:tc>
          <w:tcPr>
            <w:tcW w:w="1016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34.3</w:t>
            </w:r>
          </w:p>
        </w:tc>
        <w:tc>
          <w:tcPr>
            <w:tcW w:w="709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-0.14</w:t>
            </w:r>
          </w:p>
        </w:tc>
        <w:tc>
          <w:tcPr>
            <w:tcW w:w="782" w:type="dxa"/>
            <w:noWrap/>
            <w:vAlign w:val="center"/>
          </w:tcPr>
          <w:p w:rsidR="00F01C90" w:rsidRPr="00942312" w:rsidRDefault="00F01C90" w:rsidP="00F01C90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42312">
              <w:rPr>
                <w:rFonts w:ascii="Times New Roman" w:hAnsi="Times New Roman"/>
                <w:color w:val="FF0000"/>
                <w:sz w:val="16"/>
                <w:szCs w:val="16"/>
              </w:rPr>
              <w:t>0.002</w:t>
            </w:r>
          </w:p>
        </w:tc>
      </w:tr>
    </w:tbl>
    <w:p w:rsidR="00942312" w:rsidRPr="00942312" w:rsidRDefault="00942312" w:rsidP="00942312">
      <w:pPr>
        <w:spacing w:after="0" w:line="360" w:lineRule="auto"/>
        <w:jc w:val="both"/>
        <w:rPr>
          <w:rFonts w:ascii="Times New Roman" w:hAnsi="Times New Roman"/>
          <w:color w:val="FF0000"/>
        </w:rPr>
      </w:pPr>
    </w:p>
    <w:p w:rsidR="00942312" w:rsidRPr="00942312" w:rsidRDefault="00942312" w:rsidP="00942312">
      <w:pPr>
        <w:spacing w:after="0" w:line="360" w:lineRule="auto"/>
        <w:jc w:val="both"/>
        <w:rPr>
          <w:rFonts w:ascii="Times New Roman" w:hAnsi="Times New Roman"/>
          <w:color w:val="FF0000"/>
        </w:rPr>
      </w:pPr>
      <w:r w:rsidRPr="00942312">
        <w:rPr>
          <w:rFonts w:ascii="Times New Roman" w:hAnsi="Times New Roman"/>
          <w:color w:val="FF0000"/>
          <w:vertAlign w:val="superscript"/>
        </w:rPr>
        <w:t>*</w:t>
      </w:r>
      <w:r w:rsidRPr="00942312">
        <w:rPr>
          <w:rFonts w:ascii="Times New Roman" w:hAnsi="Times New Roman"/>
          <w:color w:val="FF0000"/>
        </w:rPr>
        <w:t xml:space="preserve"> Standardized mean differences (positive if GLP-1RA greater).</w:t>
      </w:r>
      <w:r w:rsidRPr="00942312">
        <w:rPr>
          <w:rFonts w:ascii="Times New Roman" w:hAnsi="Times New Roman"/>
          <w:color w:val="FF0000"/>
          <w:vertAlign w:val="superscript"/>
        </w:rPr>
        <w:t>**</w:t>
      </w:r>
      <w:r w:rsidRPr="00942312">
        <w:rPr>
          <w:rFonts w:ascii="Times New Roman" w:hAnsi="Times New Roman"/>
          <w:color w:val="FF0000"/>
        </w:rPr>
        <w:t xml:space="preserve"> Chi-squared test for dichotomous variables (expressed as %), Mann-Whitney’s U test otherwise. </w:t>
      </w:r>
      <w:r w:rsidRPr="00942312">
        <w:rPr>
          <w:rFonts w:ascii="Times New Roman" w:hAnsi="Times New Roman"/>
          <w:color w:val="FF0000"/>
          <w:vertAlign w:val="superscript"/>
        </w:rPr>
        <w:t>a</w:t>
      </w:r>
      <w:r w:rsidRPr="00942312">
        <w:rPr>
          <w:rFonts w:ascii="Times New Roman" w:hAnsi="Times New Roman"/>
          <w:color w:val="FF0000"/>
        </w:rPr>
        <w:t xml:space="preserve"> time interval between the first available claim and the index date. </w:t>
      </w:r>
      <w:r w:rsidRPr="00942312">
        <w:rPr>
          <w:rFonts w:ascii="Times New Roman" w:hAnsi="Times New Roman"/>
          <w:color w:val="FF0000"/>
          <w:vertAlign w:val="superscript"/>
        </w:rPr>
        <w:t>b</w:t>
      </w:r>
      <w:r w:rsidRPr="00942312">
        <w:rPr>
          <w:rFonts w:ascii="Times New Roman" w:hAnsi="Times New Roman"/>
          <w:color w:val="FF0000"/>
        </w:rPr>
        <w:t xml:space="preserve"> time interval between the first claim or exemption from co-payment indicating diabetes and the index date. </w:t>
      </w:r>
      <w:r w:rsidRPr="00942312">
        <w:rPr>
          <w:rFonts w:ascii="Times New Roman" w:hAnsi="Times New Roman"/>
          <w:color w:val="FF0000"/>
          <w:vertAlign w:val="superscript"/>
        </w:rPr>
        <w:t>c</w:t>
      </w:r>
      <w:r w:rsidRPr="00942312">
        <w:rPr>
          <w:rFonts w:ascii="Times New Roman" w:hAnsi="Times New Roman"/>
          <w:color w:val="FF0000"/>
        </w:rPr>
        <w:t xml:space="preserve"> computed using all available data up to the index date. </w:t>
      </w:r>
    </w:p>
    <w:p w:rsidR="006C196A" w:rsidRPr="009D03CD" w:rsidRDefault="006C196A" w:rsidP="008B2E8D">
      <w:pPr>
        <w:spacing w:after="0" w:line="360" w:lineRule="auto"/>
        <w:jc w:val="both"/>
        <w:rPr>
          <w:rFonts w:ascii="Times New Roman" w:hAnsi="Times New Roman"/>
          <w:lang w:val="en-GB"/>
        </w:rPr>
      </w:pPr>
    </w:p>
    <w:sectPr w:rsidR="006C196A" w:rsidRPr="009D03CD" w:rsidSect="00A100E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E15" w:rsidRDefault="00DA7E15" w:rsidP="00CA1F32">
      <w:pPr>
        <w:spacing w:after="0" w:line="240" w:lineRule="auto"/>
      </w:pPr>
      <w:r>
        <w:separator/>
      </w:r>
    </w:p>
  </w:endnote>
  <w:endnote w:type="continuationSeparator" w:id="0">
    <w:p w:rsidR="00DA7E15" w:rsidRDefault="00DA7E15" w:rsidP="00CA1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E15" w:rsidRDefault="008106FB">
    <w:pPr>
      <w:pStyle w:val="Footer"/>
      <w:jc w:val="center"/>
    </w:pPr>
    <w:r w:rsidRPr="00F570C7">
      <w:rPr>
        <w:rFonts w:ascii="Times New Roman" w:hAnsi="Times New Roman"/>
      </w:rPr>
      <w:fldChar w:fldCharType="begin"/>
    </w:r>
    <w:r w:rsidR="00DA7E15" w:rsidRPr="00F570C7">
      <w:rPr>
        <w:rFonts w:ascii="Times New Roman" w:hAnsi="Times New Roman"/>
      </w:rPr>
      <w:instrText>PAGE   \* MERGEFORMAT</w:instrText>
    </w:r>
    <w:r w:rsidRPr="00F570C7">
      <w:rPr>
        <w:rFonts w:ascii="Times New Roman" w:hAnsi="Times New Roman"/>
      </w:rPr>
      <w:fldChar w:fldCharType="separate"/>
    </w:r>
    <w:r w:rsidR="00A100E0" w:rsidRPr="00A100E0">
      <w:rPr>
        <w:rFonts w:ascii="Times New Roman" w:hAnsi="Times New Roman"/>
        <w:noProof/>
        <w:lang w:val="it-IT"/>
      </w:rPr>
      <w:t>1</w:t>
    </w:r>
    <w:r w:rsidRPr="00F570C7">
      <w:rPr>
        <w:rFonts w:ascii="Times New Roman" w:hAnsi="Times New Roman"/>
      </w:rPr>
      <w:fldChar w:fldCharType="end"/>
    </w:r>
  </w:p>
  <w:p w:rsidR="00DA7E15" w:rsidRDefault="00DA7E15" w:rsidP="00F570C7">
    <w:pPr>
      <w:pStyle w:val="Footer"/>
      <w:tabs>
        <w:tab w:val="clear" w:pos="4513"/>
        <w:tab w:val="clear" w:pos="9026"/>
        <w:tab w:val="left" w:pos="5902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E15" w:rsidRDefault="00DA7E15" w:rsidP="00CA1F32">
      <w:pPr>
        <w:spacing w:after="0" w:line="240" w:lineRule="auto"/>
      </w:pPr>
      <w:r>
        <w:separator/>
      </w:r>
    </w:p>
  </w:footnote>
  <w:footnote w:type="continuationSeparator" w:id="0">
    <w:p w:rsidR="00DA7E15" w:rsidRDefault="00DA7E15" w:rsidP="00CA1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E15" w:rsidRPr="00F570C7" w:rsidRDefault="008106FB">
    <w:pPr>
      <w:pStyle w:val="Header"/>
      <w:jc w:val="center"/>
      <w:rPr>
        <w:rFonts w:ascii="Times New Roman" w:hAnsi="Times New Roman"/>
      </w:rPr>
    </w:pPr>
    <w:r w:rsidRPr="00F570C7">
      <w:rPr>
        <w:rFonts w:ascii="Times New Roman" w:hAnsi="Times New Roman"/>
      </w:rPr>
      <w:fldChar w:fldCharType="begin"/>
    </w:r>
    <w:r w:rsidR="00DA7E15" w:rsidRPr="00F570C7">
      <w:rPr>
        <w:rFonts w:ascii="Times New Roman" w:hAnsi="Times New Roman"/>
      </w:rPr>
      <w:instrText>PAGE   \* MERGEFORMAT</w:instrText>
    </w:r>
    <w:r w:rsidRPr="00F570C7">
      <w:rPr>
        <w:rFonts w:ascii="Times New Roman" w:hAnsi="Times New Roman"/>
      </w:rPr>
      <w:fldChar w:fldCharType="separate"/>
    </w:r>
    <w:r w:rsidR="00A100E0" w:rsidRPr="00A100E0">
      <w:rPr>
        <w:rFonts w:ascii="Times New Roman" w:hAnsi="Times New Roman"/>
        <w:noProof/>
        <w:lang w:val="it-IT"/>
      </w:rPr>
      <w:t>1</w:t>
    </w:r>
    <w:r w:rsidRPr="00F570C7">
      <w:rPr>
        <w:rFonts w:ascii="Times New Roman" w:hAnsi="Times New Roman"/>
      </w:rPr>
      <w:fldChar w:fldCharType="end"/>
    </w:r>
  </w:p>
  <w:p w:rsidR="00DA7E15" w:rsidRDefault="00DA7E1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B29DF"/>
    <w:multiLevelType w:val="hybridMultilevel"/>
    <w:tmpl w:val="F4421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E1BD7"/>
    <w:multiLevelType w:val="hybridMultilevel"/>
    <w:tmpl w:val="9816049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B55A13"/>
    <w:multiLevelType w:val="hybridMultilevel"/>
    <w:tmpl w:val="2BEAFD12"/>
    <w:lvl w:ilvl="0" w:tplc="80C0C586">
      <w:start w:val="1"/>
      <w:numFmt w:val="decimal"/>
      <w:lvlText w:val="C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0D0E0D"/>
    <w:multiLevelType w:val="hybridMultilevel"/>
    <w:tmpl w:val="95CE6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3758D9"/>
    <w:multiLevelType w:val="hybridMultilevel"/>
    <w:tmpl w:val="AB36BAA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E3D7211"/>
    <w:multiLevelType w:val="hybridMultilevel"/>
    <w:tmpl w:val="88A6E0B2"/>
    <w:lvl w:ilvl="0" w:tplc="72B40852">
      <w:start w:val="1"/>
      <w:numFmt w:val="decimal"/>
      <w:lvlText w:val="V%1."/>
      <w:lvlJc w:val="left"/>
      <w:pPr>
        <w:ind w:left="72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556AA8"/>
    <w:multiLevelType w:val="hybridMultilevel"/>
    <w:tmpl w:val="D1007216"/>
    <w:lvl w:ilvl="0" w:tplc="0504BD8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Layout" w:val="&lt;ENLayout&gt;&lt;Style&gt;Circula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fax2z0zjwrrroedfdnpdzzpftr2fdvfzesd&quot;&gt;SGLT2i vs GLP1RA&lt;record-ids&gt;&lt;item&gt;22&lt;/item&gt;&lt;item&gt;48&lt;/item&gt;&lt;item&gt;49&lt;/item&gt;&lt;item&gt;50&lt;/item&gt;&lt;item&gt;51&lt;/item&gt;&lt;item&gt;52&lt;/item&gt;&lt;item&gt;53&lt;/item&gt;&lt;/record-ids&gt;&lt;/item&gt;&lt;/Libraries&gt;"/>
  </w:docVars>
  <w:rsids>
    <w:rsidRoot w:val="00DF4A90"/>
    <w:rsid w:val="00003DC1"/>
    <w:rsid w:val="0002062B"/>
    <w:rsid w:val="0002148F"/>
    <w:rsid w:val="00030D32"/>
    <w:rsid w:val="0003157B"/>
    <w:rsid w:val="00031CCB"/>
    <w:rsid w:val="000467E8"/>
    <w:rsid w:val="0006321D"/>
    <w:rsid w:val="00067A20"/>
    <w:rsid w:val="00071C56"/>
    <w:rsid w:val="00072F15"/>
    <w:rsid w:val="00091BC4"/>
    <w:rsid w:val="0009674F"/>
    <w:rsid w:val="000A02D6"/>
    <w:rsid w:val="000C06E8"/>
    <w:rsid w:val="000C3E89"/>
    <w:rsid w:val="000C7570"/>
    <w:rsid w:val="000D0BED"/>
    <w:rsid w:val="000D4A69"/>
    <w:rsid w:val="000E755E"/>
    <w:rsid w:val="00104471"/>
    <w:rsid w:val="00110BE0"/>
    <w:rsid w:val="00115C63"/>
    <w:rsid w:val="001176E2"/>
    <w:rsid w:val="0012517D"/>
    <w:rsid w:val="001467FC"/>
    <w:rsid w:val="00147113"/>
    <w:rsid w:val="00156E75"/>
    <w:rsid w:val="00162127"/>
    <w:rsid w:val="001626D0"/>
    <w:rsid w:val="00166E49"/>
    <w:rsid w:val="001733A3"/>
    <w:rsid w:val="0017355A"/>
    <w:rsid w:val="00182DA7"/>
    <w:rsid w:val="001A1F03"/>
    <w:rsid w:val="001A7C13"/>
    <w:rsid w:val="001B356D"/>
    <w:rsid w:val="001C1D86"/>
    <w:rsid w:val="001D515C"/>
    <w:rsid w:val="001D7CDA"/>
    <w:rsid w:val="001E2891"/>
    <w:rsid w:val="001F07C3"/>
    <w:rsid w:val="001F2591"/>
    <w:rsid w:val="001F3FFE"/>
    <w:rsid w:val="002040CC"/>
    <w:rsid w:val="00210244"/>
    <w:rsid w:val="00212307"/>
    <w:rsid w:val="002213AE"/>
    <w:rsid w:val="00231706"/>
    <w:rsid w:val="00231D08"/>
    <w:rsid w:val="00237D08"/>
    <w:rsid w:val="00264424"/>
    <w:rsid w:val="00274FB3"/>
    <w:rsid w:val="00280208"/>
    <w:rsid w:val="0028150A"/>
    <w:rsid w:val="002B0076"/>
    <w:rsid w:val="002C09BE"/>
    <w:rsid w:val="002D25C7"/>
    <w:rsid w:val="002D3F72"/>
    <w:rsid w:val="002E2343"/>
    <w:rsid w:val="002E3237"/>
    <w:rsid w:val="002E6119"/>
    <w:rsid w:val="002F2149"/>
    <w:rsid w:val="002F2613"/>
    <w:rsid w:val="00302AB0"/>
    <w:rsid w:val="00304C12"/>
    <w:rsid w:val="003159EB"/>
    <w:rsid w:val="00335C13"/>
    <w:rsid w:val="0034265B"/>
    <w:rsid w:val="0034361E"/>
    <w:rsid w:val="003513FB"/>
    <w:rsid w:val="00356634"/>
    <w:rsid w:val="00361CA7"/>
    <w:rsid w:val="0036622A"/>
    <w:rsid w:val="00387F67"/>
    <w:rsid w:val="003B1F0A"/>
    <w:rsid w:val="003B65B6"/>
    <w:rsid w:val="003D712A"/>
    <w:rsid w:val="003E31C4"/>
    <w:rsid w:val="003E60FE"/>
    <w:rsid w:val="003F58A0"/>
    <w:rsid w:val="00401452"/>
    <w:rsid w:val="0040190D"/>
    <w:rsid w:val="004052F9"/>
    <w:rsid w:val="004066B2"/>
    <w:rsid w:val="00416628"/>
    <w:rsid w:val="00432637"/>
    <w:rsid w:val="00436191"/>
    <w:rsid w:val="00472773"/>
    <w:rsid w:val="00483D12"/>
    <w:rsid w:val="004860CD"/>
    <w:rsid w:val="00490A7A"/>
    <w:rsid w:val="00493D88"/>
    <w:rsid w:val="00495E4E"/>
    <w:rsid w:val="00496D64"/>
    <w:rsid w:val="004A1133"/>
    <w:rsid w:val="004A54A3"/>
    <w:rsid w:val="004B049A"/>
    <w:rsid w:val="004B1CBA"/>
    <w:rsid w:val="004C0337"/>
    <w:rsid w:val="004C547E"/>
    <w:rsid w:val="004C68A9"/>
    <w:rsid w:val="004C7040"/>
    <w:rsid w:val="004E22D7"/>
    <w:rsid w:val="004E288C"/>
    <w:rsid w:val="004E35EE"/>
    <w:rsid w:val="004F1DB9"/>
    <w:rsid w:val="004F50EE"/>
    <w:rsid w:val="0050115E"/>
    <w:rsid w:val="00505AC7"/>
    <w:rsid w:val="005064D8"/>
    <w:rsid w:val="00514A69"/>
    <w:rsid w:val="005320E6"/>
    <w:rsid w:val="00546623"/>
    <w:rsid w:val="00557DC6"/>
    <w:rsid w:val="005709F1"/>
    <w:rsid w:val="005713FB"/>
    <w:rsid w:val="005773E0"/>
    <w:rsid w:val="005813A8"/>
    <w:rsid w:val="005A235D"/>
    <w:rsid w:val="005A437B"/>
    <w:rsid w:val="005B1CAF"/>
    <w:rsid w:val="005B6E7F"/>
    <w:rsid w:val="005D6C9C"/>
    <w:rsid w:val="00602874"/>
    <w:rsid w:val="00606512"/>
    <w:rsid w:val="00620770"/>
    <w:rsid w:val="00633594"/>
    <w:rsid w:val="00642C7C"/>
    <w:rsid w:val="00647D26"/>
    <w:rsid w:val="00673FBA"/>
    <w:rsid w:val="00684C0F"/>
    <w:rsid w:val="006957E2"/>
    <w:rsid w:val="006A4AAF"/>
    <w:rsid w:val="006B4C79"/>
    <w:rsid w:val="006C0A92"/>
    <w:rsid w:val="006C196A"/>
    <w:rsid w:val="006C40FE"/>
    <w:rsid w:val="006C71FF"/>
    <w:rsid w:val="006E6951"/>
    <w:rsid w:val="006F2B40"/>
    <w:rsid w:val="006F46BD"/>
    <w:rsid w:val="006F5D4E"/>
    <w:rsid w:val="00707A17"/>
    <w:rsid w:val="00715C7D"/>
    <w:rsid w:val="007244B4"/>
    <w:rsid w:val="00725E4D"/>
    <w:rsid w:val="007315AC"/>
    <w:rsid w:val="00735F9F"/>
    <w:rsid w:val="007412DD"/>
    <w:rsid w:val="00745064"/>
    <w:rsid w:val="00757829"/>
    <w:rsid w:val="00760844"/>
    <w:rsid w:val="00765D1B"/>
    <w:rsid w:val="00766849"/>
    <w:rsid w:val="007700AB"/>
    <w:rsid w:val="007716DB"/>
    <w:rsid w:val="00780854"/>
    <w:rsid w:val="00790004"/>
    <w:rsid w:val="00791010"/>
    <w:rsid w:val="007951A1"/>
    <w:rsid w:val="007A3CA8"/>
    <w:rsid w:val="007A503D"/>
    <w:rsid w:val="007C2282"/>
    <w:rsid w:val="007C3AFE"/>
    <w:rsid w:val="007D3541"/>
    <w:rsid w:val="007E11BD"/>
    <w:rsid w:val="007F2944"/>
    <w:rsid w:val="00802D7F"/>
    <w:rsid w:val="008106FB"/>
    <w:rsid w:val="00812E99"/>
    <w:rsid w:val="00851BA0"/>
    <w:rsid w:val="00853657"/>
    <w:rsid w:val="00897751"/>
    <w:rsid w:val="008A2150"/>
    <w:rsid w:val="008B2E8D"/>
    <w:rsid w:val="008C5A35"/>
    <w:rsid w:val="008D08E3"/>
    <w:rsid w:val="008E3EEC"/>
    <w:rsid w:val="008E4429"/>
    <w:rsid w:val="008E4989"/>
    <w:rsid w:val="008F01E2"/>
    <w:rsid w:val="008F0938"/>
    <w:rsid w:val="00905A81"/>
    <w:rsid w:val="00906CD1"/>
    <w:rsid w:val="00907B6D"/>
    <w:rsid w:val="009116E6"/>
    <w:rsid w:val="00942312"/>
    <w:rsid w:val="00963422"/>
    <w:rsid w:val="00965AA9"/>
    <w:rsid w:val="00973C4D"/>
    <w:rsid w:val="00985B93"/>
    <w:rsid w:val="00994F89"/>
    <w:rsid w:val="00996FC9"/>
    <w:rsid w:val="009B3FC3"/>
    <w:rsid w:val="009D03CD"/>
    <w:rsid w:val="009D3ADB"/>
    <w:rsid w:val="009D69BD"/>
    <w:rsid w:val="009E0840"/>
    <w:rsid w:val="009E791D"/>
    <w:rsid w:val="009F32E7"/>
    <w:rsid w:val="009F5D74"/>
    <w:rsid w:val="00A014AA"/>
    <w:rsid w:val="00A01534"/>
    <w:rsid w:val="00A0215E"/>
    <w:rsid w:val="00A100E0"/>
    <w:rsid w:val="00A123AC"/>
    <w:rsid w:val="00A12857"/>
    <w:rsid w:val="00A243CB"/>
    <w:rsid w:val="00A43498"/>
    <w:rsid w:val="00A5431E"/>
    <w:rsid w:val="00A578C6"/>
    <w:rsid w:val="00A609FF"/>
    <w:rsid w:val="00A638C7"/>
    <w:rsid w:val="00A71C6E"/>
    <w:rsid w:val="00A94C7E"/>
    <w:rsid w:val="00AA1D86"/>
    <w:rsid w:val="00AA550C"/>
    <w:rsid w:val="00AB199D"/>
    <w:rsid w:val="00AC77FB"/>
    <w:rsid w:val="00AD504E"/>
    <w:rsid w:val="00AF67ED"/>
    <w:rsid w:val="00B000D6"/>
    <w:rsid w:val="00B078D9"/>
    <w:rsid w:val="00B123E4"/>
    <w:rsid w:val="00B14AA7"/>
    <w:rsid w:val="00B17C3C"/>
    <w:rsid w:val="00B21766"/>
    <w:rsid w:val="00B27C90"/>
    <w:rsid w:val="00B3778E"/>
    <w:rsid w:val="00B437E1"/>
    <w:rsid w:val="00B46909"/>
    <w:rsid w:val="00B51008"/>
    <w:rsid w:val="00B61073"/>
    <w:rsid w:val="00B76E71"/>
    <w:rsid w:val="00B85902"/>
    <w:rsid w:val="00B86329"/>
    <w:rsid w:val="00B95AEC"/>
    <w:rsid w:val="00BA4225"/>
    <w:rsid w:val="00BA46AD"/>
    <w:rsid w:val="00BC41C2"/>
    <w:rsid w:val="00BD3CAB"/>
    <w:rsid w:val="00BD5C86"/>
    <w:rsid w:val="00BD6072"/>
    <w:rsid w:val="00BE1D01"/>
    <w:rsid w:val="00BE3724"/>
    <w:rsid w:val="00BE438D"/>
    <w:rsid w:val="00BE55CE"/>
    <w:rsid w:val="00BF1084"/>
    <w:rsid w:val="00BF7083"/>
    <w:rsid w:val="00C05A4C"/>
    <w:rsid w:val="00C06432"/>
    <w:rsid w:val="00C12924"/>
    <w:rsid w:val="00C1613D"/>
    <w:rsid w:val="00C22A8F"/>
    <w:rsid w:val="00C3122C"/>
    <w:rsid w:val="00C34357"/>
    <w:rsid w:val="00C517B5"/>
    <w:rsid w:val="00C53FD9"/>
    <w:rsid w:val="00C7221D"/>
    <w:rsid w:val="00C7764C"/>
    <w:rsid w:val="00C80791"/>
    <w:rsid w:val="00C87005"/>
    <w:rsid w:val="00C90DB1"/>
    <w:rsid w:val="00CA1F32"/>
    <w:rsid w:val="00CA37F2"/>
    <w:rsid w:val="00CA6601"/>
    <w:rsid w:val="00CB189C"/>
    <w:rsid w:val="00CC1930"/>
    <w:rsid w:val="00CC2AAF"/>
    <w:rsid w:val="00CC2E01"/>
    <w:rsid w:val="00CC53C9"/>
    <w:rsid w:val="00CC5C36"/>
    <w:rsid w:val="00CC65D3"/>
    <w:rsid w:val="00CD5646"/>
    <w:rsid w:val="00CD5B73"/>
    <w:rsid w:val="00CF2C4C"/>
    <w:rsid w:val="00CF3708"/>
    <w:rsid w:val="00D03C86"/>
    <w:rsid w:val="00D1712D"/>
    <w:rsid w:val="00D176E8"/>
    <w:rsid w:val="00D2088B"/>
    <w:rsid w:val="00D244FC"/>
    <w:rsid w:val="00D36AC5"/>
    <w:rsid w:val="00D40111"/>
    <w:rsid w:val="00D40446"/>
    <w:rsid w:val="00D41567"/>
    <w:rsid w:val="00D468A9"/>
    <w:rsid w:val="00D5272C"/>
    <w:rsid w:val="00D62B40"/>
    <w:rsid w:val="00D634C3"/>
    <w:rsid w:val="00D662F6"/>
    <w:rsid w:val="00D77708"/>
    <w:rsid w:val="00D81250"/>
    <w:rsid w:val="00D83171"/>
    <w:rsid w:val="00D836C9"/>
    <w:rsid w:val="00DA7E15"/>
    <w:rsid w:val="00DB35A8"/>
    <w:rsid w:val="00DB3847"/>
    <w:rsid w:val="00DB7A8A"/>
    <w:rsid w:val="00DC347E"/>
    <w:rsid w:val="00DD0FE2"/>
    <w:rsid w:val="00DD49F3"/>
    <w:rsid w:val="00DF4A90"/>
    <w:rsid w:val="00E21A97"/>
    <w:rsid w:val="00E2224D"/>
    <w:rsid w:val="00E26758"/>
    <w:rsid w:val="00E307D8"/>
    <w:rsid w:val="00E33FD0"/>
    <w:rsid w:val="00E364A1"/>
    <w:rsid w:val="00E446C9"/>
    <w:rsid w:val="00E558DA"/>
    <w:rsid w:val="00E83261"/>
    <w:rsid w:val="00E845C2"/>
    <w:rsid w:val="00E9788D"/>
    <w:rsid w:val="00EA24EC"/>
    <w:rsid w:val="00EB352A"/>
    <w:rsid w:val="00EB3DFE"/>
    <w:rsid w:val="00EB4702"/>
    <w:rsid w:val="00EC24CC"/>
    <w:rsid w:val="00EC2584"/>
    <w:rsid w:val="00EC6268"/>
    <w:rsid w:val="00EE550D"/>
    <w:rsid w:val="00EE7C0A"/>
    <w:rsid w:val="00F01C90"/>
    <w:rsid w:val="00F200C9"/>
    <w:rsid w:val="00F2148C"/>
    <w:rsid w:val="00F44320"/>
    <w:rsid w:val="00F44B8A"/>
    <w:rsid w:val="00F47AB3"/>
    <w:rsid w:val="00F511F9"/>
    <w:rsid w:val="00F570C7"/>
    <w:rsid w:val="00F6010B"/>
    <w:rsid w:val="00F76E9D"/>
    <w:rsid w:val="00F77BFB"/>
    <w:rsid w:val="00F93B85"/>
    <w:rsid w:val="00FA683D"/>
    <w:rsid w:val="00FB15C3"/>
    <w:rsid w:val="00FB1A18"/>
    <w:rsid w:val="00FC012D"/>
    <w:rsid w:val="00FC099A"/>
    <w:rsid w:val="00FC159A"/>
    <w:rsid w:val="00FC37A2"/>
    <w:rsid w:val="00FF4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locked="0" w:uiPriority="0"/>
    <w:lsdException w:name="Table Subtle 1" w:locked="0" w:uiPriority="0"/>
    <w:lsdException w:name="Table Web 2" w:locked="0" w:uiPriority="0"/>
    <w:lsdException w:name="Table Web 3" w:locked="0" w:uiPriority="0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8106FB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IEEE">
    <w:name w:val="IEEE"/>
    <w:uiPriority w:val="99"/>
    <w:rsid w:val="00D40446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rsid w:val="00CA1F32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A1F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A1F3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A1F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A1F32"/>
    <w:rPr>
      <w:rFonts w:cs="Times New Roman"/>
    </w:rPr>
  </w:style>
  <w:style w:type="character" w:styleId="Hyperlink">
    <w:name w:val="Hyperlink"/>
    <w:basedOn w:val="DefaultParagraphFont"/>
    <w:uiPriority w:val="99"/>
    <w:rsid w:val="00CA1F32"/>
    <w:rPr>
      <w:rFonts w:cs="Times New Roman"/>
      <w:color w:val="0563C1"/>
      <w:u w:val="single"/>
    </w:rPr>
  </w:style>
  <w:style w:type="paragraph" w:styleId="Bibliography">
    <w:name w:val="Bibliography"/>
    <w:basedOn w:val="Normal"/>
    <w:next w:val="Normal"/>
    <w:uiPriority w:val="99"/>
    <w:rsid w:val="00231706"/>
    <w:pPr>
      <w:tabs>
        <w:tab w:val="left" w:pos="384"/>
      </w:tabs>
      <w:spacing w:after="240" w:line="240" w:lineRule="auto"/>
      <w:ind w:left="384" w:hanging="384"/>
    </w:pPr>
  </w:style>
  <w:style w:type="paragraph" w:styleId="ListParagraph">
    <w:name w:val="List Paragraph"/>
    <w:basedOn w:val="Normal"/>
    <w:uiPriority w:val="99"/>
    <w:qFormat/>
    <w:rsid w:val="00A123AC"/>
    <w:pPr>
      <w:ind w:left="720"/>
      <w:contextualSpacing/>
    </w:pPr>
  </w:style>
  <w:style w:type="character" w:customStyle="1" w:styleId="st">
    <w:name w:val="st"/>
    <w:basedOn w:val="DefaultParagraphFont"/>
    <w:uiPriority w:val="99"/>
    <w:rsid w:val="00A609FF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E364A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E364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364A1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364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364A1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E36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364A1"/>
    <w:rPr>
      <w:rFonts w:ascii="Segoe UI" w:hAnsi="Segoe UI"/>
      <w:sz w:val="18"/>
    </w:rPr>
  </w:style>
  <w:style w:type="character" w:customStyle="1" w:styleId="Menzionenonrisolta1">
    <w:name w:val="Menzione non risolta1"/>
    <w:uiPriority w:val="99"/>
    <w:semiHidden/>
    <w:rsid w:val="00AD504E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rsid w:val="00FA6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FA683D"/>
    <w:rPr>
      <w:rFonts w:ascii="Courier New" w:hAnsi="Courier New"/>
      <w:sz w:val="20"/>
      <w:lang w:val="en-GB" w:eastAsia="en-GB"/>
    </w:rPr>
  </w:style>
  <w:style w:type="character" w:customStyle="1" w:styleId="Menzionenonrisolta2">
    <w:name w:val="Menzione non risolta2"/>
    <w:uiPriority w:val="99"/>
    <w:semiHidden/>
    <w:rsid w:val="008F01E2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2D3F7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3">
    <w:name w:val="Menzione non risolta3"/>
    <w:uiPriority w:val="99"/>
    <w:semiHidden/>
    <w:rsid w:val="00D836C9"/>
    <w:rPr>
      <w:color w:val="605E5C"/>
      <w:shd w:val="clear" w:color="auto" w:fill="E1DFDD"/>
    </w:rPr>
  </w:style>
  <w:style w:type="character" w:customStyle="1" w:styleId="Menzionenonrisolta4">
    <w:name w:val="Menzione non risolta4"/>
    <w:uiPriority w:val="99"/>
    <w:semiHidden/>
    <w:rsid w:val="0014711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9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27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276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8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9279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9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9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9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0007207</cp:lastModifiedBy>
  <cp:revision>15</cp:revision>
  <dcterms:created xsi:type="dcterms:W3CDTF">2020-03-09T20:47:00Z</dcterms:created>
  <dcterms:modified xsi:type="dcterms:W3CDTF">2020-06-06T10:36:00Z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zotero-version="5.0.77"&gt;&lt;session id="KoMqVxQx"/&gt;&lt;style id="http://www.zotero.org/styles/european-heart-journal" hasBibliography="1" bibliographyStyleHasBeenSet="1"/&gt;&lt;prefs&gt;&lt;pref name="fieldType" value="Field"/&gt;&lt;/prefs&gt;&lt;/data&gt;</vt:lpwstr>
  </property>
</Properties>
</file>