
<file path=[Content_Types].xml><?xml version="1.0" encoding="utf-8"?>
<Types xmlns="http://schemas.openxmlformats.org/package/2006/content-types"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BE0" w:rsidRPr="00553BE0" w:rsidRDefault="00553BE0" w:rsidP="00553BE0">
      <w:pPr>
        <w:rPr>
          <w:rFonts w:ascii="Times New Roman" w:eastAsia="Calibri" w:hAnsi="Times New Roman" w:cs="Times New Roman"/>
          <w:sz w:val="24"/>
          <w:szCs w:val="24"/>
        </w:rPr>
      </w:pPr>
      <w:r w:rsidRPr="00553BE0">
        <w:rPr>
          <w:rFonts w:ascii="Times New Roman" w:eastAsia="Calibri" w:hAnsi="Times New Roman" w:cs="Times New Roman"/>
          <w:sz w:val="24"/>
          <w:szCs w:val="24"/>
        </w:rPr>
        <w:t>Figure S</w:t>
      </w:r>
      <w:r w:rsidR="008D49FE">
        <w:rPr>
          <w:rFonts w:ascii="Times New Roman" w:eastAsia="Calibri" w:hAnsi="Times New Roman" w:cs="Times New Roman"/>
          <w:sz w:val="24"/>
          <w:szCs w:val="24"/>
        </w:rPr>
        <w:t>3</w:t>
      </w:r>
      <w:r w:rsidR="00102D41">
        <w:rPr>
          <w:rFonts w:ascii="Times New Roman" w:eastAsia="Calibri" w:hAnsi="Times New Roman" w:cs="Times New Roman"/>
          <w:sz w:val="24"/>
          <w:szCs w:val="24"/>
        </w:rPr>
        <w:t>.</w:t>
      </w:r>
      <w:r w:rsidR="00102D41">
        <w:rPr>
          <w:rFonts w:ascii="Times New Roman" w:eastAsia="Calibri" w:hAnsi="Times New Roman" w:cs="Times New Roman" w:hint="cs"/>
          <w:sz w:val="24"/>
          <w:szCs w:val="24"/>
          <w:rtl/>
        </w:rPr>
        <w:t xml:space="preserve"> </w:t>
      </w:r>
      <w:r w:rsidRPr="00553BE0">
        <w:rPr>
          <w:rFonts w:ascii="Times New Roman" w:eastAsia="Calibri" w:hAnsi="Times New Roman" w:cs="Times New Roman"/>
          <w:sz w:val="24"/>
          <w:szCs w:val="24"/>
        </w:rPr>
        <w:t>Inconsistency plots for the outcomes from the fixed effect model</w:t>
      </w:r>
    </w:p>
    <w:p w:rsidR="00274679" w:rsidRPr="00274679" w:rsidRDefault="00274679" w:rsidP="00274679">
      <w:pPr>
        <w:rPr>
          <w:rFonts w:ascii="Times New Roman" w:eastAsia="Calibri" w:hAnsi="Times New Roman" w:cs="Times New Roman"/>
          <w:sz w:val="28"/>
          <w:szCs w:val="28"/>
        </w:rPr>
      </w:pPr>
      <w:r w:rsidRPr="00274679">
        <w:rPr>
          <w:rFonts w:ascii="Times New Roman" w:eastAsia="Calibri" w:hAnsi="Times New Roman" w:cs="Times New Roman"/>
          <w:sz w:val="28"/>
          <w:szCs w:val="28"/>
        </w:rPr>
        <w:t>1- MACE</w:t>
      </w:r>
    </w:p>
    <w:p w:rsidR="00274679" w:rsidRDefault="00274679" w:rsidP="00274679">
      <w:pPr>
        <w:jc w:val="center"/>
        <w:rPr>
          <w:rFonts w:ascii="Calibri" w:eastAsia="Calibri" w:hAnsi="Calibri" w:cs="Arial"/>
        </w:rPr>
      </w:pPr>
      <w:r w:rsidRPr="00274679">
        <w:rPr>
          <w:rFonts w:ascii="Calibri" w:eastAsia="Calibri" w:hAnsi="Calibri" w:cs="Arial"/>
          <w:noProof/>
        </w:rPr>
        <w:drawing>
          <wp:inline distT="0" distB="0" distL="0" distR="0">
            <wp:extent cx="5760000" cy="3240000"/>
            <wp:effectExtent l="95250" t="38100" r="31750" b="9398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553BE0" w:rsidRDefault="00553BE0" w:rsidP="00274679">
      <w:pPr>
        <w:rPr>
          <w:rFonts w:asciiTheme="majorBidi" w:hAnsiTheme="majorBidi" w:cstheme="majorBidi"/>
          <w:sz w:val="28"/>
          <w:szCs w:val="28"/>
        </w:rPr>
      </w:pPr>
    </w:p>
    <w:p w:rsidR="00274679" w:rsidRPr="00DF57F5" w:rsidRDefault="00274679" w:rsidP="00274679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t>2- CV death</w:t>
      </w:r>
    </w:p>
    <w:p w:rsidR="00274679" w:rsidRPr="00553BE0" w:rsidRDefault="00274679" w:rsidP="00553BE0">
      <w:pPr>
        <w:jc w:val="center"/>
      </w:pPr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74679" w:rsidRPr="00DF57F5" w:rsidRDefault="00274679" w:rsidP="00274679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lastRenderedPageBreak/>
        <w:t>3- Death from any cause</w:t>
      </w:r>
    </w:p>
    <w:p w:rsidR="00274679" w:rsidRDefault="00274679" w:rsidP="00274679">
      <w:pPr>
        <w:jc w:val="center"/>
      </w:pPr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274679" w:rsidRDefault="00274679" w:rsidP="00274679"/>
    <w:p w:rsidR="00274679" w:rsidRPr="00DF57F5" w:rsidRDefault="00274679" w:rsidP="00274679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t>4-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="00553BE0">
        <w:rPr>
          <w:rFonts w:asciiTheme="majorBidi" w:hAnsiTheme="majorBidi" w:cstheme="majorBidi"/>
          <w:sz w:val="28"/>
          <w:szCs w:val="28"/>
        </w:rPr>
        <w:t xml:space="preserve">Total </w:t>
      </w:r>
      <w:r w:rsidRPr="00DF57F5">
        <w:rPr>
          <w:rFonts w:asciiTheme="majorBidi" w:hAnsiTheme="majorBidi" w:cstheme="majorBidi"/>
          <w:sz w:val="28"/>
          <w:szCs w:val="28"/>
        </w:rPr>
        <w:t>MI</w:t>
      </w:r>
      <w:r>
        <w:rPr>
          <w:rFonts w:asciiTheme="majorBidi" w:hAnsiTheme="majorBidi" w:cstheme="majorBidi"/>
          <w:sz w:val="28"/>
          <w:szCs w:val="28"/>
        </w:rPr>
        <w:t xml:space="preserve"> (fatal and nonfatal)</w:t>
      </w:r>
    </w:p>
    <w:p w:rsidR="00274679" w:rsidRDefault="00274679" w:rsidP="00274679"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274679" w:rsidRDefault="00274679" w:rsidP="00274679">
      <w:pPr>
        <w:jc w:val="center"/>
        <w:rPr>
          <w:rFonts w:ascii="Calibri" w:eastAsia="Calibri" w:hAnsi="Calibri" w:cs="Arial"/>
        </w:rPr>
      </w:pPr>
    </w:p>
    <w:p w:rsidR="00274679" w:rsidRPr="00DF57F5" w:rsidRDefault="00274679" w:rsidP="00274679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lastRenderedPageBreak/>
        <w:t>5-</w:t>
      </w:r>
      <w:r>
        <w:rPr>
          <w:rFonts w:asciiTheme="majorBidi" w:hAnsiTheme="majorBidi" w:cstheme="majorBidi"/>
          <w:sz w:val="28"/>
          <w:szCs w:val="28"/>
        </w:rPr>
        <w:t xml:space="preserve"> </w:t>
      </w:r>
      <w:r w:rsidRPr="00DF57F5">
        <w:rPr>
          <w:rFonts w:asciiTheme="majorBidi" w:hAnsiTheme="majorBidi" w:cstheme="majorBidi"/>
          <w:sz w:val="28"/>
          <w:szCs w:val="28"/>
        </w:rPr>
        <w:t>Nonfatal MI</w:t>
      </w:r>
    </w:p>
    <w:p w:rsidR="00274679" w:rsidRDefault="00274679" w:rsidP="00274679">
      <w:pPr>
        <w:jc w:val="center"/>
      </w:pPr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6" name="Chart 6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274679" w:rsidRDefault="00274679" w:rsidP="00274679"/>
    <w:p w:rsidR="00274679" w:rsidRPr="00DF57F5" w:rsidRDefault="00274679" w:rsidP="00553BE0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t xml:space="preserve">6- </w:t>
      </w:r>
      <w:r w:rsidR="00553BE0">
        <w:rPr>
          <w:rFonts w:asciiTheme="majorBidi" w:hAnsiTheme="majorBidi" w:cstheme="majorBidi"/>
          <w:sz w:val="28"/>
          <w:szCs w:val="28"/>
        </w:rPr>
        <w:t>Total s</w:t>
      </w:r>
      <w:r w:rsidRPr="00DF57F5">
        <w:rPr>
          <w:rFonts w:asciiTheme="majorBidi" w:hAnsiTheme="majorBidi" w:cstheme="majorBidi"/>
          <w:sz w:val="28"/>
          <w:szCs w:val="28"/>
        </w:rPr>
        <w:t>troke</w:t>
      </w:r>
      <w:r>
        <w:rPr>
          <w:rFonts w:asciiTheme="majorBidi" w:hAnsiTheme="majorBidi" w:cstheme="majorBidi"/>
          <w:sz w:val="28"/>
          <w:szCs w:val="28"/>
        </w:rPr>
        <w:t xml:space="preserve"> (fatal and nonfatal)</w:t>
      </w:r>
    </w:p>
    <w:p w:rsidR="00274679" w:rsidRDefault="00274679" w:rsidP="00274679">
      <w:pPr>
        <w:jc w:val="center"/>
      </w:pPr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8" name="Chart 8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74679" w:rsidRPr="00274679" w:rsidRDefault="00274679" w:rsidP="00274679">
      <w:pPr>
        <w:jc w:val="center"/>
        <w:rPr>
          <w:rFonts w:ascii="Calibri" w:eastAsia="Calibri" w:hAnsi="Calibri" w:cs="Arial"/>
        </w:rPr>
      </w:pPr>
    </w:p>
    <w:p w:rsidR="00274679" w:rsidRPr="00DF57F5" w:rsidRDefault="00274679" w:rsidP="00274679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lastRenderedPageBreak/>
        <w:t>7- Nonfatal stroke</w:t>
      </w:r>
    </w:p>
    <w:p w:rsidR="00274679" w:rsidRDefault="00274679" w:rsidP="00274679">
      <w:pPr>
        <w:jc w:val="center"/>
      </w:pPr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7" name="Chart 7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274679" w:rsidRDefault="00274679" w:rsidP="00274679"/>
    <w:p w:rsidR="00274679" w:rsidRPr="00DF57F5" w:rsidRDefault="00274679" w:rsidP="00553BE0">
      <w:pPr>
        <w:rPr>
          <w:rFonts w:asciiTheme="majorBidi" w:hAnsiTheme="majorBidi" w:cstheme="majorBidi"/>
          <w:sz w:val="28"/>
          <w:szCs w:val="28"/>
        </w:rPr>
      </w:pPr>
      <w:r w:rsidRPr="00DF57F5">
        <w:rPr>
          <w:rFonts w:asciiTheme="majorBidi" w:hAnsiTheme="majorBidi" w:cstheme="majorBidi"/>
          <w:sz w:val="28"/>
          <w:szCs w:val="28"/>
        </w:rPr>
        <w:t xml:space="preserve">8- </w:t>
      </w:r>
      <w:r w:rsidR="00553BE0">
        <w:rPr>
          <w:rFonts w:asciiTheme="majorBidi" w:hAnsiTheme="majorBidi" w:cstheme="majorBidi"/>
          <w:sz w:val="28"/>
          <w:szCs w:val="28"/>
        </w:rPr>
        <w:t>H</w:t>
      </w:r>
      <w:r w:rsidR="00553BE0" w:rsidRPr="00DF57F5">
        <w:rPr>
          <w:rFonts w:asciiTheme="majorBidi" w:hAnsiTheme="majorBidi" w:cstheme="majorBidi"/>
          <w:sz w:val="28"/>
          <w:szCs w:val="28"/>
        </w:rPr>
        <w:t xml:space="preserve">ospitalizations </w:t>
      </w:r>
      <w:r w:rsidR="00553BE0">
        <w:rPr>
          <w:rFonts w:asciiTheme="majorBidi" w:hAnsiTheme="majorBidi" w:cstheme="majorBidi"/>
          <w:sz w:val="28"/>
          <w:szCs w:val="28"/>
        </w:rPr>
        <w:t>for h</w:t>
      </w:r>
      <w:r w:rsidRPr="00DF57F5">
        <w:rPr>
          <w:rFonts w:asciiTheme="majorBidi" w:hAnsiTheme="majorBidi" w:cstheme="majorBidi"/>
          <w:sz w:val="28"/>
          <w:szCs w:val="28"/>
        </w:rPr>
        <w:t xml:space="preserve">eart failure </w:t>
      </w:r>
      <w:r w:rsidR="00553BE0">
        <w:rPr>
          <w:rFonts w:asciiTheme="majorBidi" w:hAnsiTheme="majorBidi" w:cstheme="majorBidi"/>
          <w:sz w:val="28"/>
          <w:szCs w:val="28"/>
        </w:rPr>
        <w:t>(HF)</w:t>
      </w:r>
    </w:p>
    <w:p w:rsidR="00274679" w:rsidRDefault="00274679" w:rsidP="00274679">
      <w:pPr>
        <w:jc w:val="center"/>
      </w:pPr>
      <w:r>
        <w:rPr>
          <w:noProof/>
        </w:rPr>
        <w:drawing>
          <wp:inline distT="0" distB="0" distL="0" distR="0">
            <wp:extent cx="5760000" cy="3240000"/>
            <wp:effectExtent l="95250" t="38100" r="31750" b="93980"/>
            <wp:docPr id="9" name="Chart 9">
              <a:extLst xmlns:a="http://schemas.openxmlformats.org/drawingml/2006/main">
                <a:ext uri="{FF2B5EF4-FFF2-40B4-BE49-F238E27FC236}">
                  <a16:creationId xmlns:a16="http://schemas.microsoft.com/office/drawing/2014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00000000-0008-0000-0C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DE2505" w:rsidRDefault="00DE2505"/>
    <w:sectPr w:rsidR="00DE2505" w:rsidSect="00A74C4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74679"/>
    <w:rsid w:val="00102D41"/>
    <w:rsid w:val="00274679"/>
    <w:rsid w:val="00553BE0"/>
    <w:rsid w:val="00702596"/>
    <w:rsid w:val="008D49FE"/>
    <w:rsid w:val="00A74C40"/>
    <w:rsid w:val="00DE2505"/>
    <w:rsid w:val="00F84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D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stTable4Accent3">
    <w:name w:val="List Table 4 Accent 3"/>
    <w:basedOn w:val="TableNormal"/>
    <w:uiPriority w:val="49"/>
    <w:rsid w:val="00702596"/>
    <w:pPr>
      <w:spacing w:after="0" w:line="240" w:lineRule="auto"/>
      <w:jc w:val="center"/>
    </w:pPr>
    <w:rPr>
      <w:lang w:val="en-GB"/>
    </w:rPr>
    <w:tblPr>
      <w:tblStyleRowBandSize w:val="1"/>
      <w:tblStyleColBandSize w:val="1"/>
      <w:tblInd w:w="0" w:type="dxa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cPr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A74C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4C4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0" Type="http://schemas.openxmlformats.org/officeDocument/2006/relationships/chart" Target="charts/chart7.xml"/><Relationship Id="rId4" Type="http://schemas.openxmlformats.org/officeDocument/2006/relationships/chart" Target="charts/chart1.xml"/><Relationship Id="rId9" Type="http://schemas.openxmlformats.org/officeDocument/2006/relationships/chart" Target="charts/chart6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Abdulaali\Documents\Ghafari\NEtwork%20Meta%20analysis\new\MACE_OSAMA_ALL.xlsm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CVdeath_OSAMA_ALL.xlsm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deathanycause_OSAMA_ALL.xlsm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MI_OSAMA_ALL.xlsm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nonfatalMI_OSAMA_ALL.xlsm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Stroke_OSAMA_ALL.xlsm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nonfatalStroke_OSAMA_ALL.xlsm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ulaali\Documents\Ghafari\NEtwork%20Meta%20analysis\new\HospiforHF_OSAMA_ALL.xlsm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lrMapOvr bg1="lt1" tx1="dk1" bg2="lt2" tx2="dk2" accent1="accent1" accent2="accent2" accent3="accent3" accent4="accent4" accent5="accent5" accent6="accent6" hlink="hlink" folHlink="folHlink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1</c:v>
                </c:pt>
                <c:pt idx="1">
                  <c:v>1.004</c:v>
                </c:pt>
                <c:pt idx="2">
                  <c:v>0.99790000000000001</c:v>
                </c:pt>
                <c:pt idx="3">
                  <c:v>1.0089999999999997</c:v>
                </c:pt>
                <c:pt idx="4">
                  <c:v>0.99770000000000003</c:v>
                </c:pt>
                <c:pt idx="5">
                  <c:v>1.0029999999999997</c:v>
                </c:pt>
                <c:pt idx="6">
                  <c:v>0.99990000000000001</c:v>
                </c:pt>
                <c:pt idx="7">
                  <c:v>0.99409999999999998</c:v>
                </c:pt>
                <c:pt idx="8">
                  <c:v>0.99399999999999999</c:v>
                </c:pt>
                <c:pt idx="9">
                  <c:v>0.98960000000000004</c:v>
                </c:pt>
                <c:pt idx="10">
                  <c:v>0.99890000000000001</c:v>
                </c:pt>
                <c:pt idx="11">
                  <c:v>1.004</c:v>
                </c:pt>
                <c:pt idx="12">
                  <c:v>0.99509999999999998</c:v>
                </c:pt>
                <c:pt idx="13">
                  <c:v>0.99890000000000001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0.995</c:v>
                </c:pt>
                <c:pt idx="1">
                  <c:v>0.99990000000000001</c:v>
                </c:pt>
                <c:pt idx="2">
                  <c:v>1</c:v>
                </c:pt>
                <c:pt idx="3">
                  <c:v>0.99809999999999999</c:v>
                </c:pt>
                <c:pt idx="4">
                  <c:v>1.006</c:v>
                </c:pt>
                <c:pt idx="5">
                  <c:v>0.99629999999999996</c:v>
                </c:pt>
                <c:pt idx="6">
                  <c:v>0.99839999999999984</c:v>
                </c:pt>
                <c:pt idx="7">
                  <c:v>1.0029999999999997</c:v>
                </c:pt>
                <c:pt idx="8">
                  <c:v>0.99580000000000002</c:v>
                </c:pt>
                <c:pt idx="9">
                  <c:v>1.008</c:v>
                </c:pt>
                <c:pt idx="10">
                  <c:v>0.99839999999999984</c:v>
                </c:pt>
                <c:pt idx="11">
                  <c:v>0.997</c:v>
                </c:pt>
                <c:pt idx="12">
                  <c:v>1.004</c:v>
                </c:pt>
                <c:pt idx="13">
                  <c:v>1.0049999999999997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3F14-4FB6-BFBB-48FCF9E0E84F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3F14-4FB6-BFBB-48FCF9E0E84F}"/>
            </c:ext>
          </c:extLst>
        </c:ser>
        <c:dLbls/>
        <c:axId val="316254464"/>
        <c:axId val="316575744"/>
      </c:scatterChart>
      <c:valAx>
        <c:axId val="316254464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316575744"/>
        <c:crosses val="autoZero"/>
        <c:crossBetween val="midCat"/>
        <c:majorUnit val="0.5"/>
        <c:minorUnit val="0.25"/>
      </c:valAx>
      <c:valAx>
        <c:axId val="316575744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316254464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1.0029999999999997</c:v>
                </c:pt>
                <c:pt idx="1">
                  <c:v>1</c:v>
                </c:pt>
                <c:pt idx="2">
                  <c:v>0.99509999999999998</c:v>
                </c:pt>
                <c:pt idx="3">
                  <c:v>0.99939999999999996</c:v>
                </c:pt>
                <c:pt idx="4">
                  <c:v>0.99790000000000001</c:v>
                </c:pt>
                <c:pt idx="5">
                  <c:v>0.996</c:v>
                </c:pt>
                <c:pt idx="6">
                  <c:v>0.99919999999999998</c:v>
                </c:pt>
                <c:pt idx="7">
                  <c:v>0.99829999999999997</c:v>
                </c:pt>
                <c:pt idx="8">
                  <c:v>0.99839999999999984</c:v>
                </c:pt>
                <c:pt idx="9">
                  <c:v>1.002</c:v>
                </c:pt>
                <c:pt idx="10">
                  <c:v>1.0029999999999997</c:v>
                </c:pt>
                <c:pt idx="11">
                  <c:v>1.0009999999999997</c:v>
                </c:pt>
                <c:pt idx="12">
                  <c:v>1.004</c:v>
                </c:pt>
                <c:pt idx="13">
                  <c:v>1.024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1.002</c:v>
                </c:pt>
                <c:pt idx="1">
                  <c:v>1.008</c:v>
                </c:pt>
                <c:pt idx="2">
                  <c:v>1.006</c:v>
                </c:pt>
                <c:pt idx="3">
                  <c:v>1.0009999999999997</c:v>
                </c:pt>
                <c:pt idx="4">
                  <c:v>1</c:v>
                </c:pt>
                <c:pt idx="5">
                  <c:v>0.99829999999999997</c:v>
                </c:pt>
                <c:pt idx="6">
                  <c:v>1.0029999999999997</c:v>
                </c:pt>
                <c:pt idx="7">
                  <c:v>1.0049999999999997</c:v>
                </c:pt>
                <c:pt idx="8">
                  <c:v>0.99870000000000003</c:v>
                </c:pt>
                <c:pt idx="9">
                  <c:v>0.99819999999999998</c:v>
                </c:pt>
                <c:pt idx="10">
                  <c:v>0.99909999999999999</c:v>
                </c:pt>
                <c:pt idx="11">
                  <c:v>1.0009999999999997</c:v>
                </c:pt>
                <c:pt idx="12">
                  <c:v>1.008</c:v>
                </c:pt>
                <c:pt idx="13">
                  <c:v>1.012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9F53-4C2D-A195-CFE12EE8951D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9F53-4C2D-A195-CFE12EE8951D}"/>
            </c:ext>
          </c:extLst>
        </c:ser>
        <c:dLbls/>
        <c:axId val="209747968"/>
        <c:axId val="209749888"/>
      </c:scatterChart>
      <c:valAx>
        <c:axId val="209747968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209749888"/>
        <c:crosses val="autoZero"/>
        <c:crossBetween val="midCat"/>
        <c:majorUnit val="0.5"/>
        <c:minorUnit val="0.25"/>
      </c:valAx>
      <c:valAx>
        <c:axId val="209749888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09747968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0.996</c:v>
                </c:pt>
                <c:pt idx="1">
                  <c:v>0.99629999999999996</c:v>
                </c:pt>
                <c:pt idx="2">
                  <c:v>1.002</c:v>
                </c:pt>
                <c:pt idx="3">
                  <c:v>0.99829999999999997</c:v>
                </c:pt>
                <c:pt idx="4">
                  <c:v>0.99329999999999996</c:v>
                </c:pt>
                <c:pt idx="5">
                  <c:v>0.99909999999999999</c:v>
                </c:pt>
                <c:pt idx="6">
                  <c:v>0.99309999999999998</c:v>
                </c:pt>
                <c:pt idx="7">
                  <c:v>1.0089999999999997</c:v>
                </c:pt>
                <c:pt idx="8">
                  <c:v>0.99070000000000003</c:v>
                </c:pt>
                <c:pt idx="9">
                  <c:v>0.99339999999999984</c:v>
                </c:pt>
                <c:pt idx="10">
                  <c:v>0.99570000000000003</c:v>
                </c:pt>
                <c:pt idx="11">
                  <c:v>0.99970000000000003</c:v>
                </c:pt>
                <c:pt idx="12">
                  <c:v>0.99880000000000002</c:v>
                </c:pt>
                <c:pt idx="13">
                  <c:v>1.012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0.99819999999999998</c:v>
                </c:pt>
                <c:pt idx="1">
                  <c:v>0.999</c:v>
                </c:pt>
                <c:pt idx="2">
                  <c:v>1</c:v>
                </c:pt>
                <c:pt idx="3">
                  <c:v>1.0009999999999997</c:v>
                </c:pt>
                <c:pt idx="4">
                  <c:v>0.999</c:v>
                </c:pt>
                <c:pt idx="5">
                  <c:v>1</c:v>
                </c:pt>
                <c:pt idx="6">
                  <c:v>0.99660000000000004</c:v>
                </c:pt>
                <c:pt idx="7">
                  <c:v>1.0049999999999997</c:v>
                </c:pt>
                <c:pt idx="8">
                  <c:v>1.0009999999999997</c:v>
                </c:pt>
                <c:pt idx="9">
                  <c:v>1.0009999999999997</c:v>
                </c:pt>
                <c:pt idx="10">
                  <c:v>1.002</c:v>
                </c:pt>
                <c:pt idx="11">
                  <c:v>0.99619999999999997</c:v>
                </c:pt>
                <c:pt idx="12">
                  <c:v>1.0129999999999997</c:v>
                </c:pt>
                <c:pt idx="13">
                  <c:v>1.0069999999999997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5EA9-48FE-B595-CAB3F0B04C26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5EA9-48FE-B595-CAB3F0B04C26}"/>
            </c:ext>
          </c:extLst>
        </c:ser>
        <c:dLbls/>
        <c:axId val="209768832"/>
        <c:axId val="209770752"/>
      </c:scatterChart>
      <c:valAx>
        <c:axId val="209768832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209770752"/>
        <c:crosses val="autoZero"/>
        <c:crossBetween val="midCat"/>
        <c:majorUnit val="0.5"/>
        <c:minorUnit val="0.25"/>
      </c:valAx>
      <c:valAx>
        <c:axId val="209770752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09768832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0.99570000000000003</c:v>
                </c:pt>
                <c:pt idx="1">
                  <c:v>1</c:v>
                </c:pt>
                <c:pt idx="2">
                  <c:v>1.004</c:v>
                </c:pt>
                <c:pt idx="3">
                  <c:v>1.004</c:v>
                </c:pt>
                <c:pt idx="4">
                  <c:v>0.99839999999999984</c:v>
                </c:pt>
                <c:pt idx="5">
                  <c:v>0.99860000000000004</c:v>
                </c:pt>
                <c:pt idx="6">
                  <c:v>0.99070000000000003</c:v>
                </c:pt>
                <c:pt idx="7">
                  <c:v>0.99970000000000003</c:v>
                </c:pt>
                <c:pt idx="8">
                  <c:v>0.99529999999999996</c:v>
                </c:pt>
                <c:pt idx="9">
                  <c:v>0.98949999999999994</c:v>
                </c:pt>
                <c:pt idx="10">
                  <c:v>0.99729999999999996</c:v>
                </c:pt>
                <c:pt idx="11">
                  <c:v>0.99409999999999998</c:v>
                </c:pt>
                <c:pt idx="12">
                  <c:v>0.99429999999999996</c:v>
                </c:pt>
                <c:pt idx="13">
                  <c:v>1.012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1.014</c:v>
                </c:pt>
                <c:pt idx="1">
                  <c:v>1.006</c:v>
                </c:pt>
                <c:pt idx="2">
                  <c:v>0.99539999999999984</c:v>
                </c:pt>
                <c:pt idx="3">
                  <c:v>1.006</c:v>
                </c:pt>
                <c:pt idx="4">
                  <c:v>0.99919999999999998</c:v>
                </c:pt>
                <c:pt idx="5">
                  <c:v>0.99380000000000002</c:v>
                </c:pt>
                <c:pt idx="6">
                  <c:v>1.0029999999999997</c:v>
                </c:pt>
                <c:pt idx="7">
                  <c:v>1.0009999999999997</c:v>
                </c:pt>
                <c:pt idx="8">
                  <c:v>0.99739999999999984</c:v>
                </c:pt>
                <c:pt idx="9">
                  <c:v>1.0009999999999997</c:v>
                </c:pt>
                <c:pt idx="10">
                  <c:v>0.99939999999999996</c:v>
                </c:pt>
                <c:pt idx="11">
                  <c:v>0.99490000000000001</c:v>
                </c:pt>
                <c:pt idx="12">
                  <c:v>1.01</c:v>
                </c:pt>
                <c:pt idx="13">
                  <c:v>1.0109999999999997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0D4B-4D46-ADE6-46586B924582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0D4B-4D46-ADE6-46586B924582}"/>
            </c:ext>
          </c:extLst>
        </c:ser>
        <c:dLbls/>
        <c:axId val="210838272"/>
        <c:axId val="210840192"/>
      </c:scatterChart>
      <c:valAx>
        <c:axId val="210838272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210840192"/>
        <c:crosses val="autoZero"/>
        <c:crossBetween val="midCat"/>
        <c:majorUnit val="0.5"/>
        <c:minorUnit val="0.25"/>
      </c:valAx>
      <c:valAx>
        <c:axId val="210840192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10838272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0.99819999999999998</c:v>
                </c:pt>
                <c:pt idx="1">
                  <c:v>1.002</c:v>
                </c:pt>
                <c:pt idx="2">
                  <c:v>1.002</c:v>
                </c:pt>
                <c:pt idx="3">
                  <c:v>1.002</c:v>
                </c:pt>
                <c:pt idx="4">
                  <c:v>1.0029999999999997</c:v>
                </c:pt>
                <c:pt idx="5">
                  <c:v>0.99349999999999994</c:v>
                </c:pt>
                <c:pt idx="6">
                  <c:v>0.99529999999999996</c:v>
                </c:pt>
                <c:pt idx="7">
                  <c:v>0.99860000000000004</c:v>
                </c:pt>
                <c:pt idx="8">
                  <c:v>0.99629999999999996</c:v>
                </c:pt>
                <c:pt idx="9">
                  <c:v>0.99349999999999994</c:v>
                </c:pt>
                <c:pt idx="10">
                  <c:v>0.99639999999999984</c:v>
                </c:pt>
                <c:pt idx="11">
                  <c:v>0.99419999999999997</c:v>
                </c:pt>
                <c:pt idx="12">
                  <c:v>0.99149999999999994</c:v>
                </c:pt>
                <c:pt idx="13">
                  <c:v>1.0069999999999997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1.012</c:v>
                </c:pt>
                <c:pt idx="1">
                  <c:v>1.006</c:v>
                </c:pt>
                <c:pt idx="2">
                  <c:v>0.99870000000000003</c:v>
                </c:pt>
                <c:pt idx="3">
                  <c:v>1.0089999999999997</c:v>
                </c:pt>
                <c:pt idx="4">
                  <c:v>0.99709999999999999</c:v>
                </c:pt>
                <c:pt idx="5">
                  <c:v>1.002</c:v>
                </c:pt>
                <c:pt idx="6">
                  <c:v>1.0009999999999997</c:v>
                </c:pt>
                <c:pt idx="7">
                  <c:v>0.99929999999999997</c:v>
                </c:pt>
                <c:pt idx="8">
                  <c:v>0.99380000000000002</c:v>
                </c:pt>
                <c:pt idx="9">
                  <c:v>1</c:v>
                </c:pt>
                <c:pt idx="10">
                  <c:v>0.99160000000000004</c:v>
                </c:pt>
                <c:pt idx="11">
                  <c:v>0.99849999999999994</c:v>
                </c:pt>
                <c:pt idx="12">
                  <c:v>1.0189999999999997</c:v>
                </c:pt>
                <c:pt idx="13">
                  <c:v>1.0089999999999997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D837-47C1-87E7-C6041B0607B4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D837-47C1-87E7-C6041B0607B4}"/>
            </c:ext>
          </c:extLst>
        </c:ser>
        <c:dLbls/>
        <c:axId val="210867328"/>
        <c:axId val="210869248"/>
      </c:scatterChart>
      <c:valAx>
        <c:axId val="210867328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210869248"/>
        <c:crosses val="autoZero"/>
        <c:crossBetween val="midCat"/>
        <c:majorUnit val="0.5"/>
        <c:minorUnit val="0.25"/>
      </c:valAx>
      <c:valAx>
        <c:axId val="210869248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10867328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0.98129999999999984</c:v>
                </c:pt>
                <c:pt idx="1">
                  <c:v>1.0089999999999997</c:v>
                </c:pt>
                <c:pt idx="2">
                  <c:v>0.99729999999999996</c:v>
                </c:pt>
                <c:pt idx="3">
                  <c:v>1.0049999999999997</c:v>
                </c:pt>
                <c:pt idx="4">
                  <c:v>0.99490000000000001</c:v>
                </c:pt>
                <c:pt idx="5">
                  <c:v>0.99449999999999994</c:v>
                </c:pt>
                <c:pt idx="6">
                  <c:v>1.01</c:v>
                </c:pt>
                <c:pt idx="7">
                  <c:v>1.004</c:v>
                </c:pt>
                <c:pt idx="8">
                  <c:v>1.014</c:v>
                </c:pt>
                <c:pt idx="9">
                  <c:v>1.0049999999999997</c:v>
                </c:pt>
                <c:pt idx="10">
                  <c:v>1.002</c:v>
                </c:pt>
                <c:pt idx="11">
                  <c:v>0.99219999999999997</c:v>
                </c:pt>
                <c:pt idx="12">
                  <c:v>1.01</c:v>
                </c:pt>
                <c:pt idx="13">
                  <c:v>1.0149999999999997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1.006</c:v>
                </c:pt>
                <c:pt idx="1">
                  <c:v>1.0149999999999997</c:v>
                </c:pt>
                <c:pt idx="2">
                  <c:v>1</c:v>
                </c:pt>
                <c:pt idx="3">
                  <c:v>0.99649999999999994</c:v>
                </c:pt>
                <c:pt idx="4">
                  <c:v>0.99929999999999997</c:v>
                </c:pt>
                <c:pt idx="5">
                  <c:v>0.99790000000000001</c:v>
                </c:pt>
                <c:pt idx="6">
                  <c:v>1.0129999999999997</c:v>
                </c:pt>
                <c:pt idx="7">
                  <c:v>0.997</c:v>
                </c:pt>
                <c:pt idx="8">
                  <c:v>1.0129999999999997</c:v>
                </c:pt>
                <c:pt idx="9">
                  <c:v>1.004</c:v>
                </c:pt>
                <c:pt idx="10">
                  <c:v>0.99929999999999997</c:v>
                </c:pt>
                <c:pt idx="11">
                  <c:v>0.99680000000000002</c:v>
                </c:pt>
                <c:pt idx="12">
                  <c:v>1.014</c:v>
                </c:pt>
                <c:pt idx="13">
                  <c:v>1.014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8755-4FE1-8821-E18050CBEA86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8755-4FE1-8821-E18050CBEA86}"/>
            </c:ext>
          </c:extLst>
        </c:ser>
        <c:dLbls/>
        <c:axId val="209762176"/>
        <c:axId val="264802304"/>
      </c:scatterChart>
      <c:valAx>
        <c:axId val="209762176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264802304"/>
        <c:crosses val="autoZero"/>
        <c:crossBetween val="midCat"/>
        <c:majorUnit val="0.5"/>
        <c:minorUnit val="0.25"/>
      </c:valAx>
      <c:valAx>
        <c:axId val="264802304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09762176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0.98899999999999999</c:v>
                </c:pt>
                <c:pt idx="1">
                  <c:v>1.006</c:v>
                </c:pt>
                <c:pt idx="2">
                  <c:v>0.99860000000000004</c:v>
                </c:pt>
                <c:pt idx="3">
                  <c:v>1.004</c:v>
                </c:pt>
                <c:pt idx="4">
                  <c:v>0.99780000000000002</c:v>
                </c:pt>
                <c:pt idx="5">
                  <c:v>0.99509999999999998</c:v>
                </c:pt>
                <c:pt idx="6">
                  <c:v>1.008</c:v>
                </c:pt>
                <c:pt idx="7">
                  <c:v>1.002</c:v>
                </c:pt>
                <c:pt idx="8">
                  <c:v>1.008</c:v>
                </c:pt>
                <c:pt idx="9">
                  <c:v>1.002</c:v>
                </c:pt>
                <c:pt idx="10">
                  <c:v>1.0049999999999997</c:v>
                </c:pt>
                <c:pt idx="11">
                  <c:v>0.999</c:v>
                </c:pt>
                <c:pt idx="12">
                  <c:v>1.0109999999999997</c:v>
                </c:pt>
                <c:pt idx="13">
                  <c:v>1.0149999999999997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1.01</c:v>
                </c:pt>
                <c:pt idx="1">
                  <c:v>1.016</c:v>
                </c:pt>
                <c:pt idx="2">
                  <c:v>1.006</c:v>
                </c:pt>
                <c:pt idx="3">
                  <c:v>0.99939999999999996</c:v>
                </c:pt>
                <c:pt idx="4">
                  <c:v>1.004</c:v>
                </c:pt>
                <c:pt idx="5">
                  <c:v>0.99590000000000001</c:v>
                </c:pt>
                <c:pt idx="6">
                  <c:v>1.004</c:v>
                </c:pt>
                <c:pt idx="7">
                  <c:v>1.0049999999999997</c:v>
                </c:pt>
                <c:pt idx="8">
                  <c:v>1.0069999999999997</c:v>
                </c:pt>
                <c:pt idx="9">
                  <c:v>1.0029999999999997</c:v>
                </c:pt>
                <c:pt idx="10">
                  <c:v>1.002</c:v>
                </c:pt>
                <c:pt idx="11">
                  <c:v>0.99970000000000003</c:v>
                </c:pt>
                <c:pt idx="12">
                  <c:v>1.0129999999999997</c:v>
                </c:pt>
                <c:pt idx="13">
                  <c:v>1.0169999999999997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6A53-40C7-B346-3345F4987BA6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6A53-40C7-B346-3345F4987BA6}"/>
            </c:ext>
          </c:extLst>
        </c:ser>
        <c:dLbls/>
        <c:axId val="268417280"/>
        <c:axId val="283906048"/>
      </c:scatterChart>
      <c:valAx>
        <c:axId val="268417280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283906048"/>
        <c:crosses val="autoZero"/>
        <c:crossBetween val="midCat"/>
        <c:majorUnit val="0.5"/>
        <c:minorUnit val="0.25"/>
      </c:valAx>
      <c:valAx>
        <c:axId val="283906048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68417280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en-US"/>
  <c:chart>
    <c:title>
      <c:tx>
        <c:strRef>
          <c:f>'Inconsistency Data'!$D$4</c:f>
          <c:strCache>
            <c:ptCount val="1"/>
            <c:pt idx="0">
              <c:v>Fixed Effects</c:v>
            </c:pt>
          </c:strCache>
        </c:strRef>
      </c:tx>
      <c:layout/>
    </c:title>
    <c:plotArea>
      <c:layout>
        <c:manualLayout>
          <c:layoutTarget val="inner"/>
          <c:xMode val="edge"/>
          <c:yMode val="edge"/>
          <c:x val="0.11568285214348206"/>
          <c:y val="0.15631852112438496"/>
          <c:w val="0.7862389725921537"/>
          <c:h val="0.70893448339245879"/>
        </c:manualLayout>
      </c:layout>
      <c:scatterChart>
        <c:scatterStyle val="lineMarker"/>
        <c:ser>
          <c:idx val="0"/>
          <c:order val="0"/>
          <c:spPr>
            <a:ln w="28575">
              <a:noFill/>
            </a:ln>
          </c:spPr>
          <c:marker>
            <c:symbol val="circle"/>
            <c:size val="4"/>
            <c:spPr>
              <a:solidFill>
                <a:srgbClr val="C00000"/>
              </a:solidFill>
              <a:ln>
                <a:solidFill>
                  <a:prstClr val="black"/>
                </a:solidFill>
              </a:ln>
            </c:spPr>
          </c:marker>
          <c:xVal>
            <c:numRef>
              <c:f>'Inconsistency Data'!$G$6:$G$105</c:f>
              <c:numCache>
                <c:formatCode>General</c:formatCode>
                <c:ptCount val="26"/>
                <c:pt idx="0">
                  <c:v>0.99790000000000001</c:v>
                </c:pt>
                <c:pt idx="1">
                  <c:v>1</c:v>
                </c:pt>
                <c:pt idx="2">
                  <c:v>1.0089999999999997</c:v>
                </c:pt>
                <c:pt idx="3">
                  <c:v>1.008</c:v>
                </c:pt>
                <c:pt idx="4">
                  <c:v>1.0029999999999997</c:v>
                </c:pt>
                <c:pt idx="5">
                  <c:v>0.99870000000000003</c:v>
                </c:pt>
                <c:pt idx="6">
                  <c:v>0.99280000000000002</c:v>
                </c:pt>
                <c:pt idx="7">
                  <c:v>1.002</c:v>
                </c:pt>
                <c:pt idx="8">
                  <c:v>0.98319999999999996</c:v>
                </c:pt>
                <c:pt idx="9">
                  <c:v>1.0009999999999997</c:v>
                </c:pt>
                <c:pt idx="10">
                  <c:v>1.002</c:v>
                </c:pt>
                <c:pt idx="11">
                  <c:v>1</c:v>
                </c:pt>
                <c:pt idx="12">
                  <c:v>1.0089999999999997</c:v>
                </c:pt>
                <c:pt idx="13">
                  <c:v>1.018</c:v>
                </c:pt>
              </c:numCache>
            </c:numRef>
          </c:xVal>
          <c:yVal>
            <c:numRef>
              <c:f>'Inconsistency Data'!$E$6:$E$105</c:f>
              <c:numCache>
                <c:formatCode>General</c:formatCode>
                <c:ptCount val="26"/>
                <c:pt idx="0">
                  <c:v>1.0029999999999997</c:v>
                </c:pt>
                <c:pt idx="1">
                  <c:v>1.008</c:v>
                </c:pt>
                <c:pt idx="2">
                  <c:v>1.004</c:v>
                </c:pt>
                <c:pt idx="3">
                  <c:v>1.006</c:v>
                </c:pt>
                <c:pt idx="4">
                  <c:v>0.99019999999999997</c:v>
                </c:pt>
                <c:pt idx="5">
                  <c:v>0.9899</c:v>
                </c:pt>
                <c:pt idx="6">
                  <c:v>1.0109999999999997</c:v>
                </c:pt>
                <c:pt idx="7">
                  <c:v>0.99049999999999994</c:v>
                </c:pt>
                <c:pt idx="8">
                  <c:v>0.99619999999999997</c:v>
                </c:pt>
                <c:pt idx="9">
                  <c:v>0.99839999999999984</c:v>
                </c:pt>
                <c:pt idx="10">
                  <c:v>1.008</c:v>
                </c:pt>
                <c:pt idx="11">
                  <c:v>1.006</c:v>
                </c:pt>
                <c:pt idx="12">
                  <c:v>1.006</c:v>
                </c:pt>
                <c:pt idx="13">
                  <c:v>1.008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0-18A4-4299-B0B2-4DB7250351F1}"/>
            </c:ext>
          </c:extLst>
        </c:ser>
        <c:ser>
          <c:idx val="1"/>
          <c:order val="1"/>
          <c:spPr>
            <a:ln w="25400">
              <a:solidFill>
                <a:prstClr val="black">
                  <a:alpha val="69000"/>
                </a:prstClr>
              </a:solidFill>
              <a:prstDash val="lgDash"/>
            </a:ln>
          </c:spPr>
          <c:marker>
            <c:symbol val="none"/>
          </c:marker>
          <c:xVal>
            <c:numRef>
              <c:f>'Inconsistency Data'!$A$6:$A$7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xVal>
          <c:yVal>
            <c:numRef>
              <c:f>'Inconsistency Data'!$B$6:$B$7</c:f>
              <c:numCache>
                <c:formatCode>General</c:formatCode>
                <c:ptCount val="2"/>
                <c:pt idx="0">
                  <c:v>0</c:v>
                </c:pt>
                <c:pt idx="1">
                  <c:v>2</c:v>
                </c:pt>
              </c:numCache>
            </c:numRef>
          </c:yVal>
          <c:extLst xmlns:c16r2="http://schemas.microsoft.com/office/drawing/2015/06/chart">
            <c:ext xmlns:c16="http://schemas.microsoft.com/office/drawing/2014/chart" uri="{C3380CC4-5D6E-409C-BE32-E72D297353CC}">
              <c16:uniqueId val="{00000001-18A4-4299-B0B2-4DB7250351F1}"/>
            </c:ext>
          </c:extLst>
        </c:ser>
        <c:dLbls/>
        <c:axId val="290478336"/>
        <c:axId val="315441536"/>
      </c:scatterChart>
      <c:valAx>
        <c:axId val="290478336"/>
        <c:scaling>
          <c:orientation val="minMax"/>
          <c:max val="2"/>
          <c:min val="0"/>
        </c:scaling>
        <c:axPos val="b"/>
        <c:title>
          <c:tx>
            <c:strRef>
              <c:f>'Inconsistency Data'!$F$5</c:f>
              <c:strCache>
                <c:ptCount val="1"/>
                <c:pt idx="0">
                  <c:v>Consistency Model</c:v>
                </c:pt>
              </c:strCache>
            </c:strRef>
          </c:tx>
          <c:layout/>
        </c:title>
        <c:numFmt formatCode="General" sourceLinked="1"/>
        <c:minorTickMark val="out"/>
        <c:tickLblPos val="nextTo"/>
        <c:crossAx val="315441536"/>
        <c:crosses val="autoZero"/>
        <c:crossBetween val="midCat"/>
        <c:majorUnit val="0.5"/>
        <c:minorUnit val="0.25"/>
      </c:valAx>
      <c:valAx>
        <c:axId val="315441536"/>
        <c:scaling>
          <c:orientation val="minMax"/>
          <c:max val="2"/>
          <c:min val="0"/>
        </c:scaling>
        <c:axPos val="l"/>
        <c:title>
          <c:tx>
            <c:strRef>
              <c:f>'Inconsistency Data'!$D$5</c:f>
              <c:strCache>
                <c:ptCount val="1"/>
                <c:pt idx="0">
                  <c:v>Inconsistency Model</c:v>
                </c:pt>
              </c:strCache>
            </c:strRef>
          </c:tx>
          <c:layout/>
          <c:txPr>
            <a:bodyPr rot="-5400000" vert="horz"/>
            <a:lstStyle/>
            <a:p>
              <a:pPr>
                <a:defRPr/>
              </a:pPr>
              <a:endParaRPr lang="en-US"/>
            </a:p>
          </c:txPr>
        </c:title>
        <c:numFmt formatCode="General" sourceLinked="1"/>
        <c:minorTickMark val="out"/>
        <c:tickLblPos val="nextTo"/>
        <c:crossAx val="290478336"/>
        <c:crosses val="autoZero"/>
        <c:crossBetween val="midCat"/>
        <c:majorUnit val="0.5"/>
        <c:minorUnit val="0.25"/>
      </c:valAx>
      <c:spPr>
        <a:ln>
          <a:solidFill>
            <a:schemeClr val="tx1"/>
          </a:solidFill>
        </a:ln>
        <a:effectLst>
          <a:outerShdw blurRad="50800" dist="38100" dir="8100000" algn="tr" rotWithShape="0">
            <a:prstClr val="black">
              <a:alpha val="40000"/>
            </a:prstClr>
          </a:outerShdw>
        </a:effectLst>
      </c:spPr>
    </c:plotArea>
    <c:plotVisOnly val="1"/>
    <c:dispBlanksAs val="gap"/>
  </c:chart>
  <c:spPr>
    <a:solidFill>
      <a:schemeClr val="tx2">
        <a:lumMod val="20000"/>
        <a:lumOff val="80000"/>
      </a:schemeClr>
    </a:solidFill>
    <a:effectLst>
      <a:outerShdw blurRad="50800" dist="38100" dir="8100000" algn="tr" rotWithShape="0">
        <a:prstClr val="black">
          <a:alpha val="40000"/>
        </a:prstClr>
      </a:outerShdw>
    </a:effectLst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Abdulrahman Almohammed</dc:creator>
  <cp:keywords/>
  <dc:description/>
  <cp:lastModifiedBy>CS0221</cp:lastModifiedBy>
  <cp:revision>5</cp:revision>
  <dcterms:created xsi:type="dcterms:W3CDTF">2020-02-09T05:47:00Z</dcterms:created>
  <dcterms:modified xsi:type="dcterms:W3CDTF">2020-06-18T01:35:00Z</dcterms:modified>
</cp:coreProperties>
</file>