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1EF46" w14:textId="627E0678" w:rsidR="003E2571" w:rsidRPr="00DA30B2" w:rsidRDefault="003E2571" w:rsidP="00021644">
      <w:pPr>
        <w:spacing w:line="360" w:lineRule="auto"/>
        <w:rPr>
          <w:rFonts w:ascii="Verdana" w:eastAsiaTheme="minorHAnsi" w:hAnsi="Verdana"/>
          <w:sz w:val="20"/>
          <w:szCs w:val="20"/>
          <w:lang w:val="en-US" w:eastAsia="en-US"/>
        </w:rPr>
      </w:pPr>
      <w:r w:rsidRPr="008A5285">
        <w:rPr>
          <w:rFonts w:ascii="Verdana" w:hAnsi="Verdana"/>
          <w:b/>
          <w:sz w:val="20"/>
          <w:szCs w:val="20"/>
          <w:lang w:val="en-US"/>
        </w:rPr>
        <w:t>Supplementary Appendix Figure S3.</w:t>
      </w:r>
      <w:r w:rsidRPr="008A5285">
        <w:rPr>
          <w:rFonts w:ascii="Verdana" w:hAnsi="Verdana"/>
          <w:sz w:val="20"/>
          <w:szCs w:val="20"/>
          <w:lang w:val="en-US"/>
        </w:rPr>
        <w:t xml:space="preserve"> </w:t>
      </w:r>
      <w:bookmarkStart w:id="0" w:name="_Hlk41079639"/>
      <w:r w:rsidRPr="008A5285">
        <w:rPr>
          <w:rFonts w:ascii="Verdana" w:hAnsi="Verdana"/>
          <w:sz w:val="20"/>
          <w:szCs w:val="20"/>
          <w:lang w:val="en-US"/>
        </w:rPr>
        <w:t xml:space="preserve">Sensitivity </w:t>
      </w:r>
      <w:r w:rsidRPr="00085653">
        <w:rPr>
          <w:rFonts w:ascii="Verdana" w:hAnsi="Verdana"/>
          <w:sz w:val="20"/>
          <w:szCs w:val="20"/>
          <w:lang w:val="en-US"/>
        </w:rPr>
        <w:t>a</w:t>
      </w:r>
      <w:bookmarkStart w:id="1" w:name="_GoBack"/>
      <w:bookmarkEnd w:id="1"/>
      <w:r w:rsidRPr="00085653">
        <w:rPr>
          <w:rFonts w:ascii="Verdana" w:hAnsi="Verdana"/>
          <w:sz w:val="20"/>
          <w:szCs w:val="20"/>
          <w:lang w:val="en-US"/>
        </w:rPr>
        <w:t>nalysis of relative</w:t>
      </w:r>
      <w:r w:rsidR="00E03A83" w:rsidRPr="008A5285">
        <w:rPr>
          <w:rFonts w:ascii="Verdana" w:hAnsi="Verdana"/>
          <w:sz w:val="20"/>
          <w:szCs w:val="20"/>
        </w:rPr>
        <w:t xml:space="preserve"> (A)</w:t>
      </w:r>
      <w:r w:rsidRPr="008A5285">
        <w:rPr>
          <w:rFonts w:ascii="Verdana" w:hAnsi="Verdana"/>
          <w:sz w:val="20"/>
          <w:szCs w:val="20"/>
        </w:rPr>
        <w:t xml:space="preserve"> </w:t>
      </w:r>
      <w:r w:rsidRPr="00AF5228">
        <w:rPr>
          <w:rFonts w:ascii="Verdana" w:hAnsi="Verdana"/>
          <w:sz w:val="20"/>
          <w:szCs w:val="20"/>
        </w:rPr>
        <w:t>and</w:t>
      </w:r>
      <w:r w:rsidR="00AF5228">
        <w:rPr>
          <w:rFonts w:ascii="Verdana" w:hAnsi="Verdana"/>
          <w:sz w:val="20"/>
          <w:szCs w:val="20"/>
        </w:rPr>
        <w:t xml:space="preserve"> absolute (B) </w:t>
      </w:r>
      <w:r w:rsidRPr="008A5285">
        <w:rPr>
          <w:rFonts w:ascii="Verdana" w:hAnsi="Verdana"/>
          <w:sz w:val="20"/>
          <w:szCs w:val="20"/>
          <w:lang w:val="en-US"/>
        </w:rPr>
        <w:t>MACE</w:t>
      </w:r>
      <w:r w:rsidRPr="006F6F3E">
        <w:rPr>
          <w:rFonts w:ascii="Verdana" w:hAnsi="Verdana"/>
          <w:sz w:val="20"/>
          <w:szCs w:val="20"/>
          <w:lang w:val="en-US"/>
        </w:rPr>
        <w:t xml:space="preserve"> risk estimates for semaglutide vs placebo</w:t>
      </w:r>
      <w:r w:rsidR="00BA1BB4">
        <w:rPr>
          <w:rFonts w:ascii="Verdana" w:hAnsi="Verdana"/>
          <w:sz w:val="20"/>
          <w:szCs w:val="20"/>
          <w:lang w:val="en-US"/>
        </w:rPr>
        <w:t xml:space="preserve"> (excluding active comparators)</w:t>
      </w:r>
      <w:bookmarkEnd w:id="0"/>
    </w:p>
    <w:p w14:paraId="4B1282A5" w14:textId="1B2BF241" w:rsidR="003C11C4" w:rsidRDefault="00B51BBB">
      <w:pPr>
        <w:spacing w:line="480" w:lineRule="auto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40064052" wp14:editId="73EAB2DC">
            <wp:extent cx="6364906" cy="30765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8"/>
                    <a:stretch/>
                  </pic:blipFill>
                  <pic:spPr bwMode="auto">
                    <a:xfrm>
                      <a:off x="0" y="0"/>
                      <a:ext cx="6377647" cy="308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E8CA6" w14:textId="68F6D223" w:rsidR="0088541D" w:rsidRPr="008A5285" w:rsidRDefault="00D761C4" w:rsidP="002B518F">
      <w:pPr>
        <w:spacing w:line="240" w:lineRule="auto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395B2190" wp14:editId="345D432B">
            <wp:extent cx="6197300" cy="288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4"/>
                    <a:stretch/>
                  </pic:blipFill>
                  <pic:spPr bwMode="auto">
                    <a:xfrm>
                      <a:off x="0" y="0"/>
                      <a:ext cx="6225030" cy="28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CCB35" w14:textId="224815A8" w:rsidR="0088541D" w:rsidRPr="00154C57" w:rsidRDefault="00BA1BB4" w:rsidP="0088541D">
      <w:pPr>
        <w:rPr>
          <w:rFonts w:ascii="Verdana" w:hAnsi="Verdana"/>
          <w:b/>
          <w:sz w:val="20"/>
          <w:szCs w:val="20"/>
          <w:lang w:val="en-GB"/>
        </w:rPr>
      </w:pPr>
      <w:proofErr w:type="gramStart"/>
      <w:r w:rsidRPr="006F6F3E">
        <w:rPr>
          <w:rFonts w:ascii="Verdana" w:hAnsi="Verdana"/>
          <w:sz w:val="18"/>
          <w:lang w:val="en-US"/>
        </w:rPr>
        <w:t xml:space="preserve">Absolute yearly MACE </w:t>
      </w:r>
      <w:r w:rsidRPr="00DC775D">
        <w:rPr>
          <w:rFonts w:ascii="Verdana" w:hAnsi="Verdana"/>
          <w:sz w:val="18"/>
          <w:lang w:val="en-US"/>
        </w:rPr>
        <w:t>probabilities,</w:t>
      </w:r>
      <w:proofErr w:type="gramEnd"/>
      <w:r w:rsidRPr="00DC775D">
        <w:rPr>
          <w:rFonts w:ascii="Verdana" w:hAnsi="Verdana"/>
          <w:sz w:val="18"/>
          <w:lang w:val="en-US"/>
        </w:rPr>
        <w:t xml:space="preserve"> estimated using a </w:t>
      </w:r>
      <w:r w:rsidRPr="00154C57">
        <w:rPr>
          <w:rFonts w:ascii="Verdana" w:hAnsi="Verdana"/>
          <w:sz w:val="18"/>
          <w:lang w:val="en-US"/>
        </w:rPr>
        <w:t>stratified</w:t>
      </w:r>
      <w:r w:rsidRPr="00DC775D">
        <w:rPr>
          <w:rFonts w:ascii="Verdana" w:hAnsi="Verdana"/>
          <w:sz w:val="18"/>
          <w:lang w:val="en-US"/>
        </w:rPr>
        <w:t xml:space="preserve"> Cox proportional hazards model including effects of treatment, CV risk score and interaction between both.</w:t>
      </w:r>
      <w:r w:rsidR="00CB314E">
        <w:rPr>
          <w:rFonts w:ascii="Verdana" w:hAnsi="Verdana"/>
          <w:sz w:val="18"/>
          <w:lang w:val="en-US"/>
        </w:rPr>
        <w:t xml:space="preserve"> </w:t>
      </w:r>
      <w:r w:rsidR="00154C57">
        <w:rPr>
          <w:rFonts w:ascii="Verdana" w:hAnsi="Verdana"/>
          <w:sz w:val="18"/>
          <w:lang w:val="en-US"/>
        </w:rPr>
        <w:t xml:space="preserve">Includes placebo data from SUSTAIN 1, SUSTAIN 5, PIONEER 1, PIONEER 4, PIONEER 5, PIONEER 6, PIONEER 8 and PIONEER 9. </w:t>
      </w:r>
      <w:r w:rsidR="00B0234D">
        <w:rPr>
          <w:rFonts w:ascii="Verdana" w:hAnsi="Verdana"/>
          <w:sz w:val="18"/>
        </w:rPr>
        <w:t>H</w:t>
      </w:r>
      <w:r w:rsidR="00DC775D" w:rsidRPr="00DA30B2">
        <w:rPr>
          <w:rFonts w:ascii="Verdana" w:hAnsi="Verdana"/>
          <w:sz w:val="18"/>
        </w:rPr>
        <w:t>azard ratio</w:t>
      </w:r>
      <w:r w:rsidR="00B0234D">
        <w:rPr>
          <w:rFonts w:ascii="Verdana" w:hAnsi="Verdana"/>
          <w:sz w:val="18"/>
        </w:rPr>
        <w:t xml:space="preserve"> value</w:t>
      </w:r>
      <w:r w:rsidR="00DC775D" w:rsidRPr="00DA30B2">
        <w:rPr>
          <w:rFonts w:ascii="Verdana" w:hAnsi="Verdana"/>
          <w:sz w:val="18"/>
        </w:rPr>
        <w:t xml:space="preserve"> of 1.00</w:t>
      </w:r>
      <w:r w:rsidR="00B0234D">
        <w:rPr>
          <w:rFonts w:ascii="Verdana" w:hAnsi="Verdana"/>
          <w:sz w:val="18"/>
        </w:rPr>
        <w:t xml:space="preserve"> is indicated by horizontal dashed line</w:t>
      </w:r>
      <w:r w:rsidR="00DC775D" w:rsidRPr="00DA30B2">
        <w:rPr>
          <w:rFonts w:ascii="Verdana" w:hAnsi="Verdana"/>
          <w:sz w:val="18"/>
        </w:rPr>
        <w:t xml:space="preserve">. </w:t>
      </w:r>
      <w:r w:rsidRPr="00154C57">
        <w:rPr>
          <w:rFonts w:ascii="Verdana" w:hAnsi="Verdana"/>
          <w:sz w:val="18"/>
          <w:lang w:val="en-US"/>
        </w:rPr>
        <w:t>For panel B the model was without the stratification</w:t>
      </w:r>
      <w:r w:rsidRPr="00DC775D">
        <w:rPr>
          <w:rFonts w:ascii="Verdana" w:hAnsi="Verdana"/>
          <w:sz w:val="18"/>
          <w:lang w:val="en-US"/>
        </w:rPr>
        <w:t>. The</w:t>
      </w:r>
      <w:r w:rsidRPr="006F6F3E">
        <w:rPr>
          <w:rFonts w:ascii="Verdana" w:hAnsi="Verdana"/>
          <w:sz w:val="18"/>
          <w:lang w:val="en-US"/>
        </w:rPr>
        <w:t xml:space="preserve"> x-axis shows the CV risk score derived from subjects’ baseline characteristics in the semaglutide trials. Data on graph cut of</w:t>
      </w:r>
      <w:r w:rsidRPr="00DA30B2">
        <w:rPr>
          <w:rFonts w:ascii="Verdana" w:hAnsi="Verdana"/>
          <w:sz w:val="18"/>
          <w:lang w:val="en-US"/>
        </w:rPr>
        <w:t>f at the 5</w:t>
      </w:r>
      <w:r w:rsidR="00B0234D">
        <w:rPr>
          <w:rFonts w:ascii="Verdana" w:hAnsi="Verdana"/>
          <w:sz w:val="18"/>
          <w:lang w:val="en-US"/>
        </w:rPr>
        <w:t>th</w:t>
      </w:r>
      <w:r w:rsidRPr="00DA30B2">
        <w:rPr>
          <w:rFonts w:ascii="Verdana" w:hAnsi="Verdana"/>
          <w:sz w:val="18"/>
          <w:lang w:val="en-US"/>
        </w:rPr>
        <w:t xml:space="preserve"> and 95</w:t>
      </w:r>
      <w:r w:rsidR="00B0234D">
        <w:rPr>
          <w:rFonts w:ascii="Verdana" w:hAnsi="Verdana"/>
          <w:sz w:val="18"/>
          <w:lang w:val="en-US"/>
        </w:rPr>
        <w:t xml:space="preserve">th </w:t>
      </w:r>
      <w:r w:rsidRPr="00DA30B2">
        <w:rPr>
          <w:rFonts w:ascii="Verdana" w:hAnsi="Verdana"/>
          <w:sz w:val="18"/>
          <w:lang w:val="en-US"/>
        </w:rPr>
        <w:t xml:space="preserve">percentile of whole dataset. </w:t>
      </w:r>
      <w:r w:rsidR="0088541D" w:rsidRPr="008A5285">
        <w:rPr>
          <w:rFonts w:ascii="Verdana" w:hAnsi="Verdana"/>
          <w:sz w:val="18"/>
          <w:szCs w:val="18"/>
        </w:rPr>
        <w:t xml:space="preserve">CI, confidence interval; </w:t>
      </w:r>
      <w:r w:rsidR="0088541D" w:rsidRPr="00EF2DC8">
        <w:rPr>
          <w:rFonts w:ascii="Verdana" w:hAnsi="Verdana"/>
          <w:sz w:val="18"/>
          <w:szCs w:val="18"/>
          <w:lang w:val="en-US"/>
        </w:rPr>
        <w:t>C</w:t>
      </w:r>
      <w:r w:rsidR="0088541D">
        <w:rPr>
          <w:rFonts w:ascii="Verdana" w:hAnsi="Verdana"/>
          <w:sz w:val="18"/>
          <w:lang w:val="en-US"/>
        </w:rPr>
        <w:t xml:space="preserve">V, cardiovascular; CVOT, cardiovascular outcomes trial; HR, hazard ratio; </w:t>
      </w:r>
      <w:r w:rsidR="0088541D" w:rsidRPr="006F6F3E">
        <w:rPr>
          <w:rFonts w:ascii="Verdana" w:hAnsi="Verdana"/>
          <w:sz w:val="18"/>
          <w:lang w:val="en-US"/>
        </w:rPr>
        <w:t>MACE, major adverse cardiovascular event</w:t>
      </w:r>
      <w:r w:rsidR="00B0234D">
        <w:rPr>
          <w:rFonts w:ascii="Verdana" w:hAnsi="Verdana"/>
          <w:sz w:val="18"/>
          <w:lang w:val="en-US"/>
        </w:rPr>
        <w:t>s</w:t>
      </w:r>
      <w:r w:rsidR="00CB314E">
        <w:rPr>
          <w:rFonts w:ascii="Verdana" w:hAnsi="Verdana"/>
          <w:sz w:val="18"/>
          <w:lang w:val="en-US"/>
        </w:rPr>
        <w:t xml:space="preserve">; </w:t>
      </w:r>
      <w:r w:rsidR="00CB314E" w:rsidRPr="00DA30B2">
        <w:rPr>
          <w:rFonts w:ascii="Verdana" w:hAnsi="Verdana"/>
          <w:sz w:val="18"/>
        </w:rPr>
        <w:t xml:space="preserve">NNT, </w:t>
      </w:r>
      <w:r w:rsidR="00CB314E" w:rsidRPr="00FF4641">
        <w:rPr>
          <w:rFonts w:ascii="Verdana" w:hAnsi="Verdana"/>
          <w:sz w:val="18"/>
        </w:rPr>
        <w:t>number needed to treat to avoid one MACE during 1 year</w:t>
      </w:r>
      <w:r w:rsidR="0088541D">
        <w:rPr>
          <w:rFonts w:ascii="Verdana" w:hAnsi="Verdana"/>
          <w:sz w:val="18"/>
          <w:lang w:val="en-US"/>
        </w:rPr>
        <w:t>.</w:t>
      </w:r>
    </w:p>
    <w:p w14:paraId="27CB8A17" w14:textId="1A5DA855" w:rsidR="005950C4" w:rsidRPr="008A5285" w:rsidRDefault="005950C4" w:rsidP="00232B5D">
      <w:pPr>
        <w:spacing w:line="240" w:lineRule="auto"/>
        <w:rPr>
          <w:rFonts w:ascii="Verdana" w:hAnsi="Verdana"/>
          <w:sz w:val="20"/>
        </w:rPr>
      </w:pPr>
    </w:p>
    <w:sectPr w:rsidR="005950C4" w:rsidRPr="008A5285" w:rsidSect="008A5285">
      <w:footerReference w:type="defaul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064BB9" w:rsidRDefault="00064BB9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064BB9" w:rsidRDefault="00064BB9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064BB9" w:rsidRDefault="00064B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195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3238D" w14:textId="4DE44814" w:rsidR="00064BB9" w:rsidRDefault="0006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30304" w14:textId="77777777" w:rsidR="00064BB9" w:rsidRDefault="0006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064BB9" w:rsidRDefault="00064BB9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064BB9" w:rsidRDefault="00064BB9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064BB9" w:rsidRDefault="00064B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7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8"/>
  </w:num>
  <w:num w:numId="25">
    <w:abstractNumId w:val="0"/>
  </w:num>
  <w:num w:numId="26">
    <w:abstractNumId w:val="8"/>
  </w:num>
  <w:num w:numId="27">
    <w:abstractNumId w:val="30"/>
  </w:num>
  <w:num w:numId="28">
    <w:abstractNumId w:val="1"/>
  </w:num>
  <w:num w:numId="29">
    <w:abstractNumId w:val="19"/>
  </w:num>
  <w:num w:numId="30">
    <w:abstractNumId w:val="11"/>
  </w:num>
  <w:num w:numId="31">
    <w:abstractNumId w:val="26"/>
  </w:num>
  <w:num w:numId="32">
    <w:abstractNumId w:val="5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572E1"/>
    <w:rsid w:val="00162D6D"/>
    <w:rsid w:val="001642DF"/>
    <w:rsid w:val="00166EB7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3FE4"/>
    <w:rsid w:val="003B4A92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573FE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37B3A"/>
    <w:rsid w:val="00741BED"/>
    <w:rsid w:val="00741FCC"/>
    <w:rsid w:val="00742BAD"/>
    <w:rsid w:val="00744399"/>
    <w:rsid w:val="00744D7C"/>
    <w:rsid w:val="00746329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47FA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85D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6E40-1519-444E-BCA5-62D5A2492964}">
  <ds:schemaRefs>
    <ds:schemaRef ds:uri="92b2da64-30fb-4d99-a70a-387ef5aa2867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8D945A-B0C9-436C-B5FC-5B1379D8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3</cp:revision>
  <cp:lastPrinted>2020-02-07T10:56:00Z</cp:lastPrinted>
  <dcterms:created xsi:type="dcterms:W3CDTF">2020-06-15T18:31:00Z</dcterms:created>
  <dcterms:modified xsi:type="dcterms:W3CDTF">2020-06-15T18:31:00Z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