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E70" w:rsidRPr="00302D7E" w:rsidRDefault="00F81E70" w:rsidP="00F81E70">
      <w:pPr>
        <w:spacing w:after="0" w:line="480" w:lineRule="auto"/>
        <w:rPr>
          <w:rFonts w:ascii="Times New Roman" w:eastAsia="MS PGothic" w:hAnsi="Times New Roman" w:cs="Times New Roman"/>
          <w:b/>
          <w:color w:val="000000"/>
          <w:sz w:val="24"/>
          <w:szCs w:val="20"/>
        </w:rPr>
      </w:pPr>
      <w:proofErr w:type="gramStart"/>
      <w:r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 xml:space="preserve">Additional File </w:t>
      </w:r>
      <w:r w:rsidR="00931969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1</w:t>
      </w:r>
      <w:bookmarkStart w:id="0" w:name="_GoBack"/>
      <w:bookmarkEnd w:id="0"/>
      <w:r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.</w:t>
      </w:r>
      <w:proofErr w:type="gramEnd"/>
      <w:r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 xml:space="preserve"> </w:t>
      </w:r>
      <w:r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Changes in parameters in the </w:t>
      </w:r>
      <w:proofErr w:type="spellStart"/>
      <w:r w:rsidRPr="00302D7E">
        <w:rPr>
          <w:rFonts w:ascii="Times New Roman" w:hAnsi="Times New Roman" w:cs="Times New Roman"/>
          <w:bCs/>
          <w:color w:val="000000"/>
          <w:sz w:val="24"/>
          <w:szCs w:val="20"/>
        </w:rPr>
        <w:t>123i</w:t>
      </w:r>
      <w:proofErr w:type="spellEnd"/>
      <w:r w:rsidRPr="00302D7E">
        <w:rPr>
          <w:rFonts w:ascii="Times New Roman" w:hAnsi="Times New Roman" w:cs="Times New Roman"/>
          <w:bCs/>
          <w:color w:val="000000"/>
          <w:sz w:val="24"/>
          <w:szCs w:val="20"/>
        </w:rPr>
        <w:t>-</w:t>
      </w:r>
      <w:r w:rsidRPr="00302D7E">
        <w:rPr>
          <w:rFonts w:ascii="Times New Roman" w:hAnsi="Times New Roman" w:cs="Times New Roman"/>
          <w:bCs/>
          <w:i/>
          <w:iCs/>
          <w:color w:val="000000"/>
          <w:sz w:val="24"/>
          <w:szCs w:val="20"/>
        </w:rPr>
        <w:t>meta</w:t>
      </w:r>
      <w:r w:rsidRPr="00302D7E">
        <w:rPr>
          <w:rFonts w:ascii="Times New Roman" w:hAnsi="Times New Roman" w:cs="Times New Roman"/>
          <w:bCs/>
          <w:color w:val="000000"/>
          <w:sz w:val="24"/>
          <w:szCs w:val="20"/>
        </w:rPr>
        <w:t>-iodobenzylguanide from baseline</w:t>
      </w:r>
      <w:r w:rsidRPr="00302D7E">
        <w:rPr>
          <w:rFonts w:ascii="Times New Roman" w:eastAsia="MS PGothic" w:hAnsi="Times New Roman" w:cs="Times New Roman"/>
          <w:bCs/>
          <w:color w:val="000000"/>
          <w:sz w:val="24"/>
          <w:szCs w:val="20"/>
        </w:rPr>
        <w:t xml:space="preserve"> to 24 weeks</w:t>
      </w:r>
    </w:p>
    <w:p w:rsidR="00F81E70" w:rsidRPr="00302D7E" w:rsidRDefault="00F81E70" w:rsidP="00F81E70">
      <w:pPr>
        <w:spacing w:after="0" w:line="480" w:lineRule="auto"/>
        <w:rPr>
          <w:rFonts w:ascii="Times New Roman" w:eastAsia="MS PGothic" w:hAnsi="Times New Roman" w:cs="Times New Roman"/>
          <w:color w:val="000000"/>
          <w:sz w:val="20"/>
          <w:szCs w:val="20"/>
        </w:rPr>
      </w:pPr>
    </w:p>
    <w:tbl>
      <w:tblPr>
        <w:tblW w:w="5027" w:type="pct"/>
        <w:tblLook w:val="04A0"/>
      </w:tblPr>
      <w:tblGrid>
        <w:gridCol w:w="1793"/>
        <w:gridCol w:w="3092"/>
        <w:gridCol w:w="1359"/>
        <w:gridCol w:w="1359"/>
        <w:gridCol w:w="840"/>
        <w:gridCol w:w="1359"/>
        <w:gridCol w:w="1362"/>
        <w:gridCol w:w="840"/>
        <w:gridCol w:w="1243"/>
      </w:tblGrid>
      <w:tr w:rsidR="00F81E70" w:rsidRPr="00302D7E" w:rsidTr="00CB3E76">
        <w:trPr>
          <w:trHeight w:val="300"/>
        </w:trPr>
        <w:tc>
          <w:tcPr>
            <w:tcW w:w="677" w:type="pct"/>
            <w:tcBorders>
              <w:top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167" w:type="pct"/>
            <w:tcBorders>
              <w:top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6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Empagliflozin (n = 24)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Placebo (n = 22)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Intergroup</w:t>
            </w:r>
          </w:p>
        </w:tc>
      </w:tr>
      <w:tr w:rsidR="00F81E70" w:rsidRPr="00302D7E" w:rsidTr="00CB3E76">
        <w:trPr>
          <w:trHeight w:val="300"/>
        </w:trPr>
        <w:tc>
          <w:tcPr>
            <w:tcW w:w="67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24 weeks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5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24 weeks</w:t>
            </w: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</w:t>
            </w:r>
          </w:p>
        </w:tc>
      </w:tr>
      <w:tr w:rsidR="00F81E70" w:rsidRPr="00302D7E" w:rsidTr="00CB3E76">
        <w:trPr>
          <w:trHeight w:val="300"/>
        </w:trPr>
        <w:tc>
          <w:tcPr>
            <w:tcW w:w="1844" w:type="pct"/>
            <w:gridSpan w:val="2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Heart-to-mediastinum ratio (H/M ratio) early phase</w:t>
            </w:r>
          </w:p>
        </w:tc>
        <w:tc>
          <w:tcPr>
            <w:tcW w:w="513" w:type="pct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2.63 ± 0.51</w:t>
            </w:r>
          </w:p>
        </w:tc>
        <w:tc>
          <w:tcPr>
            <w:tcW w:w="513" w:type="pct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2.70 ± 0.41</w:t>
            </w:r>
          </w:p>
        </w:tc>
        <w:tc>
          <w:tcPr>
            <w:tcW w:w="317" w:type="pct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2.35 ± 0.52</w:t>
            </w:r>
          </w:p>
        </w:tc>
        <w:tc>
          <w:tcPr>
            <w:tcW w:w="513" w:type="pct"/>
            <w:tcBorders>
              <w:top w:val="single" w:sz="4" w:space="0" w:color="auto"/>
            </w:tcBorders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2.46 ± 0.58</w:t>
            </w:r>
          </w:p>
        </w:tc>
        <w:tc>
          <w:tcPr>
            <w:tcW w:w="317" w:type="pct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470" w:type="pct"/>
            <w:noWrap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F81E70" w:rsidRPr="00302D7E" w:rsidTr="00CB3E76">
        <w:trPr>
          <w:trHeight w:val="300"/>
        </w:trPr>
        <w:tc>
          <w:tcPr>
            <w:tcW w:w="1844" w:type="pct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H/M ratio delayed phase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2.63 ± 0.61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2.82 ± 0.60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2.19 ± 0.66</w:t>
            </w: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2.37 ± 0.74</w:t>
            </w: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470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0.99</w:t>
            </w:r>
          </w:p>
        </w:tc>
      </w:tr>
      <w:tr w:rsidR="00F81E70" w:rsidRPr="00302D7E" w:rsidTr="00CB3E76">
        <w:trPr>
          <w:trHeight w:val="300"/>
        </w:trPr>
        <w:tc>
          <w:tcPr>
            <w:tcW w:w="1844" w:type="pct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Wash out rate (%)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28.37 ± 7.48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24.68 ± 8.14</w:t>
            </w:r>
          </w:p>
        </w:tc>
        <w:tc>
          <w:tcPr>
            <w:tcW w:w="31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32.52 ± 9.27</w:t>
            </w:r>
          </w:p>
        </w:tc>
        <w:tc>
          <w:tcPr>
            <w:tcW w:w="5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28.3 ± 10.12</w:t>
            </w:r>
          </w:p>
        </w:tc>
        <w:tc>
          <w:tcPr>
            <w:tcW w:w="31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470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0.63</w:t>
            </w:r>
          </w:p>
        </w:tc>
      </w:tr>
      <w:tr w:rsidR="00F81E70" w:rsidRPr="00302D7E" w:rsidTr="00CB3E76">
        <w:trPr>
          <w:trHeight w:val="300"/>
        </w:trPr>
        <w:tc>
          <w:tcPr>
            <w:tcW w:w="67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1E70" w:rsidRPr="00302D7E" w:rsidRDefault="00F81E70" w:rsidP="00CB3E76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81E70" w:rsidRPr="00302D7E" w:rsidRDefault="00F81E70" w:rsidP="00F81E70">
      <w:pPr>
        <w:spacing w:after="0" w:line="480" w:lineRule="auto"/>
        <w:rPr>
          <w:rFonts w:ascii="Times New Roman" w:eastAsia="MS PGothic" w:hAnsi="Times New Roman" w:cs="Times New Roman"/>
          <w:color w:val="000000"/>
          <w:sz w:val="20"/>
          <w:szCs w:val="20"/>
        </w:rPr>
      </w:pPr>
    </w:p>
    <w:p w:rsidR="000F3BF1" w:rsidRDefault="000F3BF1"/>
    <w:sectPr w:rsidR="000F3BF1" w:rsidSect="00F70B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rawingGridVerticalSpacing w:val="144"/>
  <w:displayHorizontalDrawingGridEvery w:val="0"/>
  <w:displayVerticalDrawingGridEvery w:val="0"/>
  <w:characterSpacingControl w:val="doNotCompress"/>
  <w:compat/>
  <w:rsids>
    <w:rsidRoot w:val="00F81E70"/>
    <w:rsid w:val="000F3BF1"/>
    <w:rsid w:val="00283B90"/>
    <w:rsid w:val="00931969"/>
    <w:rsid w:val="00D83622"/>
    <w:rsid w:val="00F70B8E"/>
    <w:rsid w:val="00F81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70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70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0016236</cp:lastModifiedBy>
  <cp:revision>3</cp:revision>
  <dcterms:created xsi:type="dcterms:W3CDTF">2020-06-04T06:10:00Z</dcterms:created>
  <dcterms:modified xsi:type="dcterms:W3CDTF">2020-09-21T02:00:00Z</dcterms:modified>
</cp:coreProperties>
</file>