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EADE5B" w14:textId="77777777" w:rsidR="00A3799A" w:rsidRPr="00A3799A" w:rsidRDefault="00A3799A">
      <w:pPr>
        <w:rPr>
          <w:rFonts w:ascii="Times New Roman" w:hAnsi="Times New Roman" w:cs="Times New Roman"/>
          <w:sz w:val="24"/>
          <w:szCs w:val="24"/>
        </w:rPr>
      </w:pPr>
      <w:r w:rsidRPr="00A3799A">
        <w:rPr>
          <w:rFonts w:ascii="Times New Roman" w:hAnsi="Times New Roman" w:cs="Times New Roman"/>
          <w:sz w:val="24"/>
          <w:szCs w:val="24"/>
        </w:rPr>
        <w:t>Supplementary tables</w:t>
      </w:r>
    </w:p>
    <w:p w14:paraId="5441B5A5" w14:textId="298805A1" w:rsidR="00C77676" w:rsidRPr="00A3799A" w:rsidRDefault="00A3799A">
      <w:pPr>
        <w:rPr>
          <w:rFonts w:ascii="Times New Roman" w:hAnsi="Times New Roman" w:cs="Times New Roman"/>
          <w:sz w:val="24"/>
          <w:szCs w:val="24"/>
        </w:rPr>
      </w:pPr>
      <w:r w:rsidRPr="00A3799A">
        <w:rPr>
          <w:rFonts w:ascii="Times New Roman" w:hAnsi="Times New Roman" w:cs="Times New Roman"/>
          <w:sz w:val="24"/>
          <w:szCs w:val="24"/>
        </w:rPr>
        <w:t>Table S1</w:t>
      </w:r>
    </w:p>
    <w:p w14:paraId="624CBA8B" w14:textId="349D4428" w:rsidR="00A3799A" w:rsidRPr="00A3799A" w:rsidRDefault="00A3799A">
      <w:pPr>
        <w:rPr>
          <w:rFonts w:ascii="Times New Roman" w:hAnsi="Times New Roman" w:cs="Times New Roman"/>
          <w:sz w:val="24"/>
          <w:szCs w:val="24"/>
        </w:rPr>
      </w:pPr>
    </w:p>
    <w:p w14:paraId="104C8E52" w14:textId="2EADDBF5" w:rsidR="00A3799A" w:rsidRPr="00A3799A" w:rsidRDefault="00A3799A">
      <w:pPr>
        <w:rPr>
          <w:rFonts w:ascii="Times New Roman" w:hAnsi="Times New Roman" w:cs="Times New Roman"/>
          <w:sz w:val="24"/>
          <w:szCs w:val="24"/>
        </w:rPr>
      </w:pPr>
      <w:r w:rsidRPr="00A3799A">
        <w:rPr>
          <w:rFonts w:ascii="Times New Roman" w:hAnsi="Times New Roman" w:cs="Times New Roman"/>
          <w:sz w:val="24"/>
          <w:szCs w:val="24"/>
        </w:rPr>
        <w:t>Drug subclasses of included studies.</w:t>
      </w:r>
    </w:p>
    <w:p w14:paraId="5EDC02D8" w14:textId="331265B6" w:rsidR="00A3799A" w:rsidRPr="00A3799A" w:rsidRDefault="00A3799A">
      <w:pPr>
        <w:rPr>
          <w:rFonts w:ascii="Times New Roman" w:hAnsi="Times New Roman" w:cs="Times New Roman"/>
          <w:sz w:val="24"/>
          <w:szCs w:val="24"/>
        </w:rPr>
      </w:pPr>
      <w:r w:rsidRPr="00A3799A">
        <w:rPr>
          <w:rFonts w:ascii="Times New Roman" w:hAnsi="Times New Roman" w:cs="Times New Roman"/>
          <w:sz w:val="24"/>
          <w:szCs w:val="24"/>
        </w:rPr>
        <w:t xml:space="preserve">GLP-1 RA, </w:t>
      </w:r>
      <w:r w:rsidRPr="00A3799A">
        <w:rPr>
          <w:rFonts w:ascii="Times New Roman" w:hAnsi="Times New Roman" w:cs="Times New Roman"/>
          <w:sz w:val="24"/>
          <w:szCs w:val="24"/>
        </w:rPr>
        <w:t>glucagon-like peptide-1 receptor agonists</w:t>
      </w:r>
      <w:r w:rsidRPr="00A3799A">
        <w:rPr>
          <w:rFonts w:ascii="Times New Roman" w:hAnsi="Times New Roman" w:cs="Times New Roman"/>
          <w:sz w:val="24"/>
          <w:szCs w:val="24"/>
        </w:rPr>
        <w:t>.</w:t>
      </w:r>
    </w:p>
    <w:p w14:paraId="63D4C7F7" w14:textId="75083694" w:rsidR="00A3799A" w:rsidRPr="00A3799A" w:rsidRDefault="00A3799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2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14"/>
        <w:gridCol w:w="1130"/>
        <w:gridCol w:w="1956"/>
      </w:tblGrid>
      <w:tr w:rsidR="00A3799A" w:rsidRPr="00A3799A" w14:paraId="1A62A917" w14:textId="77777777" w:rsidTr="00A3799A">
        <w:trPr>
          <w:trHeight w:val="372"/>
        </w:trPr>
        <w:tc>
          <w:tcPr>
            <w:tcW w:w="21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1998E6" w14:textId="77777777" w:rsidR="00A3799A" w:rsidRPr="00A3799A" w:rsidRDefault="00A3799A" w:rsidP="00A3799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A3799A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Study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0BB4A1" w14:textId="77777777" w:rsidR="00A3799A" w:rsidRPr="00A3799A" w:rsidRDefault="00A3799A" w:rsidP="00A3799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A3799A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Drug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1D4EBE" w14:textId="77777777" w:rsidR="00A3799A" w:rsidRPr="00A3799A" w:rsidRDefault="00A3799A" w:rsidP="00A3799A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A3799A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GLP-1 RAs subclass</w:t>
            </w:r>
          </w:p>
        </w:tc>
      </w:tr>
      <w:tr w:rsidR="00A3799A" w:rsidRPr="00A3799A" w14:paraId="32D39C4F" w14:textId="77777777" w:rsidTr="00A3799A">
        <w:trPr>
          <w:trHeight w:val="360"/>
        </w:trPr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D9791" w14:textId="77777777" w:rsidR="00A3799A" w:rsidRPr="00A3799A" w:rsidRDefault="00A3799A" w:rsidP="00A3799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A3799A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ELIXA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C8910" w14:textId="77777777" w:rsidR="00A3799A" w:rsidRPr="00A3799A" w:rsidRDefault="00A3799A" w:rsidP="00A3799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A3799A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Lixisenatide</w:t>
            </w:r>
            <w:proofErr w:type="spellEnd"/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32087" w14:textId="77777777" w:rsidR="00A3799A" w:rsidRPr="00A3799A" w:rsidRDefault="00A3799A" w:rsidP="00A3799A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A3799A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Exendin-4 analogue</w:t>
            </w:r>
          </w:p>
        </w:tc>
      </w:tr>
      <w:tr w:rsidR="00A3799A" w:rsidRPr="00A3799A" w14:paraId="4A8EF49C" w14:textId="77777777" w:rsidTr="00A3799A">
        <w:trPr>
          <w:trHeight w:val="360"/>
        </w:trPr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03E31" w14:textId="77777777" w:rsidR="00A3799A" w:rsidRPr="00A3799A" w:rsidRDefault="00A3799A" w:rsidP="00A3799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A3799A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EXSCEL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ED730" w14:textId="77777777" w:rsidR="00A3799A" w:rsidRPr="00A3799A" w:rsidRDefault="00A3799A" w:rsidP="00A3799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A3799A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Exenatide 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209CE" w14:textId="77777777" w:rsidR="00A3799A" w:rsidRPr="00A3799A" w:rsidRDefault="00A3799A" w:rsidP="00A3799A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A3799A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Exendin-4 analogue</w:t>
            </w:r>
          </w:p>
        </w:tc>
      </w:tr>
      <w:tr w:rsidR="00A3799A" w:rsidRPr="00A3799A" w14:paraId="293C385D" w14:textId="77777777" w:rsidTr="00A3799A">
        <w:trPr>
          <w:trHeight w:val="360"/>
        </w:trPr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AD72A" w14:textId="77777777" w:rsidR="00A3799A" w:rsidRPr="00A3799A" w:rsidRDefault="00A3799A" w:rsidP="00A3799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A3799A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HARMONY Outcomes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D65EF" w14:textId="77777777" w:rsidR="00A3799A" w:rsidRPr="00A3799A" w:rsidRDefault="00A3799A" w:rsidP="00A3799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A3799A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Albiglutide 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C6F72" w14:textId="77777777" w:rsidR="00A3799A" w:rsidRPr="00A3799A" w:rsidRDefault="00A3799A" w:rsidP="00A3799A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A3799A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GLP-1 analogue</w:t>
            </w:r>
          </w:p>
        </w:tc>
      </w:tr>
      <w:tr w:rsidR="00A3799A" w:rsidRPr="00A3799A" w14:paraId="1EDF800F" w14:textId="77777777" w:rsidTr="00A3799A">
        <w:trPr>
          <w:trHeight w:val="360"/>
        </w:trPr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B1A5C" w14:textId="77777777" w:rsidR="00A3799A" w:rsidRPr="00A3799A" w:rsidRDefault="00A3799A" w:rsidP="00A3799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A3799A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LEADER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EF558" w14:textId="77777777" w:rsidR="00A3799A" w:rsidRPr="00A3799A" w:rsidRDefault="00A3799A" w:rsidP="00A3799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A3799A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Liraglutide 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6F41B" w14:textId="77777777" w:rsidR="00A3799A" w:rsidRPr="00A3799A" w:rsidRDefault="00A3799A" w:rsidP="00A3799A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A3799A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GLP-1 analogue</w:t>
            </w:r>
          </w:p>
        </w:tc>
      </w:tr>
      <w:tr w:rsidR="00A3799A" w:rsidRPr="00A3799A" w14:paraId="0C8CA9DD" w14:textId="77777777" w:rsidTr="00A3799A">
        <w:trPr>
          <w:trHeight w:val="360"/>
        </w:trPr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08787" w14:textId="77777777" w:rsidR="00A3799A" w:rsidRPr="00A3799A" w:rsidRDefault="00A3799A" w:rsidP="00A3799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A3799A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PIONEER-6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C3C34" w14:textId="77777777" w:rsidR="00A3799A" w:rsidRPr="00A3799A" w:rsidRDefault="00A3799A" w:rsidP="00A3799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A3799A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Semaglutide</w:t>
            </w:r>
            <w:proofErr w:type="spellEnd"/>
            <w:r w:rsidRPr="00A3799A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 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E81F7" w14:textId="77777777" w:rsidR="00A3799A" w:rsidRPr="00A3799A" w:rsidRDefault="00A3799A" w:rsidP="00A3799A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A3799A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GLP-1 analogue</w:t>
            </w:r>
          </w:p>
        </w:tc>
      </w:tr>
      <w:tr w:rsidR="00A3799A" w:rsidRPr="00A3799A" w14:paraId="036DC29C" w14:textId="77777777" w:rsidTr="00A3799A">
        <w:trPr>
          <w:trHeight w:val="360"/>
        </w:trPr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D418E" w14:textId="77777777" w:rsidR="00A3799A" w:rsidRPr="00A3799A" w:rsidRDefault="00A3799A" w:rsidP="00A3799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A3799A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REWIND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895E4" w14:textId="77777777" w:rsidR="00A3799A" w:rsidRPr="00A3799A" w:rsidRDefault="00A3799A" w:rsidP="00A3799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A3799A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Dulaglutide 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B133C" w14:textId="77777777" w:rsidR="00A3799A" w:rsidRPr="00A3799A" w:rsidRDefault="00A3799A" w:rsidP="00A3799A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A3799A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GLP-1 analogue</w:t>
            </w:r>
          </w:p>
        </w:tc>
      </w:tr>
      <w:tr w:rsidR="00A3799A" w:rsidRPr="00A3799A" w14:paraId="61CD1D54" w14:textId="77777777" w:rsidTr="00A3799A">
        <w:trPr>
          <w:trHeight w:val="360"/>
        </w:trPr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F9E09" w14:textId="77777777" w:rsidR="00A3799A" w:rsidRPr="00A3799A" w:rsidRDefault="00A3799A" w:rsidP="00A3799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A3799A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SUSTAIN-6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E7E0F" w14:textId="77777777" w:rsidR="00A3799A" w:rsidRPr="00A3799A" w:rsidRDefault="00A3799A" w:rsidP="00A3799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A3799A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Semaglutide</w:t>
            </w:r>
            <w:proofErr w:type="spellEnd"/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6E788" w14:textId="77777777" w:rsidR="00A3799A" w:rsidRPr="00A3799A" w:rsidRDefault="00A3799A" w:rsidP="00A3799A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A3799A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GLP-1 analogue</w:t>
            </w:r>
          </w:p>
        </w:tc>
      </w:tr>
    </w:tbl>
    <w:p w14:paraId="5722C287" w14:textId="77777777" w:rsidR="00A3799A" w:rsidRPr="00A3799A" w:rsidRDefault="00A3799A">
      <w:pPr>
        <w:rPr>
          <w:rFonts w:ascii="Times New Roman" w:hAnsi="Times New Roman" w:cs="Times New Roman"/>
          <w:sz w:val="24"/>
          <w:szCs w:val="24"/>
        </w:rPr>
      </w:pPr>
    </w:p>
    <w:p w14:paraId="0C1CE490" w14:textId="121CC6E4" w:rsidR="00A3799A" w:rsidRPr="00A3799A" w:rsidRDefault="00A3799A">
      <w:pPr>
        <w:widowControl/>
        <w:jc w:val="left"/>
        <w:rPr>
          <w:rFonts w:ascii="Times New Roman" w:hAnsi="Times New Roman" w:cs="Times New Roman"/>
        </w:rPr>
      </w:pPr>
      <w:r w:rsidRPr="00A3799A">
        <w:rPr>
          <w:rFonts w:ascii="Times New Roman" w:hAnsi="Times New Roman" w:cs="Times New Roman"/>
        </w:rPr>
        <w:br w:type="page"/>
      </w:r>
    </w:p>
    <w:p w14:paraId="7506D092" w14:textId="70DF04AC" w:rsidR="00A3799A" w:rsidRPr="00A3799A" w:rsidRDefault="00A3799A">
      <w:pPr>
        <w:rPr>
          <w:rFonts w:ascii="Times New Roman" w:hAnsi="Times New Roman" w:cs="Times New Roman"/>
          <w:sz w:val="24"/>
          <w:szCs w:val="24"/>
        </w:rPr>
      </w:pPr>
      <w:r w:rsidRPr="00A3799A">
        <w:rPr>
          <w:rFonts w:ascii="Times New Roman" w:hAnsi="Times New Roman" w:cs="Times New Roman"/>
          <w:sz w:val="24"/>
          <w:szCs w:val="24"/>
        </w:rPr>
        <w:lastRenderedPageBreak/>
        <w:t>Table S2</w:t>
      </w:r>
    </w:p>
    <w:p w14:paraId="36C3282E" w14:textId="648D07B8" w:rsidR="00A3799A" w:rsidRPr="00A3799A" w:rsidRDefault="00A3799A">
      <w:pPr>
        <w:rPr>
          <w:rFonts w:ascii="Times New Roman" w:hAnsi="Times New Roman" w:cs="Times New Roman"/>
          <w:sz w:val="24"/>
          <w:szCs w:val="24"/>
        </w:rPr>
      </w:pPr>
      <w:r w:rsidRPr="00A3799A">
        <w:rPr>
          <w:rFonts w:ascii="Times New Roman" w:hAnsi="Times New Roman" w:cs="Times New Roman"/>
          <w:sz w:val="24"/>
          <w:szCs w:val="24"/>
        </w:rPr>
        <w:t>Prespecified definitions of renal outcomes.</w:t>
      </w:r>
    </w:p>
    <w:p w14:paraId="116E0DDD" w14:textId="1C398E44" w:rsidR="00A3799A" w:rsidRDefault="00A3799A">
      <w:pPr>
        <w:rPr>
          <w:rFonts w:ascii="Times New Roman" w:hAnsi="Times New Roman" w:cs="Times New Roman"/>
          <w:sz w:val="24"/>
          <w:szCs w:val="24"/>
        </w:rPr>
      </w:pPr>
      <w:r w:rsidRPr="00A3799A">
        <w:rPr>
          <w:rFonts w:ascii="Times New Roman" w:hAnsi="Times New Roman" w:cs="Times New Roman"/>
          <w:bCs/>
          <w:sz w:val="24"/>
          <w:szCs w:val="24"/>
        </w:rPr>
        <w:t xml:space="preserve">SGLT2i, </w:t>
      </w:r>
      <w:r w:rsidRPr="00A3799A">
        <w:rPr>
          <w:rFonts w:ascii="Times New Roman" w:hAnsi="Times New Roman" w:cs="Times New Roman"/>
          <w:sz w:val="24"/>
          <w:szCs w:val="24"/>
        </w:rPr>
        <w:t>sodium-glucose cotransporter-2 inhibitors; GLP-1 RAs, glucagon-like peptide-1 receptor agonists</w:t>
      </w:r>
      <w:r w:rsidRPr="00A3799A">
        <w:rPr>
          <w:rFonts w:ascii="Times New Roman" w:hAnsi="Times New Roman" w:cs="Times New Roman"/>
          <w:sz w:val="24"/>
          <w:szCs w:val="24"/>
        </w:rPr>
        <w:t xml:space="preserve">; </w:t>
      </w:r>
      <w:r w:rsidRPr="00A3799A">
        <w:rPr>
          <w:rFonts w:ascii="Times New Roman" w:hAnsi="Times New Roman" w:cs="Times New Roman"/>
          <w:bCs/>
          <w:sz w:val="24"/>
          <w:szCs w:val="24"/>
        </w:rPr>
        <w:t xml:space="preserve">eGFR, </w:t>
      </w:r>
      <w:r w:rsidRPr="00A3799A">
        <w:rPr>
          <w:rFonts w:ascii="Times New Roman" w:hAnsi="Times New Roman" w:cs="Times New Roman"/>
          <w:sz w:val="24"/>
          <w:szCs w:val="24"/>
        </w:rPr>
        <w:t>estimated glomerular filtration rate; ESRD, end-stage renal disease;</w:t>
      </w:r>
      <w:r w:rsidRPr="00A3799A">
        <w:rPr>
          <w:rFonts w:ascii="Times New Roman" w:hAnsi="Times New Roman" w:cs="Times New Roman"/>
          <w:sz w:val="24"/>
          <w:szCs w:val="24"/>
        </w:rPr>
        <w:t xml:space="preserve"> vs., versus.</w:t>
      </w:r>
    </w:p>
    <w:p w14:paraId="67138EB5" w14:textId="77777777" w:rsidR="00A3799A" w:rsidRPr="00A3799A" w:rsidRDefault="00A3799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831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98"/>
        <w:gridCol w:w="6020"/>
      </w:tblGrid>
      <w:tr w:rsidR="00A3799A" w:rsidRPr="00A3799A" w14:paraId="2B2AC421" w14:textId="77777777" w:rsidTr="00A3799A">
        <w:trPr>
          <w:trHeight w:val="372"/>
        </w:trPr>
        <w:tc>
          <w:tcPr>
            <w:tcW w:w="22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58DCF7" w14:textId="77777777" w:rsidR="00A3799A" w:rsidRPr="00A3799A" w:rsidRDefault="00A3799A" w:rsidP="00A3799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A3799A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Study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21C260" w14:textId="77777777" w:rsidR="00A3799A" w:rsidRPr="00A3799A" w:rsidRDefault="00A3799A" w:rsidP="00A3799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A3799A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Definition of renal outcomes</w:t>
            </w:r>
          </w:p>
        </w:tc>
      </w:tr>
      <w:tr w:rsidR="00A3799A" w:rsidRPr="00A3799A" w14:paraId="440DE7BA" w14:textId="77777777" w:rsidTr="00A3799A">
        <w:trPr>
          <w:trHeight w:val="360"/>
        </w:trPr>
        <w:tc>
          <w:tcPr>
            <w:tcW w:w="8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2E528" w14:textId="77777777" w:rsidR="00A3799A" w:rsidRPr="00A3799A" w:rsidRDefault="00A3799A" w:rsidP="00A3799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A3799A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SGLT2i vs. placebo</w:t>
            </w:r>
          </w:p>
        </w:tc>
      </w:tr>
      <w:tr w:rsidR="00A3799A" w:rsidRPr="00A3799A" w14:paraId="0639F76B" w14:textId="77777777" w:rsidTr="00A3799A">
        <w:trPr>
          <w:trHeight w:val="360"/>
        </w:trPr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FAD40" w14:textId="77777777" w:rsidR="00A3799A" w:rsidRPr="00A3799A" w:rsidRDefault="00A3799A" w:rsidP="00A3799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A3799A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EMPA-REG OUTCOME</w:t>
            </w:r>
          </w:p>
        </w:tc>
        <w:tc>
          <w:tcPr>
            <w:tcW w:w="6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6528F" w14:textId="77777777" w:rsidR="00A3799A" w:rsidRPr="00A3799A" w:rsidRDefault="00A3799A" w:rsidP="00A3799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A3799A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Macroalbuminuria, doubling creatinine, ESRD, renal death</w:t>
            </w:r>
          </w:p>
        </w:tc>
      </w:tr>
      <w:tr w:rsidR="00A3799A" w:rsidRPr="00A3799A" w14:paraId="6BC51D3F" w14:textId="77777777" w:rsidTr="00A3799A">
        <w:trPr>
          <w:trHeight w:val="360"/>
        </w:trPr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57193" w14:textId="77777777" w:rsidR="00A3799A" w:rsidRPr="00A3799A" w:rsidRDefault="00A3799A" w:rsidP="00A3799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30CF7" w14:textId="77777777" w:rsidR="00A3799A" w:rsidRPr="00A3799A" w:rsidRDefault="00A3799A" w:rsidP="00A3799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A3799A" w:rsidRPr="00A3799A" w14:paraId="09252FD7" w14:textId="77777777" w:rsidTr="00A3799A">
        <w:trPr>
          <w:trHeight w:val="360"/>
        </w:trPr>
        <w:tc>
          <w:tcPr>
            <w:tcW w:w="8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FD89A" w14:textId="77777777" w:rsidR="00A3799A" w:rsidRPr="00A3799A" w:rsidRDefault="00A3799A" w:rsidP="00A3799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A3799A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GLP-1 RAs vs. placebo</w:t>
            </w:r>
          </w:p>
        </w:tc>
      </w:tr>
      <w:tr w:rsidR="00A3799A" w:rsidRPr="00A3799A" w14:paraId="4576AE9C" w14:textId="77777777" w:rsidTr="00A3799A">
        <w:trPr>
          <w:trHeight w:val="1668"/>
        </w:trPr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8FECE" w14:textId="77777777" w:rsidR="00A3799A" w:rsidRPr="00A3799A" w:rsidRDefault="00A3799A" w:rsidP="00A3799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A3799A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EXSCEL</w:t>
            </w:r>
          </w:p>
        </w:tc>
        <w:tc>
          <w:tcPr>
            <w:tcW w:w="6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40B69" w14:textId="4F7058BF" w:rsidR="00A3799A" w:rsidRPr="00A3799A" w:rsidRDefault="00A3799A" w:rsidP="00A3799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A3799A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 xml:space="preserve">Macroalbuminuria, ≥ 40% </w:t>
            </w:r>
            <w:r w:rsidRPr="00A3799A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e</w:t>
            </w:r>
            <w:r w:rsidRPr="00A3799A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GFR decline, ESRD, renal death</w:t>
            </w:r>
          </w:p>
        </w:tc>
      </w:tr>
      <w:tr w:rsidR="00A3799A" w:rsidRPr="00A3799A" w14:paraId="598A29F1" w14:textId="77777777" w:rsidTr="00A3799A">
        <w:trPr>
          <w:trHeight w:val="360"/>
        </w:trPr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56CFD" w14:textId="77777777" w:rsidR="00A3799A" w:rsidRPr="00A3799A" w:rsidRDefault="00A3799A" w:rsidP="00A3799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A3799A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LEADER</w:t>
            </w:r>
          </w:p>
        </w:tc>
        <w:tc>
          <w:tcPr>
            <w:tcW w:w="6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30957" w14:textId="77777777" w:rsidR="00A3799A" w:rsidRPr="00A3799A" w:rsidRDefault="00A3799A" w:rsidP="00A3799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A3799A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Macroalbuminuria, doubling creatinine, ESRD, renal death</w:t>
            </w:r>
          </w:p>
        </w:tc>
      </w:tr>
      <w:tr w:rsidR="00A3799A" w:rsidRPr="00A3799A" w14:paraId="756559E1" w14:textId="77777777" w:rsidTr="00A3799A">
        <w:trPr>
          <w:trHeight w:val="1668"/>
        </w:trPr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7EC80" w14:textId="77777777" w:rsidR="00A3799A" w:rsidRPr="00A3799A" w:rsidRDefault="00A3799A" w:rsidP="00A3799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A3799A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REWIND</w:t>
            </w:r>
          </w:p>
        </w:tc>
        <w:tc>
          <w:tcPr>
            <w:tcW w:w="6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8BE32" w14:textId="77777777" w:rsidR="00A3799A" w:rsidRPr="00A3799A" w:rsidRDefault="00A3799A" w:rsidP="00A3799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</w:pPr>
            <w:r w:rsidRPr="00A3799A">
              <w:rPr>
                <w:rFonts w:ascii="Times New Roman" w:eastAsia="游ゴシック" w:hAnsi="Times New Roman" w:cs="Times New Roman"/>
                <w:kern w:val="0"/>
                <w:sz w:val="16"/>
                <w:szCs w:val="16"/>
              </w:rPr>
              <w:t>Macroalbuminuria, ≥ 30% eGFR decline, ESRD, renal death</w:t>
            </w:r>
          </w:p>
        </w:tc>
      </w:tr>
    </w:tbl>
    <w:p w14:paraId="5F070CA5" w14:textId="77777777" w:rsidR="00A3799A" w:rsidRPr="00A3799A" w:rsidRDefault="00A3799A">
      <w:pPr>
        <w:rPr>
          <w:rFonts w:ascii="Times New Roman" w:hAnsi="Times New Roman" w:cs="Times New Roman"/>
        </w:rPr>
      </w:pPr>
    </w:p>
    <w:sectPr w:rsidR="00A3799A" w:rsidRPr="00A3799A" w:rsidSect="00A3799A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CzMDU1tzQ2MTI1MzVR0lEKTi0uzszPAykwrAUAgpnt0iwAAAA="/>
  </w:docVars>
  <w:rsids>
    <w:rsidRoot w:val="00A3799A"/>
    <w:rsid w:val="00A3799A"/>
    <w:rsid w:val="00C77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381AFCF"/>
  <w15:chartTrackingRefBased/>
  <w15:docId w15:val="{372DD7B2-E5CF-4768-BCC8-C67EBE68B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34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153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Yamada Takayuki</dc:creator>
  <cp:keywords/>
  <dc:description/>
  <cp:lastModifiedBy>Yamada Takayuki</cp:lastModifiedBy>
  <cp:revision>1</cp:revision>
  <dcterms:created xsi:type="dcterms:W3CDTF">2020-11-24T09:59:00Z</dcterms:created>
  <dcterms:modified xsi:type="dcterms:W3CDTF">2020-11-24T10:05:00Z</dcterms:modified>
</cp:coreProperties>
</file>