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EE2" w:rsidRDefault="007F2EE2" w:rsidP="00E12290">
      <w:pPr>
        <w:pStyle w:val="Caption"/>
        <w:spacing w:after="0"/>
      </w:pPr>
      <w:bookmarkStart w:id="0" w:name="_Toc1400467"/>
      <w:bookmarkStart w:id="1" w:name="_Toc1400639"/>
      <w:bookmarkStart w:id="2" w:name="_Toc1403594"/>
      <w:bookmarkStart w:id="3" w:name="_Toc414712725"/>
      <w:bookmarkStart w:id="4" w:name="_Toc414713858"/>
      <w:bookmarkStart w:id="5" w:name="_Toc414721172"/>
      <w:r>
        <w:t xml:space="preserve">Table </w:t>
      </w:r>
      <w:r w:rsidR="00623B0A">
        <w:t>S</w:t>
      </w:r>
      <w:r>
        <w:t>1</w:t>
      </w:r>
      <w:r w:rsidR="00C710F2">
        <w:t>.</w:t>
      </w:r>
      <w:r>
        <w:t xml:space="preserve"> </w:t>
      </w:r>
      <w:r w:rsidRPr="0076189E">
        <w:t>Assays by visit</w:t>
      </w:r>
      <w:bookmarkEnd w:id="0"/>
      <w:bookmarkEnd w:id="1"/>
      <w:bookmarkEnd w:id="2"/>
      <w:bookmarkEnd w:id="3"/>
      <w:bookmarkEnd w:id="4"/>
      <w:bookmarkEnd w:id="5"/>
    </w:p>
    <w:p w:rsidR="00E12290" w:rsidRPr="00E12290" w:rsidRDefault="00E12290" w:rsidP="00E12290">
      <w:pPr>
        <w:rPr>
          <w:lang w:eastAsia="en-US"/>
        </w:rPr>
      </w:pPr>
    </w:p>
    <w:tbl>
      <w:tblPr>
        <w:tblW w:w="9004" w:type="dxa"/>
        <w:tblLayout w:type="fixed"/>
        <w:tblLook w:val="04A0" w:firstRow="1" w:lastRow="0" w:firstColumn="1" w:lastColumn="0" w:noHBand="0" w:noVBand="1"/>
      </w:tblPr>
      <w:tblGrid>
        <w:gridCol w:w="828"/>
        <w:gridCol w:w="990"/>
        <w:gridCol w:w="1116"/>
        <w:gridCol w:w="797"/>
        <w:gridCol w:w="2663"/>
        <w:gridCol w:w="2610"/>
      </w:tblGrid>
      <w:tr w:rsidR="007F2EE2" w:rsidRPr="00C5744E" w:rsidTr="0061698C">
        <w:trPr>
          <w:trHeight w:val="300"/>
        </w:trPr>
        <w:tc>
          <w:tcPr>
            <w:tcW w:w="828" w:type="dxa"/>
            <w:tcBorders>
              <w:top w:val="single" w:sz="4" w:space="0" w:color="auto"/>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w:t>
            </w:r>
          </w:p>
        </w:tc>
        <w:tc>
          <w:tcPr>
            <w:tcW w:w="990" w:type="dxa"/>
            <w:tcBorders>
              <w:top w:val="single" w:sz="4" w:space="0" w:color="auto"/>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Year</w:t>
            </w:r>
          </w:p>
        </w:tc>
        <w:tc>
          <w:tcPr>
            <w:tcW w:w="1116" w:type="dxa"/>
            <w:tcBorders>
              <w:top w:val="single" w:sz="4" w:space="0" w:color="auto"/>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Specimen</w:t>
            </w:r>
          </w:p>
        </w:tc>
        <w:tc>
          <w:tcPr>
            <w:tcW w:w="797" w:type="dxa"/>
            <w:tcBorders>
              <w:top w:val="single" w:sz="4" w:space="0" w:color="auto"/>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Lab</w:t>
            </w:r>
          </w:p>
        </w:tc>
        <w:tc>
          <w:tcPr>
            <w:tcW w:w="2663" w:type="dxa"/>
            <w:tcBorders>
              <w:top w:val="single" w:sz="4" w:space="0" w:color="auto"/>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Instrument</w:t>
            </w:r>
          </w:p>
        </w:tc>
        <w:tc>
          <w:tcPr>
            <w:tcW w:w="2610" w:type="dxa"/>
            <w:tcBorders>
              <w:top w:val="single" w:sz="4" w:space="0" w:color="auto"/>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Method</w:t>
            </w:r>
          </w:p>
        </w:tc>
      </w:tr>
      <w:tr w:rsidR="007F2EE2" w:rsidRPr="00C5744E" w:rsidTr="0061698C">
        <w:trPr>
          <w:trHeight w:val="300"/>
        </w:trPr>
        <w:tc>
          <w:tcPr>
            <w:tcW w:w="1818" w:type="dxa"/>
            <w:gridSpan w:val="2"/>
            <w:tcBorders>
              <w:top w:val="nil"/>
              <w:left w:val="nil"/>
              <w:bottom w:val="nil"/>
              <w:right w:val="nil"/>
            </w:tcBorders>
            <w:shd w:val="clear" w:color="000000" w:fill="D9D9D9"/>
            <w:noWrap/>
            <w:vAlign w:val="center"/>
            <w:hideMark/>
          </w:tcPr>
          <w:p w:rsidR="007F2EE2" w:rsidRPr="0029751F" w:rsidRDefault="007F2EE2" w:rsidP="0061698C">
            <w:pPr>
              <w:rPr>
                <w:rFonts w:ascii="Arial" w:eastAsia="Times New Roman" w:hAnsi="Arial" w:cs="Arial"/>
                <w:color w:val="000000"/>
                <w:sz w:val="20"/>
                <w:szCs w:val="20"/>
              </w:rPr>
            </w:pPr>
            <w:r w:rsidRPr="0029751F">
              <w:rPr>
                <w:rFonts w:ascii="Arial" w:eastAsia="Times New Roman" w:hAnsi="Arial" w:cs="Arial"/>
                <w:color w:val="000000"/>
                <w:sz w:val="20"/>
                <w:szCs w:val="20"/>
              </w:rPr>
              <w:t>Glucose*</w:t>
            </w:r>
          </w:p>
        </w:tc>
        <w:tc>
          <w:tcPr>
            <w:tcW w:w="1116"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797"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2663"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2610"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r>
      <w:tr w:rsidR="007F2EE2" w:rsidRPr="00C5744E" w:rsidTr="0061698C">
        <w:trPr>
          <w:trHeight w:val="9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1</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1987-89</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Serum</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UMN</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Coulter </w:t>
            </w:r>
            <w:proofErr w:type="spellStart"/>
            <w:r w:rsidRPr="0029751F">
              <w:rPr>
                <w:rFonts w:ascii="Arial" w:eastAsia="Times New Roman" w:hAnsi="Arial" w:cs="Arial"/>
                <w:color w:val="000000"/>
                <w:sz w:val="20"/>
                <w:szCs w:val="20"/>
              </w:rPr>
              <w:t>Dacos</w:t>
            </w:r>
            <w:proofErr w:type="spellEnd"/>
          </w:p>
        </w:tc>
        <w:tc>
          <w:tcPr>
            <w:tcW w:w="2610" w:type="dxa"/>
            <w:tcBorders>
              <w:top w:val="nil"/>
              <w:left w:val="nil"/>
              <w:bottom w:val="nil"/>
              <w:right w:val="nil"/>
            </w:tcBorders>
            <w:shd w:val="clear" w:color="auto" w:fill="auto"/>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Coulter DACOS using hexokinase/ glucose-6-phosphate dehydrogenase enzyme-based reagent</w:t>
            </w:r>
          </w:p>
        </w:tc>
      </w:tr>
      <w:tr w:rsidR="007F2EE2" w:rsidRPr="00C5744E" w:rsidTr="0061698C">
        <w:trPr>
          <w:trHeight w:val="9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2</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1990-92</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Serum</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UMN</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Coulter </w:t>
            </w:r>
            <w:proofErr w:type="spellStart"/>
            <w:r w:rsidRPr="0029751F">
              <w:rPr>
                <w:rFonts w:ascii="Arial" w:eastAsia="Times New Roman" w:hAnsi="Arial" w:cs="Arial"/>
                <w:color w:val="000000"/>
                <w:sz w:val="20"/>
                <w:szCs w:val="20"/>
              </w:rPr>
              <w:t>Dacos</w:t>
            </w:r>
            <w:proofErr w:type="spellEnd"/>
          </w:p>
        </w:tc>
        <w:tc>
          <w:tcPr>
            <w:tcW w:w="2610" w:type="dxa"/>
            <w:tcBorders>
              <w:top w:val="nil"/>
              <w:left w:val="nil"/>
              <w:bottom w:val="nil"/>
              <w:right w:val="nil"/>
            </w:tcBorders>
            <w:shd w:val="clear" w:color="auto" w:fill="auto"/>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Coulter DACOS using hexokinase/ glucose-6-phosphate dehydrogenase enzyme-based reagent</w:t>
            </w:r>
          </w:p>
        </w:tc>
      </w:tr>
      <w:tr w:rsidR="007F2EE2" w:rsidRPr="00C5744E" w:rsidTr="0061698C">
        <w:trPr>
          <w:trHeight w:val="6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3</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1993-95</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Roche </w:t>
            </w:r>
            <w:proofErr w:type="spellStart"/>
            <w:r w:rsidRPr="0029751F">
              <w:rPr>
                <w:rFonts w:ascii="Arial" w:eastAsia="Times New Roman" w:hAnsi="Arial" w:cs="Arial"/>
                <w:color w:val="000000"/>
                <w:sz w:val="20"/>
                <w:szCs w:val="20"/>
              </w:rPr>
              <w:t>Cobas</w:t>
            </w:r>
            <w:proofErr w:type="spellEnd"/>
            <w:r w:rsidRPr="0029751F">
              <w:rPr>
                <w:rFonts w:ascii="Arial" w:eastAsia="Times New Roman" w:hAnsi="Arial" w:cs="Arial"/>
                <w:color w:val="000000"/>
                <w:sz w:val="20"/>
                <w:szCs w:val="20"/>
              </w:rPr>
              <w:t xml:space="preserve"> </w:t>
            </w:r>
            <w:proofErr w:type="spellStart"/>
            <w:r w:rsidRPr="0029751F">
              <w:rPr>
                <w:rFonts w:ascii="Arial" w:eastAsia="Times New Roman" w:hAnsi="Arial" w:cs="Arial"/>
                <w:color w:val="000000"/>
                <w:sz w:val="20"/>
                <w:szCs w:val="20"/>
              </w:rPr>
              <w:t>Fara</w:t>
            </w:r>
            <w:proofErr w:type="spellEnd"/>
            <w:r w:rsidRPr="0029751F">
              <w:rPr>
                <w:rFonts w:ascii="Arial" w:eastAsia="Times New Roman" w:hAnsi="Arial" w:cs="Arial"/>
                <w:color w:val="000000"/>
                <w:sz w:val="20"/>
                <w:szCs w:val="20"/>
              </w:rPr>
              <w:t xml:space="preserve"> II</w:t>
            </w:r>
          </w:p>
        </w:tc>
        <w:tc>
          <w:tcPr>
            <w:tcW w:w="2610" w:type="dxa"/>
            <w:tcBorders>
              <w:top w:val="nil"/>
              <w:left w:val="nil"/>
              <w:bottom w:val="nil"/>
              <w:right w:val="nil"/>
            </w:tcBorders>
            <w:shd w:val="clear" w:color="auto" w:fill="auto"/>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 (hexokinase/ glucose-6-phosphate dehydrogenase)</w:t>
            </w:r>
          </w:p>
        </w:tc>
      </w:tr>
      <w:tr w:rsidR="007F2EE2" w:rsidRPr="00C5744E" w:rsidTr="0061698C">
        <w:trPr>
          <w:trHeight w:val="6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4</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1996-98</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Roche Hitachi 911</w:t>
            </w:r>
          </w:p>
        </w:tc>
        <w:tc>
          <w:tcPr>
            <w:tcW w:w="2610" w:type="dxa"/>
            <w:tcBorders>
              <w:top w:val="nil"/>
              <w:left w:val="nil"/>
              <w:bottom w:val="nil"/>
              <w:right w:val="nil"/>
            </w:tcBorders>
            <w:shd w:val="clear" w:color="auto" w:fill="auto"/>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 (hexokinase/ glucose-6-phosphate dehydrogenase)</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5</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2011-13</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Beckman Olympus AU 480</w:t>
            </w:r>
          </w:p>
        </w:tc>
        <w:tc>
          <w:tcPr>
            <w:tcW w:w="2610" w:type="dxa"/>
            <w:tcBorders>
              <w:top w:val="nil"/>
              <w:left w:val="nil"/>
              <w:bottom w:val="nil"/>
              <w:right w:val="nil"/>
            </w:tcBorders>
            <w:shd w:val="clear" w:color="auto" w:fill="auto"/>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w:t>
            </w:r>
          </w:p>
        </w:tc>
      </w:tr>
      <w:tr w:rsidR="007F2EE2" w:rsidRPr="00C5744E" w:rsidTr="0061698C">
        <w:trPr>
          <w:trHeight w:val="300"/>
        </w:trPr>
        <w:tc>
          <w:tcPr>
            <w:tcW w:w="828" w:type="dxa"/>
            <w:tcBorders>
              <w:top w:val="nil"/>
              <w:left w:val="nil"/>
              <w:bottom w:val="nil"/>
              <w:right w:val="nil"/>
            </w:tcBorders>
            <w:shd w:val="clear" w:color="000000" w:fill="D9D9D9"/>
            <w:noWrap/>
            <w:vAlign w:val="center"/>
            <w:hideMark/>
          </w:tcPr>
          <w:p w:rsidR="007F2EE2" w:rsidRPr="0029751F" w:rsidRDefault="007F2EE2" w:rsidP="0061698C">
            <w:pPr>
              <w:rPr>
                <w:rFonts w:ascii="Arial" w:eastAsia="Times New Roman" w:hAnsi="Arial" w:cs="Arial"/>
                <w:color w:val="000000"/>
                <w:sz w:val="20"/>
                <w:szCs w:val="20"/>
              </w:rPr>
            </w:pPr>
            <w:r w:rsidRPr="0029751F">
              <w:rPr>
                <w:rFonts w:ascii="Arial" w:eastAsia="Times New Roman" w:hAnsi="Arial" w:cs="Arial"/>
                <w:color w:val="000000"/>
                <w:sz w:val="20"/>
                <w:szCs w:val="20"/>
              </w:rPr>
              <w:t>Insulin</w:t>
            </w:r>
          </w:p>
        </w:tc>
        <w:tc>
          <w:tcPr>
            <w:tcW w:w="990"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1116"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797"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2663"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2610"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1</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1987-89</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Serum</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UMN</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125-Insulin kit; Cambridge Medical Diagnosis</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Radioimmunoassay</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2</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1990-92</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3</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1993-95</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4</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1996-98</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Serum or 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proofErr w:type="spellStart"/>
            <w:r w:rsidRPr="0029751F">
              <w:rPr>
                <w:rFonts w:ascii="Arial" w:eastAsia="Times New Roman" w:hAnsi="Arial" w:cs="Arial"/>
                <w:color w:val="000000"/>
                <w:sz w:val="20"/>
                <w:szCs w:val="20"/>
              </w:rPr>
              <w:t>Enzymun</w:t>
            </w:r>
            <w:proofErr w:type="spellEnd"/>
            <w:r w:rsidRPr="0029751F">
              <w:rPr>
                <w:rFonts w:ascii="Arial" w:eastAsia="Times New Roman" w:hAnsi="Arial" w:cs="Arial"/>
                <w:color w:val="000000"/>
                <w:sz w:val="20"/>
                <w:szCs w:val="20"/>
              </w:rPr>
              <w:t>-Test Insulin; Boehringer Mannheim</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Enzyme-linked immunosorbent assay</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5</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2011-13</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Serum or 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Elecsys Insulin kit; Roche</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Electrochemiluminescence immunoassay</w:t>
            </w:r>
          </w:p>
        </w:tc>
      </w:tr>
      <w:tr w:rsidR="007F2EE2" w:rsidRPr="00C5744E" w:rsidTr="0061698C">
        <w:trPr>
          <w:trHeight w:val="300"/>
        </w:trPr>
        <w:tc>
          <w:tcPr>
            <w:tcW w:w="1818" w:type="dxa"/>
            <w:gridSpan w:val="2"/>
            <w:tcBorders>
              <w:top w:val="nil"/>
              <w:left w:val="nil"/>
              <w:bottom w:val="nil"/>
              <w:right w:val="nil"/>
            </w:tcBorders>
            <w:shd w:val="clear" w:color="000000" w:fill="D9D9D9"/>
            <w:noWrap/>
            <w:vAlign w:val="center"/>
            <w:hideMark/>
          </w:tcPr>
          <w:p w:rsidR="007F2EE2" w:rsidRPr="0029751F" w:rsidRDefault="007F2EE2" w:rsidP="0061698C">
            <w:pPr>
              <w:rPr>
                <w:rFonts w:ascii="Arial" w:eastAsia="Times New Roman" w:hAnsi="Arial" w:cs="Arial"/>
                <w:color w:val="000000"/>
                <w:sz w:val="20"/>
                <w:szCs w:val="20"/>
              </w:rPr>
            </w:pPr>
            <w:r w:rsidRPr="0029751F">
              <w:rPr>
                <w:rFonts w:ascii="Arial" w:eastAsia="Times New Roman" w:hAnsi="Arial" w:cs="Arial"/>
                <w:color w:val="000000"/>
                <w:sz w:val="20"/>
                <w:szCs w:val="20"/>
              </w:rPr>
              <w:t>Triglyceride*</w:t>
            </w:r>
          </w:p>
        </w:tc>
        <w:tc>
          <w:tcPr>
            <w:tcW w:w="1116"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797"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2663"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2610"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1</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1987-89</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Roche </w:t>
            </w:r>
            <w:proofErr w:type="spellStart"/>
            <w:r w:rsidRPr="0029751F">
              <w:rPr>
                <w:rFonts w:ascii="Arial" w:eastAsia="Times New Roman" w:hAnsi="Arial" w:cs="Arial"/>
                <w:color w:val="000000"/>
                <w:sz w:val="20"/>
                <w:szCs w:val="20"/>
              </w:rPr>
              <w:t>Cobas</w:t>
            </w:r>
            <w:proofErr w:type="spellEnd"/>
            <w:r w:rsidRPr="0029751F">
              <w:rPr>
                <w:rFonts w:ascii="Arial" w:eastAsia="Times New Roman" w:hAnsi="Arial" w:cs="Arial"/>
                <w:color w:val="000000"/>
                <w:sz w:val="20"/>
                <w:szCs w:val="20"/>
              </w:rPr>
              <w:t xml:space="preserve"> Bio</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2</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1990-92</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Roche </w:t>
            </w:r>
            <w:proofErr w:type="spellStart"/>
            <w:r w:rsidRPr="0029751F">
              <w:rPr>
                <w:rFonts w:ascii="Arial" w:eastAsia="Times New Roman" w:hAnsi="Arial" w:cs="Arial"/>
                <w:color w:val="000000"/>
                <w:sz w:val="20"/>
                <w:szCs w:val="20"/>
              </w:rPr>
              <w:t>Cobas</w:t>
            </w:r>
            <w:proofErr w:type="spellEnd"/>
            <w:r w:rsidRPr="0029751F">
              <w:rPr>
                <w:rFonts w:ascii="Arial" w:eastAsia="Times New Roman" w:hAnsi="Arial" w:cs="Arial"/>
                <w:color w:val="000000"/>
                <w:sz w:val="20"/>
                <w:szCs w:val="20"/>
              </w:rPr>
              <w:t xml:space="preserve"> Bio</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3</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1993-95</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Roche </w:t>
            </w:r>
            <w:proofErr w:type="spellStart"/>
            <w:r w:rsidRPr="0029751F">
              <w:rPr>
                <w:rFonts w:ascii="Arial" w:eastAsia="Times New Roman" w:hAnsi="Arial" w:cs="Arial"/>
                <w:color w:val="000000"/>
                <w:sz w:val="20"/>
                <w:szCs w:val="20"/>
              </w:rPr>
              <w:t>Cobas</w:t>
            </w:r>
            <w:proofErr w:type="spellEnd"/>
            <w:r w:rsidRPr="0029751F">
              <w:rPr>
                <w:rFonts w:ascii="Arial" w:eastAsia="Times New Roman" w:hAnsi="Arial" w:cs="Arial"/>
                <w:color w:val="000000"/>
                <w:sz w:val="20"/>
                <w:szCs w:val="20"/>
              </w:rPr>
              <w:t xml:space="preserve"> </w:t>
            </w:r>
            <w:proofErr w:type="spellStart"/>
            <w:r w:rsidRPr="0029751F">
              <w:rPr>
                <w:rFonts w:ascii="Arial" w:eastAsia="Times New Roman" w:hAnsi="Arial" w:cs="Arial"/>
                <w:color w:val="000000"/>
                <w:sz w:val="20"/>
                <w:szCs w:val="20"/>
              </w:rPr>
              <w:t>Fara</w:t>
            </w:r>
            <w:proofErr w:type="spellEnd"/>
            <w:r w:rsidRPr="0029751F">
              <w:rPr>
                <w:rFonts w:ascii="Arial" w:eastAsia="Times New Roman" w:hAnsi="Arial" w:cs="Arial"/>
                <w:color w:val="000000"/>
                <w:sz w:val="20"/>
                <w:szCs w:val="20"/>
              </w:rPr>
              <w:t xml:space="preserve"> II</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4</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1996-98</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Roche Hitachi 911</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5</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2011-13</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Beckman Olympus AU 480</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Enzymatic</w:t>
            </w:r>
          </w:p>
        </w:tc>
      </w:tr>
      <w:tr w:rsidR="007F2EE2" w:rsidRPr="00C5744E" w:rsidTr="0061698C">
        <w:trPr>
          <w:trHeight w:val="300"/>
        </w:trPr>
        <w:tc>
          <w:tcPr>
            <w:tcW w:w="3731" w:type="dxa"/>
            <w:gridSpan w:val="4"/>
            <w:tcBorders>
              <w:top w:val="nil"/>
              <w:left w:val="nil"/>
              <w:bottom w:val="nil"/>
              <w:right w:val="nil"/>
            </w:tcBorders>
            <w:shd w:val="clear" w:color="000000" w:fill="D9D9D9"/>
            <w:noWrap/>
            <w:vAlign w:val="center"/>
            <w:hideMark/>
          </w:tcPr>
          <w:p w:rsidR="007F2EE2" w:rsidRPr="0029751F" w:rsidRDefault="007F2EE2" w:rsidP="0061698C">
            <w:pPr>
              <w:rPr>
                <w:rFonts w:ascii="Arial" w:eastAsia="Times New Roman" w:hAnsi="Arial" w:cs="Arial"/>
                <w:color w:val="000000"/>
                <w:sz w:val="20"/>
                <w:szCs w:val="20"/>
              </w:rPr>
            </w:pPr>
            <w:r w:rsidRPr="0029751F">
              <w:rPr>
                <w:rFonts w:ascii="Arial" w:eastAsia="Times New Roman" w:hAnsi="Arial" w:cs="Arial"/>
                <w:color w:val="000000"/>
                <w:sz w:val="20"/>
                <w:szCs w:val="20"/>
              </w:rPr>
              <w:t>High density lipoprotein cholesterol*</w:t>
            </w:r>
          </w:p>
        </w:tc>
        <w:tc>
          <w:tcPr>
            <w:tcW w:w="2663"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c>
          <w:tcPr>
            <w:tcW w:w="2610" w:type="dxa"/>
            <w:tcBorders>
              <w:top w:val="nil"/>
              <w:left w:val="nil"/>
              <w:bottom w:val="nil"/>
              <w:right w:val="nil"/>
            </w:tcBorders>
            <w:shd w:val="clear" w:color="000000" w:fill="D9D9D9"/>
            <w:noWrap/>
            <w:vAlign w:val="center"/>
            <w:hideMark/>
          </w:tcPr>
          <w:p w:rsidR="007F2EE2" w:rsidRPr="0029751F" w:rsidRDefault="007F2EE2" w:rsidP="0061698C">
            <w:pPr>
              <w:jc w:val="center"/>
              <w:rPr>
                <w:rFonts w:ascii="Arial" w:eastAsia="Times New Roman" w:hAnsi="Arial" w:cs="Arial"/>
                <w:color w:val="000000"/>
                <w:sz w:val="20"/>
                <w:szCs w:val="20"/>
              </w:rPr>
            </w:pP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1</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1987-89</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Roche </w:t>
            </w:r>
            <w:proofErr w:type="spellStart"/>
            <w:r w:rsidRPr="0029751F">
              <w:rPr>
                <w:rFonts w:ascii="Arial" w:eastAsia="Times New Roman" w:hAnsi="Arial" w:cs="Arial"/>
                <w:color w:val="000000"/>
                <w:sz w:val="20"/>
                <w:szCs w:val="20"/>
              </w:rPr>
              <w:t>Cobas</w:t>
            </w:r>
            <w:proofErr w:type="spellEnd"/>
            <w:r w:rsidRPr="0029751F">
              <w:rPr>
                <w:rFonts w:ascii="Arial" w:eastAsia="Times New Roman" w:hAnsi="Arial" w:cs="Arial"/>
                <w:color w:val="000000"/>
                <w:sz w:val="20"/>
                <w:szCs w:val="20"/>
              </w:rPr>
              <w:t xml:space="preserve"> Bio</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Precipitation</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2</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1990-92</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Roche </w:t>
            </w:r>
            <w:proofErr w:type="spellStart"/>
            <w:r w:rsidRPr="0029751F">
              <w:rPr>
                <w:rFonts w:ascii="Arial" w:eastAsia="Times New Roman" w:hAnsi="Arial" w:cs="Arial"/>
                <w:color w:val="000000"/>
                <w:sz w:val="20"/>
                <w:szCs w:val="20"/>
              </w:rPr>
              <w:t>Cobas</w:t>
            </w:r>
            <w:proofErr w:type="spellEnd"/>
            <w:r w:rsidRPr="0029751F">
              <w:rPr>
                <w:rFonts w:ascii="Arial" w:eastAsia="Times New Roman" w:hAnsi="Arial" w:cs="Arial"/>
                <w:color w:val="000000"/>
                <w:sz w:val="20"/>
                <w:szCs w:val="20"/>
              </w:rPr>
              <w:t xml:space="preserve"> Bio</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Precipitation</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3</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1993-95</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 xml:space="preserve">Roche </w:t>
            </w:r>
            <w:proofErr w:type="spellStart"/>
            <w:r w:rsidRPr="0029751F">
              <w:rPr>
                <w:rFonts w:ascii="Arial" w:eastAsia="Times New Roman" w:hAnsi="Arial" w:cs="Arial"/>
                <w:color w:val="000000"/>
                <w:sz w:val="20"/>
                <w:szCs w:val="20"/>
              </w:rPr>
              <w:t>Cobas</w:t>
            </w:r>
            <w:proofErr w:type="spellEnd"/>
            <w:r w:rsidRPr="0029751F">
              <w:rPr>
                <w:rFonts w:ascii="Arial" w:eastAsia="Times New Roman" w:hAnsi="Arial" w:cs="Arial"/>
                <w:color w:val="000000"/>
                <w:sz w:val="20"/>
                <w:szCs w:val="20"/>
              </w:rPr>
              <w:t xml:space="preserve"> </w:t>
            </w:r>
            <w:proofErr w:type="spellStart"/>
            <w:r w:rsidRPr="0029751F">
              <w:rPr>
                <w:rFonts w:ascii="Arial" w:eastAsia="Times New Roman" w:hAnsi="Arial" w:cs="Arial"/>
                <w:color w:val="000000"/>
                <w:sz w:val="20"/>
                <w:szCs w:val="20"/>
              </w:rPr>
              <w:t>Fara</w:t>
            </w:r>
            <w:proofErr w:type="spellEnd"/>
            <w:r w:rsidRPr="0029751F">
              <w:rPr>
                <w:rFonts w:ascii="Arial" w:eastAsia="Times New Roman" w:hAnsi="Arial" w:cs="Arial"/>
                <w:color w:val="000000"/>
                <w:sz w:val="20"/>
                <w:szCs w:val="20"/>
              </w:rPr>
              <w:t xml:space="preserve"> II</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Precipitation</w:t>
            </w:r>
          </w:p>
        </w:tc>
      </w:tr>
      <w:tr w:rsidR="007F2EE2" w:rsidRPr="00C5744E" w:rsidTr="0061698C">
        <w:trPr>
          <w:trHeight w:val="300"/>
        </w:trPr>
        <w:tc>
          <w:tcPr>
            <w:tcW w:w="828"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4</w:t>
            </w:r>
          </w:p>
        </w:tc>
        <w:tc>
          <w:tcPr>
            <w:tcW w:w="99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1996-98</w:t>
            </w:r>
          </w:p>
        </w:tc>
        <w:tc>
          <w:tcPr>
            <w:tcW w:w="1116"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Roche Hitachi 911</w:t>
            </w:r>
          </w:p>
        </w:tc>
        <w:tc>
          <w:tcPr>
            <w:tcW w:w="2610" w:type="dxa"/>
            <w:tcBorders>
              <w:top w:val="nil"/>
              <w:left w:val="nil"/>
              <w:bottom w:val="nil"/>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Precipitation</w:t>
            </w:r>
          </w:p>
        </w:tc>
      </w:tr>
      <w:tr w:rsidR="007F2EE2" w:rsidRPr="00C5744E" w:rsidTr="0061698C">
        <w:trPr>
          <w:trHeight w:val="300"/>
        </w:trPr>
        <w:tc>
          <w:tcPr>
            <w:tcW w:w="828" w:type="dxa"/>
            <w:tcBorders>
              <w:top w:val="nil"/>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Visit 5</w:t>
            </w:r>
          </w:p>
        </w:tc>
        <w:tc>
          <w:tcPr>
            <w:tcW w:w="990" w:type="dxa"/>
            <w:tcBorders>
              <w:top w:val="nil"/>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2011-13</w:t>
            </w:r>
          </w:p>
        </w:tc>
        <w:tc>
          <w:tcPr>
            <w:tcW w:w="1116" w:type="dxa"/>
            <w:tcBorders>
              <w:top w:val="nil"/>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Plasma</w:t>
            </w:r>
          </w:p>
        </w:tc>
        <w:tc>
          <w:tcPr>
            <w:tcW w:w="797" w:type="dxa"/>
            <w:tcBorders>
              <w:top w:val="nil"/>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BCM</w:t>
            </w:r>
          </w:p>
        </w:tc>
        <w:tc>
          <w:tcPr>
            <w:tcW w:w="2663" w:type="dxa"/>
            <w:tcBorders>
              <w:top w:val="nil"/>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Beckman Olympus AU 480</w:t>
            </w:r>
          </w:p>
        </w:tc>
        <w:tc>
          <w:tcPr>
            <w:tcW w:w="2610" w:type="dxa"/>
            <w:tcBorders>
              <w:top w:val="nil"/>
              <w:left w:val="nil"/>
              <w:bottom w:val="single" w:sz="4" w:space="0" w:color="auto"/>
              <w:right w:val="nil"/>
            </w:tcBorders>
            <w:shd w:val="clear" w:color="auto" w:fill="auto"/>
            <w:noWrap/>
            <w:vAlign w:val="center"/>
            <w:hideMark/>
          </w:tcPr>
          <w:p w:rsidR="007F2EE2" w:rsidRPr="0029751F" w:rsidRDefault="007F2EE2" w:rsidP="0061698C">
            <w:pPr>
              <w:jc w:val="center"/>
              <w:rPr>
                <w:rFonts w:ascii="Arial" w:eastAsia="Times New Roman" w:hAnsi="Arial" w:cs="Arial"/>
                <w:color w:val="000000"/>
                <w:sz w:val="20"/>
                <w:szCs w:val="20"/>
              </w:rPr>
            </w:pPr>
            <w:r w:rsidRPr="0029751F">
              <w:rPr>
                <w:rFonts w:ascii="Arial" w:eastAsia="Times New Roman" w:hAnsi="Arial" w:cs="Arial"/>
                <w:color w:val="000000"/>
                <w:sz w:val="20"/>
                <w:szCs w:val="20"/>
              </w:rPr>
              <w:t>Direct</w:t>
            </w:r>
          </w:p>
        </w:tc>
      </w:tr>
    </w:tbl>
    <w:p w:rsidR="008D6C6A" w:rsidRDefault="008D6C6A" w:rsidP="008D6C6A">
      <w:pPr>
        <w:pStyle w:val="TableNotes"/>
        <w:spacing w:before="0"/>
        <w:rPr>
          <w:b/>
        </w:rPr>
      </w:pPr>
    </w:p>
    <w:p w:rsidR="007F2EE2" w:rsidRPr="00C5744E" w:rsidRDefault="007F2EE2" w:rsidP="008D6C6A">
      <w:pPr>
        <w:pStyle w:val="TableNotes"/>
        <w:spacing w:before="0"/>
        <w:sectPr w:rsidR="007F2EE2" w:rsidRPr="00C5744E" w:rsidSect="0061698C">
          <w:headerReference w:type="default" r:id="rId7"/>
          <w:pgSz w:w="12240" w:h="15840"/>
          <w:pgMar w:top="1440" w:right="1440" w:bottom="1440" w:left="1440" w:header="720" w:footer="720" w:gutter="0"/>
          <w:cols w:space="720"/>
          <w:docGrid w:linePitch="360"/>
        </w:sectPr>
      </w:pPr>
      <w:r w:rsidRPr="0076189E">
        <w:rPr>
          <w:b/>
        </w:rPr>
        <w:t>Abbreviations:</w:t>
      </w:r>
      <w:r w:rsidRPr="0076189E">
        <w:t xml:space="preserve"> UMN, University of Minnesota; BCM, Baylor College of Medicine</w:t>
      </w:r>
      <w:r>
        <w:t xml:space="preserve">. </w:t>
      </w:r>
      <w:r w:rsidRPr="006902CE">
        <w:rPr>
          <w:b/>
        </w:rPr>
        <w:t>Footnote:</w:t>
      </w:r>
      <w:r>
        <w:t xml:space="preserve"> *A</w:t>
      </w:r>
      <w:r w:rsidRPr="0076189E">
        <w:t xml:space="preserve">dapted from a prior report by </w:t>
      </w:r>
      <w:proofErr w:type="spellStart"/>
      <w:r w:rsidRPr="0076189E">
        <w:t>Parrinello</w:t>
      </w:r>
      <w:proofErr w:type="spellEnd"/>
      <w:r w:rsidRPr="0076189E">
        <w:t xml:space="preserve"> et al: Clin Chem. 2015 Jul; 61(7): 938-947.</w:t>
      </w:r>
    </w:p>
    <w:p w:rsidR="007F2EE2" w:rsidRDefault="007F2EE2" w:rsidP="00F833FF">
      <w:pPr>
        <w:pStyle w:val="Caption"/>
        <w:spacing w:after="0"/>
      </w:pPr>
      <w:bookmarkStart w:id="6" w:name="_Toc1400469"/>
      <w:bookmarkStart w:id="7" w:name="_Toc1400641"/>
      <w:bookmarkStart w:id="8" w:name="_Toc1403596"/>
      <w:bookmarkStart w:id="9" w:name="_Toc414712727"/>
      <w:bookmarkStart w:id="10" w:name="_Toc414713860"/>
      <w:bookmarkStart w:id="11" w:name="_Toc414721174"/>
      <w:r w:rsidRPr="00F36855">
        <w:lastRenderedPageBreak/>
        <w:t xml:space="preserve">Table </w:t>
      </w:r>
      <w:r w:rsidR="00623B0A">
        <w:t>S</w:t>
      </w:r>
      <w:r w:rsidR="0058486E" w:rsidRPr="00F36855">
        <w:t>2</w:t>
      </w:r>
      <w:r w:rsidR="00C710F2">
        <w:t>.</w:t>
      </w:r>
      <w:r w:rsidRPr="00F36855">
        <w:t xml:space="preserve"> Characteristics of </w:t>
      </w:r>
      <w:r w:rsidR="00543846">
        <w:t>men and women</w:t>
      </w:r>
      <w:r w:rsidRPr="00F36855">
        <w:t xml:space="preserve"> ages 67</w:t>
      </w:r>
      <w:r w:rsidR="007D0B00" w:rsidRPr="00F36855">
        <w:t>-</w:t>
      </w:r>
      <w:r w:rsidRPr="00F36855">
        <w:t>90 (n=2,571) by quartiles of TG/HDL-C</w:t>
      </w:r>
      <w:r w:rsidR="00F11E8F">
        <w:t xml:space="preserve"> (Visit 5, 2011-2013)</w:t>
      </w:r>
      <w:r w:rsidRPr="00F36855">
        <w:t>.</w:t>
      </w:r>
      <w:bookmarkEnd w:id="6"/>
      <w:bookmarkEnd w:id="7"/>
      <w:bookmarkEnd w:id="8"/>
      <w:bookmarkEnd w:id="9"/>
      <w:bookmarkEnd w:id="10"/>
      <w:bookmarkEnd w:id="11"/>
      <w:r w:rsidR="007D0B00" w:rsidRPr="009369C7">
        <w:t xml:space="preserve"> </w:t>
      </w:r>
    </w:p>
    <w:p w:rsidR="00F833FF" w:rsidRPr="00F833FF" w:rsidRDefault="00F833FF" w:rsidP="00F833FF">
      <w:pPr>
        <w:rPr>
          <w:lang w:eastAsia="en-US"/>
        </w:rPr>
      </w:pPr>
    </w:p>
    <w:tbl>
      <w:tblPr>
        <w:tblW w:w="9180" w:type="dxa"/>
        <w:tblLayout w:type="fixed"/>
        <w:tblLook w:val="04A0" w:firstRow="1" w:lastRow="0" w:firstColumn="1" w:lastColumn="0" w:noHBand="0" w:noVBand="1"/>
      </w:tblPr>
      <w:tblGrid>
        <w:gridCol w:w="2880"/>
        <w:gridCol w:w="1230"/>
        <w:gridCol w:w="1260"/>
        <w:gridCol w:w="1260"/>
        <w:gridCol w:w="1260"/>
        <w:gridCol w:w="1290"/>
      </w:tblGrid>
      <w:tr w:rsidR="007F2EE2" w:rsidRPr="0076189E" w:rsidTr="0061698C">
        <w:trPr>
          <w:trHeight w:val="310"/>
        </w:trPr>
        <w:tc>
          <w:tcPr>
            <w:tcW w:w="2880" w:type="dxa"/>
            <w:tcBorders>
              <w:top w:val="single" w:sz="4" w:space="0" w:color="auto"/>
              <w:left w:val="nil"/>
              <w:bottom w:val="nil"/>
              <w:right w:val="nil"/>
            </w:tcBorders>
            <w:shd w:val="clear" w:color="000000" w:fill="FFFFFF"/>
            <w:noWrap/>
            <w:vAlign w:val="bottom"/>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w:t>
            </w:r>
          </w:p>
        </w:tc>
        <w:tc>
          <w:tcPr>
            <w:tcW w:w="5010" w:type="dxa"/>
            <w:gridSpan w:val="4"/>
            <w:tcBorders>
              <w:top w:val="single" w:sz="4" w:space="0" w:color="auto"/>
              <w:left w:val="nil"/>
              <w:bottom w:val="single" w:sz="4" w:space="0" w:color="auto"/>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TG/HDL-C</w:t>
            </w:r>
          </w:p>
        </w:tc>
        <w:tc>
          <w:tcPr>
            <w:tcW w:w="1290" w:type="dxa"/>
            <w:vMerge w:val="restart"/>
            <w:tcBorders>
              <w:top w:val="single" w:sz="4" w:space="0" w:color="auto"/>
              <w:left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Overall</w:t>
            </w:r>
          </w:p>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Mean ± SE or </w:t>
            </w:r>
            <w:proofErr w:type="gramStart"/>
            <w:r w:rsidRPr="00343FE4">
              <w:rPr>
                <w:rFonts w:ascii="Arial" w:eastAsia="Times New Roman" w:hAnsi="Arial" w:cs="Arial"/>
                <w:color w:val="000000"/>
                <w:sz w:val="20"/>
                <w:szCs w:val="20"/>
              </w:rPr>
              <w:t>n(</w:t>
            </w:r>
            <w:proofErr w:type="gramEnd"/>
            <w:r w:rsidRPr="00343FE4">
              <w:rPr>
                <w:rFonts w:ascii="Arial" w:eastAsia="Times New Roman" w:hAnsi="Arial" w:cs="Arial"/>
                <w:color w:val="000000"/>
                <w:sz w:val="20"/>
                <w:szCs w:val="20"/>
              </w:rPr>
              <w:t>%)</w:t>
            </w:r>
          </w:p>
        </w:tc>
      </w:tr>
      <w:tr w:rsidR="007F2EE2" w:rsidRPr="0076189E" w:rsidTr="0061698C">
        <w:trPr>
          <w:trHeight w:val="310"/>
        </w:trPr>
        <w:tc>
          <w:tcPr>
            <w:tcW w:w="2880" w:type="dxa"/>
            <w:tcBorders>
              <w:top w:val="nil"/>
              <w:left w:val="nil"/>
              <w:bottom w:val="single" w:sz="4" w:space="0" w:color="auto"/>
              <w:right w:val="nil"/>
            </w:tcBorders>
            <w:shd w:val="clear" w:color="000000" w:fill="FFFFFF"/>
            <w:noWrap/>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w:t>
            </w:r>
          </w:p>
        </w:tc>
        <w:tc>
          <w:tcPr>
            <w:tcW w:w="1230" w:type="dxa"/>
            <w:tcBorders>
              <w:top w:val="nil"/>
              <w:left w:val="nil"/>
              <w:bottom w:val="single" w:sz="4" w:space="0" w:color="auto"/>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Quartile 1</w:t>
            </w:r>
          </w:p>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Mean ± SE or </w:t>
            </w:r>
            <w:proofErr w:type="gramStart"/>
            <w:r w:rsidRPr="00343FE4">
              <w:rPr>
                <w:rFonts w:ascii="Arial" w:eastAsia="Times New Roman" w:hAnsi="Arial" w:cs="Arial"/>
                <w:color w:val="000000"/>
                <w:sz w:val="20"/>
                <w:szCs w:val="20"/>
              </w:rPr>
              <w:t>n(</w:t>
            </w:r>
            <w:proofErr w:type="gramEnd"/>
            <w:r w:rsidRPr="00343FE4">
              <w:rPr>
                <w:rFonts w:ascii="Arial" w:eastAsia="Times New Roman" w:hAnsi="Arial" w:cs="Arial"/>
                <w:color w:val="000000"/>
                <w:sz w:val="20"/>
                <w:szCs w:val="20"/>
              </w:rPr>
              <w:t>%)</w:t>
            </w:r>
          </w:p>
        </w:tc>
        <w:tc>
          <w:tcPr>
            <w:tcW w:w="1260" w:type="dxa"/>
            <w:tcBorders>
              <w:top w:val="nil"/>
              <w:left w:val="nil"/>
              <w:bottom w:val="single" w:sz="4" w:space="0" w:color="auto"/>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Quartile 2</w:t>
            </w:r>
          </w:p>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Mean ± SE or </w:t>
            </w:r>
            <w:proofErr w:type="gramStart"/>
            <w:r w:rsidRPr="00343FE4">
              <w:rPr>
                <w:rFonts w:ascii="Arial" w:eastAsia="Times New Roman" w:hAnsi="Arial" w:cs="Arial"/>
                <w:color w:val="000000"/>
                <w:sz w:val="20"/>
                <w:szCs w:val="20"/>
              </w:rPr>
              <w:t>n(</w:t>
            </w:r>
            <w:proofErr w:type="gramEnd"/>
            <w:r w:rsidRPr="00343FE4">
              <w:rPr>
                <w:rFonts w:ascii="Arial" w:eastAsia="Times New Roman" w:hAnsi="Arial" w:cs="Arial"/>
                <w:color w:val="000000"/>
                <w:sz w:val="20"/>
                <w:szCs w:val="20"/>
              </w:rPr>
              <w:t>%)</w:t>
            </w:r>
          </w:p>
        </w:tc>
        <w:tc>
          <w:tcPr>
            <w:tcW w:w="1260" w:type="dxa"/>
            <w:tcBorders>
              <w:top w:val="nil"/>
              <w:left w:val="nil"/>
              <w:bottom w:val="single" w:sz="4" w:space="0" w:color="auto"/>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Quartile 3</w:t>
            </w:r>
          </w:p>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Mean ± SE or </w:t>
            </w:r>
            <w:proofErr w:type="gramStart"/>
            <w:r w:rsidRPr="00343FE4">
              <w:rPr>
                <w:rFonts w:ascii="Arial" w:eastAsia="Times New Roman" w:hAnsi="Arial" w:cs="Arial"/>
                <w:color w:val="000000"/>
                <w:sz w:val="20"/>
                <w:szCs w:val="20"/>
              </w:rPr>
              <w:t>n(</w:t>
            </w:r>
            <w:proofErr w:type="gramEnd"/>
            <w:r w:rsidRPr="00343FE4">
              <w:rPr>
                <w:rFonts w:ascii="Arial" w:eastAsia="Times New Roman" w:hAnsi="Arial" w:cs="Arial"/>
                <w:color w:val="000000"/>
                <w:sz w:val="20"/>
                <w:szCs w:val="20"/>
              </w:rPr>
              <w:t>%)</w:t>
            </w:r>
          </w:p>
        </w:tc>
        <w:tc>
          <w:tcPr>
            <w:tcW w:w="1260" w:type="dxa"/>
            <w:tcBorders>
              <w:top w:val="nil"/>
              <w:left w:val="nil"/>
              <w:bottom w:val="single" w:sz="4" w:space="0" w:color="auto"/>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Quartile 4</w:t>
            </w:r>
          </w:p>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Mean ± SE or </w:t>
            </w:r>
            <w:proofErr w:type="gramStart"/>
            <w:r w:rsidRPr="00343FE4">
              <w:rPr>
                <w:rFonts w:ascii="Arial" w:eastAsia="Times New Roman" w:hAnsi="Arial" w:cs="Arial"/>
                <w:color w:val="000000"/>
                <w:sz w:val="20"/>
                <w:szCs w:val="20"/>
              </w:rPr>
              <w:t>n(</w:t>
            </w:r>
            <w:proofErr w:type="gramEnd"/>
            <w:r w:rsidRPr="00343FE4">
              <w:rPr>
                <w:rFonts w:ascii="Arial" w:eastAsia="Times New Roman" w:hAnsi="Arial" w:cs="Arial"/>
                <w:color w:val="000000"/>
                <w:sz w:val="20"/>
                <w:szCs w:val="20"/>
              </w:rPr>
              <w:t>%)</w:t>
            </w:r>
          </w:p>
        </w:tc>
        <w:tc>
          <w:tcPr>
            <w:tcW w:w="1290" w:type="dxa"/>
            <w:vMerge/>
            <w:tcBorders>
              <w:left w:val="nil"/>
              <w:bottom w:val="single" w:sz="4" w:space="0" w:color="auto"/>
              <w:right w:val="nil"/>
            </w:tcBorders>
            <w:shd w:val="clear" w:color="000000" w:fill="D9D9D9"/>
            <w:vAlign w:val="center"/>
            <w:hideMark/>
          </w:tcPr>
          <w:p w:rsidR="007F2EE2" w:rsidRPr="00343FE4" w:rsidRDefault="007F2EE2" w:rsidP="0061698C">
            <w:pPr>
              <w:jc w:val="center"/>
              <w:rPr>
                <w:rFonts w:ascii="Arial" w:eastAsia="Times New Roman" w:hAnsi="Arial" w:cs="Arial"/>
                <w:color w:val="000000"/>
                <w:sz w:val="20"/>
                <w:szCs w:val="20"/>
              </w:rPr>
            </w:pPr>
          </w:p>
        </w:tc>
      </w:tr>
      <w:tr w:rsidR="007F2EE2" w:rsidRPr="0076189E" w:rsidTr="0061698C">
        <w:trPr>
          <w:trHeight w:val="310"/>
        </w:trPr>
        <w:tc>
          <w:tcPr>
            <w:tcW w:w="2880" w:type="dxa"/>
            <w:tcBorders>
              <w:top w:val="nil"/>
              <w:left w:val="nil"/>
              <w:bottom w:val="nil"/>
              <w:right w:val="nil"/>
            </w:tcBorders>
            <w:shd w:val="clear" w:color="000000" w:fill="FFFFFF"/>
            <w:noWrap/>
            <w:vAlign w:val="bottom"/>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Demographic</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Age, years</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75 ± 0.2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75 ± 0.2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76 ± 0.2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75 ± 0.2</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75 ± 0.1</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Men</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189 (30)</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229 (35)</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229 (36)</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310 (48)</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957 (37)</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African American </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145 (23)</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118 (18)</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107 (17)</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63 (10)</w:t>
            </w:r>
          </w:p>
        </w:tc>
        <w:tc>
          <w:tcPr>
            <w:tcW w:w="1290" w:type="dxa"/>
            <w:tcBorders>
              <w:top w:val="nil"/>
              <w:left w:val="nil"/>
              <w:bottom w:val="nil"/>
              <w:right w:val="nil"/>
            </w:tcBorders>
            <w:shd w:val="clear" w:color="000000" w:fill="D9D9D9"/>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433 (17)</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Anthropometric</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Waist circumference, cm</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92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95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98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102 ± 0.4</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97 ± 0.2</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BMI, kg/m</w:t>
            </w:r>
            <w:r w:rsidRPr="00343FE4">
              <w:rPr>
                <w:rFonts w:ascii="Arial" w:eastAsia="Times New Roman" w:hAnsi="Arial" w:cs="Arial"/>
                <w:color w:val="000000"/>
                <w:sz w:val="20"/>
                <w:szCs w:val="20"/>
                <w:vertAlign w:val="superscript"/>
              </w:rPr>
              <w:t>2</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25 ± 0.2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26 ± 0.2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27 ± 0.2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29 ± 0.2</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27 ± 0.1</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Hemodynamic</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SBP, mmHg</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130 ± 0.7</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130 ± 0.7</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130 ± 0.7</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131 ± 0.7</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130 ± 0.3</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DBP, mmHg</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66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66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66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67 ± 0.4</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66 ± 0.2</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MAP, mmHg</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87 ± 0.5</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87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88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88 ± 0.4</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88 ± 0.2</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Heart rate, beats per minute</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64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64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64 ± 0.4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64 ± 0.4</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64 ± 0.2</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Blood pressure medication</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378 (60)</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398 (61)</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424 (66)</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440 (68)</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1640 (64)</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Behavioral</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Current smoker</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31 (5)</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40 (6)</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35 (6)</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35 (5)</w:t>
            </w:r>
          </w:p>
        </w:tc>
        <w:tc>
          <w:tcPr>
            <w:tcW w:w="1290" w:type="dxa"/>
            <w:tcBorders>
              <w:top w:val="nil"/>
              <w:left w:val="nil"/>
              <w:bottom w:val="nil"/>
              <w:right w:val="nil"/>
            </w:tcBorders>
            <w:shd w:val="clear" w:color="000000" w:fill="D9D9D9"/>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141 (6)</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Current drinker </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375 (60)</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371 (58)</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330 (52)</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351 (55)</w:t>
            </w:r>
          </w:p>
        </w:tc>
        <w:tc>
          <w:tcPr>
            <w:tcW w:w="1290" w:type="dxa"/>
            <w:tcBorders>
              <w:top w:val="nil"/>
              <w:left w:val="nil"/>
              <w:bottom w:val="nil"/>
              <w:right w:val="nil"/>
            </w:tcBorders>
            <w:shd w:val="clear" w:color="000000" w:fill="D9D9D9"/>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1427 (56)</w:t>
            </w:r>
          </w:p>
        </w:tc>
      </w:tr>
      <w:tr w:rsidR="007F2EE2" w:rsidRPr="0076189E" w:rsidTr="0061698C">
        <w:trPr>
          <w:trHeight w:val="310"/>
        </w:trPr>
        <w:tc>
          <w:tcPr>
            <w:tcW w:w="2880" w:type="dxa"/>
            <w:tcBorders>
              <w:top w:val="nil"/>
              <w:left w:val="nil"/>
              <w:bottom w:val="nil"/>
              <w:right w:val="nil"/>
            </w:tcBorders>
            <w:shd w:val="clear" w:color="000000" w:fill="FFFFFF"/>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Former smoker </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283 (49)</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288 (48)</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290 (49)</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314 (52)</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1175 (49)</w:t>
            </w:r>
          </w:p>
        </w:tc>
      </w:tr>
      <w:tr w:rsidR="007F2EE2" w:rsidRPr="0076189E" w:rsidTr="0061698C">
        <w:trPr>
          <w:trHeight w:val="310"/>
        </w:trPr>
        <w:tc>
          <w:tcPr>
            <w:tcW w:w="2880" w:type="dxa"/>
            <w:tcBorders>
              <w:top w:val="nil"/>
              <w:left w:val="nil"/>
              <w:bottom w:val="nil"/>
              <w:right w:val="nil"/>
            </w:tcBorders>
            <w:shd w:val="clear" w:color="000000" w:fill="FFFFFF"/>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Former drinker </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134 (22)</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151 (24)</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154 (24)</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176 (28)</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615 (24)</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cfPWV, cm/s</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Men</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1133 ± 22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1104 ± 19</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1168 ± 20</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1160 ± 17</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1143 ± 9</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Women</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1084 ± 14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1099 ± 14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1120 ± 14</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1158 ± 15</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1112 ± 7</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Overall</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1099 ± 12</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1101 ± 11</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1137 ± 11</w:t>
            </w: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1159 ± 11</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1124 ± 6</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High cfPWV, &gt;75th percentile</w:t>
            </w:r>
          </w:p>
        </w:tc>
        <w:tc>
          <w:tcPr>
            <w:tcW w:w="123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60" w:type="dxa"/>
            <w:tcBorders>
              <w:top w:val="nil"/>
              <w:left w:val="nil"/>
              <w:bottom w:val="nil"/>
              <w:right w:val="nil"/>
            </w:tcBorders>
            <w:shd w:val="clear" w:color="000000" w:fill="FFFFFF"/>
            <w:noWrap/>
            <w:vAlign w:val="center"/>
            <w:hideMark/>
          </w:tcPr>
          <w:p w:rsidR="007F2EE2" w:rsidRPr="00343FE4" w:rsidRDefault="007F2EE2" w:rsidP="0061698C">
            <w:pPr>
              <w:jc w:val="center"/>
              <w:rPr>
                <w:rFonts w:ascii="Arial" w:eastAsia="Times New Roman" w:hAnsi="Arial" w:cs="Arial"/>
                <w:color w:val="000000"/>
                <w:sz w:val="20"/>
                <w:szCs w:val="20"/>
              </w:rPr>
            </w:pP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Men</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58 (31)</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47 (21)</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63 (28)</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85 (27)</w:t>
            </w:r>
          </w:p>
        </w:tc>
        <w:tc>
          <w:tcPr>
            <w:tcW w:w="1290" w:type="dxa"/>
            <w:tcBorders>
              <w:top w:val="nil"/>
              <w:left w:val="nil"/>
              <w:bottom w:val="nil"/>
              <w:right w:val="nil"/>
            </w:tcBorders>
            <w:shd w:val="clear" w:color="000000" w:fill="D9D9D9"/>
            <w:noWrap/>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253 (26)</w:t>
            </w:r>
          </w:p>
        </w:tc>
      </w:tr>
      <w:tr w:rsidR="007F2EE2" w:rsidRPr="0076189E" w:rsidTr="0061698C">
        <w:trPr>
          <w:trHeight w:val="310"/>
        </w:trPr>
        <w:tc>
          <w:tcPr>
            <w:tcW w:w="2880" w:type="dxa"/>
            <w:tcBorders>
              <w:top w:val="nil"/>
              <w:left w:val="nil"/>
              <w:bottom w:val="nil"/>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Women</w:t>
            </w:r>
          </w:p>
        </w:tc>
        <w:tc>
          <w:tcPr>
            <w:tcW w:w="123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96 (22)</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93 (22)</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96 (23)</w:t>
            </w:r>
          </w:p>
        </w:tc>
        <w:tc>
          <w:tcPr>
            <w:tcW w:w="1260" w:type="dxa"/>
            <w:tcBorders>
              <w:top w:val="nil"/>
              <w:left w:val="nil"/>
              <w:bottom w:val="nil"/>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102 (30)</w:t>
            </w:r>
          </w:p>
        </w:tc>
        <w:tc>
          <w:tcPr>
            <w:tcW w:w="1290" w:type="dxa"/>
            <w:tcBorders>
              <w:top w:val="nil"/>
              <w:left w:val="nil"/>
              <w:bottom w:val="nil"/>
              <w:right w:val="nil"/>
            </w:tcBorders>
            <w:shd w:val="clear" w:color="000000" w:fill="D9D9D9"/>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387 (24)</w:t>
            </w:r>
          </w:p>
        </w:tc>
      </w:tr>
      <w:tr w:rsidR="007F2EE2" w:rsidRPr="0076189E" w:rsidTr="0061698C">
        <w:trPr>
          <w:trHeight w:val="310"/>
        </w:trPr>
        <w:tc>
          <w:tcPr>
            <w:tcW w:w="2880" w:type="dxa"/>
            <w:tcBorders>
              <w:top w:val="nil"/>
              <w:left w:val="nil"/>
              <w:bottom w:val="single" w:sz="4" w:space="0" w:color="auto"/>
              <w:right w:val="nil"/>
            </w:tcBorders>
            <w:shd w:val="clear" w:color="000000" w:fill="FFFFFF"/>
            <w:vAlign w:val="center"/>
            <w:hideMark/>
          </w:tcPr>
          <w:p w:rsidR="007F2EE2" w:rsidRPr="00343FE4" w:rsidRDefault="007F2EE2" w:rsidP="0061698C">
            <w:pPr>
              <w:rPr>
                <w:rFonts w:ascii="Arial" w:eastAsia="Times New Roman" w:hAnsi="Arial" w:cs="Arial"/>
                <w:color w:val="000000"/>
                <w:sz w:val="20"/>
                <w:szCs w:val="20"/>
              </w:rPr>
            </w:pPr>
            <w:r w:rsidRPr="00343FE4">
              <w:rPr>
                <w:rFonts w:ascii="Arial" w:eastAsia="Times New Roman" w:hAnsi="Arial" w:cs="Arial"/>
                <w:color w:val="000000"/>
                <w:sz w:val="20"/>
                <w:szCs w:val="20"/>
              </w:rPr>
              <w:t xml:space="preserve">   Overall</w:t>
            </w:r>
          </w:p>
        </w:tc>
        <w:tc>
          <w:tcPr>
            <w:tcW w:w="1230" w:type="dxa"/>
            <w:tcBorders>
              <w:top w:val="nil"/>
              <w:left w:val="nil"/>
              <w:bottom w:val="single" w:sz="4" w:space="0" w:color="auto"/>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154 (24)</w:t>
            </w:r>
          </w:p>
        </w:tc>
        <w:tc>
          <w:tcPr>
            <w:tcW w:w="1260" w:type="dxa"/>
            <w:tcBorders>
              <w:top w:val="nil"/>
              <w:left w:val="nil"/>
              <w:bottom w:val="single" w:sz="4" w:space="0" w:color="auto"/>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140 (22)</w:t>
            </w:r>
          </w:p>
        </w:tc>
        <w:tc>
          <w:tcPr>
            <w:tcW w:w="1260" w:type="dxa"/>
            <w:tcBorders>
              <w:top w:val="nil"/>
              <w:left w:val="nil"/>
              <w:bottom w:val="single" w:sz="4" w:space="0" w:color="auto"/>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159 (25)</w:t>
            </w:r>
          </w:p>
        </w:tc>
        <w:tc>
          <w:tcPr>
            <w:tcW w:w="1260" w:type="dxa"/>
            <w:tcBorders>
              <w:top w:val="nil"/>
              <w:left w:val="nil"/>
              <w:bottom w:val="single" w:sz="4" w:space="0" w:color="auto"/>
              <w:right w:val="nil"/>
            </w:tcBorders>
            <w:shd w:val="clear" w:color="000000" w:fill="FFFFFF"/>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187 (29)</w:t>
            </w:r>
          </w:p>
        </w:tc>
        <w:tc>
          <w:tcPr>
            <w:tcW w:w="1290" w:type="dxa"/>
            <w:tcBorders>
              <w:top w:val="nil"/>
              <w:left w:val="nil"/>
              <w:bottom w:val="single" w:sz="4" w:space="0" w:color="auto"/>
              <w:right w:val="nil"/>
            </w:tcBorders>
            <w:shd w:val="clear" w:color="000000" w:fill="D9D9D9"/>
            <w:vAlign w:val="center"/>
            <w:hideMark/>
          </w:tcPr>
          <w:p w:rsidR="007F2EE2" w:rsidRPr="00343FE4" w:rsidRDefault="007F2EE2" w:rsidP="0061698C">
            <w:pPr>
              <w:jc w:val="center"/>
              <w:rPr>
                <w:rFonts w:ascii="Arial" w:eastAsia="Times New Roman" w:hAnsi="Arial" w:cs="Arial"/>
                <w:color w:val="000000"/>
                <w:sz w:val="20"/>
                <w:szCs w:val="20"/>
              </w:rPr>
            </w:pPr>
            <w:r w:rsidRPr="00343FE4">
              <w:rPr>
                <w:rFonts w:ascii="Arial" w:eastAsia="Times New Roman" w:hAnsi="Arial" w:cs="Arial"/>
                <w:color w:val="000000"/>
                <w:sz w:val="20"/>
                <w:szCs w:val="20"/>
              </w:rPr>
              <w:t>640 (25)</w:t>
            </w:r>
          </w:p>
        </w:tc>
      </w:tr>
    </w:tbl>
    <w:p w:rsidR="008D6C6A" w:rsidRDefault="008D6C6A" w:rsidP="008D6C6A">
      <w:pPr>
        <w:pStyle w:val="TableNotes"/>
        <w:spacing w:before="0"/>
        <w:rPr>
          <w:rFonts w:cs="Arial"/>
          <w:b/>
        </w:rPr>
      </w:pPr>
    </w:p>
    <w:p w:rsidR="00157AB2" w:rsidRPr="00705FC3" w:rsidRDefault="007F2EE2" w:rsidP="008D6C6A">
      <w:pPr>
        <w:pStyle w:val="TableNotes"/>
        <w:spacing w:before="0"/>
      </w:pPr>
      <w:r w:rsidRPr="0060357A">
        <w:rPr>
          <w:rFonts w:cs="Arial"/>
          <w:b/>
        </w:rPr>
        <w:t xml:space="preserve">Abbreviations: </w:t>
      </w:r>
      <w:r w:rsidRPr="0060357A">
        <w:rPr>
          <w:rFonts w:cs="Arial"/>
        </w:rPr>
        <w:t xml:space="preserve">BMI, body mass index; SBP, systolic blood pressure; DBP, diastolic blood pressure; MAP, mean arterial pressure; cfPWV, carotid-femoral pulse wave velocity; TG/HDL-C, triglyceride to high-density lipoprotein cholesterol ratio. </w:t>
      </w:r>
      <w:r w:rsidRPr="0060357A">
        <w:rPr>
          <w:rFonts w:cs="Arial"/>
          <w:b/>
        </w:rPr>
        <w:t xml:space="preserve">Footnotes: </w:t>
      </w:r>
      <w:r w:rsidRPr="0060357A">
        <w:rPr>
          <w:rFonts w:cs="Arial"/>
        </w:rPr>
        <w:t>Characteristics are defined by either the mean and standard error or the frequency and percent. For TG/HDL-C quartiles, the lower and upper limits are: [0.03, 1.36) for quartile 1; [1.36, 1.95) for quartile 2; [1.95, 2.84) for quartile 3; and [2.84, 9.34] for quartile 4.</w:t>
      </w:r>
      <w:r w:rsidR="00157AB2">
        <w:rPr>
          <w:rFonts w:cs="Arial"/>
        </w:rPr>
        <w:br w:type="page"/>
      </w:r>
      <w:r w:rsidR="00157AB2" w:rsidRPr="00705FC3">
        <w:lastRenderedPageBreak/>
        <w:t xml:space="preserve">Table </w:t>
      </w:r>
      <w:r w:rsidR="00623B0A">
        <w:t>S</w:t>
      </w:r>
      <w:r w:rsidR="00157AB2" w:rsidRPr="00705FC3">
        <w:t xml:space="preserve">3. Characteristics of men and women ages 67-90 (n=2,571) by quartiles of TyG (Visit 5, 2011-2013). </w:t>
      </w:r>
    </w:p>
    <w:p w:rsidR="00157AB2" w:rsidRPr="00705FC3" w:rsidRDefault="00157AB2" w:rsidP="00157AB2">
      <w:pPr>
        <w:rPr>
          <w:lang w:eastAsia="en-US"/>
        </w:rPr>
      </w:pPr>
    </w:p>
    <w:tbl>
      <w:tblPr>
        <w:tblW w:w="9254" w:type="dxa"/>
        <w:tblLook w:val="04A0" w:firstRow="1" w:lastRow="0" w:firstColumn="1" w:lastColumn="0" w:noHBand="0" w:noVBand="1"/>
      </w:tblPr>
      <w:tblGrid>
        <w:gridCol w:w="2880"/>
        <w:gridCol w:w="1244"/>
        <w:gridCol w:w="1220"/>
        <w:gridCol w:w="1350"/>
        <w:gridCol w:w="1350"/>
        <w:gridCol w:w="1210"/>
      </w:tblGrid>
      <w:tr w:rsidR="00A94C6E" w:rsidRPr="00705FC3" w:rsidTr="00EC7E37">
        <w:trPr>
          <w:trHeight w:val="300"/>
        </w:trPr>
        <w:tc>
          <w:tcPr>
            <w:tcW w:w="2880" w:type="dxa"/>
            <w:tcBorders>
              <w:top w:val="single" w:sz="4" w:space="0" w:color="auto"/>
              <w:left w:val="nil"/>
              <w:bottom w:val="nil"/>
              <w:right w:val="nil"/>
            </w:tcBorders>
            <w:shd w:val="clear" w:color="auto" w:fill="auto"/>
            <w:noWrap/>
            <w:vAlign w:val="center"/>
            <w:hideMark/>
          </w:tcPr>
          <w:p w:rsidR="00A94C6E" w:rsidRPr="00705FC3" w:rsidRDefault="00A94C6E" w:rsidP="006D58E6">
            <w:pPr>
              <w:rPr>
                <w:rFonts w:ascii="Arial" w:eastAsia="Times New Roman" w:hAnsi="Arial" w:cs="Arial"/>
                <w:color w:val="000000"/>
                <w:sz w:val="20"/>
                <w:szCs w:val="20"/>
              </w:rPr>
            </w:pPr>
            <w:r w:rsidRPr="00705FC3">
              <w:rPr>
                <w:rFonts w:ascii="Arial" w:eastAsia="Times New Roman" w:hAnsi="Arial" w:cs="Arial"/>
                <w:color w:val="000000"/>
                <w:sz w:val="20"/>
                <w:szCs w:val="20"/>
              </w:rPr>
              <w:t> </w:t>
            </w:r>
          </w:p>
        </w:tc>
        <w:tc>
          <w:tcPr>
            <w:tcW w:w="5164" w:type="dxa"/>
            <w:gridSpan w:val="4"/>
            <w:tcBorders>
              <w:top w:val="single" w:sz="4" w:space="0" w:color="auto"/>
              <w:left w:val="nil"/>
              <w:bottom w:val="single" w:sz="4" w:space="0" w:color="auto"/>
              <w:right w:val="nil"/>
            </w:tcBorders>
            <w:shd w:val="clear" w:color="auto" w:fill="auto"/>
            <w:noWrap/>
            <w:vAlign w:val="center"/>
            <w:hideMark/>
          </w:tcPr>
          <w:p w:rsidR="00A94C6E" w:rsidRPr="00705FC3" w:rsidRDefault="00A94C6E"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TyG</w:t>
            </w:r>
          </w:p>
        </w:tc>
        <w:tc>
          <w:tcPr>
            <w:tcW w:w="1210" w:type="dxa"/>
            <w:vMerge w:val="restart"/>
            <w:tcBorders>
              <w:top w:val="single" w:sz="4" w:space="0" w:color="auto"/>
              <w:left w:val="nil"/>
              <w:bottom w:val="single" w:sz="4" w:space="0" w:color="000000"/>
              <w:right w:val="nil"/>
            </w:tcBorders>
            <w:shd w:val="clear" w:color="000000" w:fill="D9D9D9"/>
            <w:noWrap/>
            <w:vAlign w:val="center"/>
            <w:hideMark/>
          </w:tcPr>
          <w:p w:rsidR="00A94C6E" w:rsidRPr="00705FC3" w:rsidRDefault="00A94C6E"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Overall</w:t>
            </w:r>
          </w:p>
          <w:p w:rsidR="00444BCD" w:rsidRPr="00705FC3" w:rsidRDefault="00A94C6E"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Mean ± SE</w:t>
            </w:r>
          </w:p>
          <w:p w:rsidR="00A94C6E" w:rsidRPr="00705FC3" w:rsidRDefault="00A94C6E"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or </w:t>
            </w:r>
            <w:proofErr w:type="gramStart"/>
            <w:r w:rsidRPr="00705FC3">
              <w:rPr>
                <w:rFonts w:ascii="Arial" w:eastAsia="Times New Roman" w:hAnsi="Arial" w:cs="Arial"/>
                <w:color w:val="000000"/>
                <w:sz w:val="20"/>
                <w:szCs w:val="20"/>
              </w:rPr>
              <w:t>n(</w:t>
            </w:r>
            <w:proofErr w:type="gramEnd"/>
            <w:r w:rsidRPr="00705FC3">
              <w:rPr>
                <w:rFonts w:ascii="Arial" w:eastAsia="Times New Roman" w:hAnsi="Arial" w:cs="Arial"/>
                <w:color w:val="000000"/>
                <w:sz w:val="20"/>
                <w:szCs w:val="20"/>
              </w:rPr>
              <w:t>%)</w:t>
            </w:r>
          </w:p>
        </w:tc>
      </w:tr>
      <w:tr w:rsidR="00444BCD" w:rsidRPr="00705FC3" w:rsidTr="00EC7E37">
        <w:trPr>
          <w:trHeight w:val="300"/>
        </w:trPr>
        <w:tc>
          <w:tcPr>
            <w:tcW w:w="2880" w:type="dxa"/>
            <w:tcBorders>
              <w:top w:val="nil"/>
              <w:left w:val="nil"/>
              <w:bottom w:val="single" w:sz="4" w:space="0" w:color="auto"/>
              <w:right w:val="nil"/>
            </w:tcBorders>
            <w:shd w:val="clear" w:color="auto" w:fill="auto"/>
            <w:noWrap/>
            <w:vAlign w:val="center"/>
            <w:hideMark/>
          </w:tcPr>
          <w:p w:rsidR="00444BCD" w:rsidRPr="00705FC3" w:rsidRDefault="00444BCD" w:rsidP="00444BCD">
            <w:pPr>
              <w:jc w:val="center"/>
              <w:rPr>
                <w:rFonts w:ascii="Arial" w:eastAsia="Times New Roman" w:hAnsi="Arial" w:cs="Arial"/>
                <w:b/>
                <w:bCs/>
                <w:color w:val="000000"/>
                <w:sz w:val="20"/>
                <w:szCs w:val="20"/>
              </w:rPr>
            </w:pPr>
            <w:r w:rsidRPr="00705FC3">
              <w:rPr>
                <w:rFonts w:ascii="Arial" w:eastAsia="Times New Roman" w:hAnsi="Arial" w:cs="Arial"/>
                <w:b/>
                <w:bCs/>
                <w:color w:val="000000"/>
                <w:sz w:val="20"/>
                <w:szCs w:val="20"/>
              </w:rPr>
              <w:t> </w:t>
            </w:r>
          </w:p>
        </w:tc>
        <w:tc>
          <w:tcPr>
            <w:tcW w:w="1244"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Quartile 1</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Mean ± SE</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or </w:t>
            </w:r>
            <w:proofErr w:type="gramStart"/>
            <w:r w:rsidRPr="00705FC3">
              <w:rPr>
                <w:rFonts w:ascii="Arial" w:eastAsia="Times New Roman" w:hAnsi="Arial" w:cs="Arial"/>
                <w:color w:val="000000"/>
                <w:sz w:val="20"/>
                <w:szCs w:val="20"/>
              </w:rPr>
              <w:t>n(</w:t>
            </w:r>
            <w:proofErr w:type="gramEnd"/>
            <w:r w:rsidRPr="00705FC3">
              <w:rPr>
                <w:rFonts w:ascii="Arial" w:eastAsia="Times New Roman" w:hAnsi="Arial" w:cs="Arial"/>
                <w:color w:val="000000"/>
                <w:sz w:val="20"/>
                <w:szCs w:val="20"/>
              </w:rPr>
              <w:t>%)</w:t>
            </w:r>
          </w:p>
        </w:tc>
        <w:tc>
          <w:tcPr>
            <w:tcW w:w="122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Quartile 2</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Mean ± SE</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or </w:t>
            </w:r>
            <w:proofErr w:type="gramStart"/>
            <w:r w:rsidRPr="00705FC3">
              <w:rPr>
                <w:rFonts w:ascii="Arial" w:eastAsia="Times New Roman" w:hAnsi="Arial" w:cs="Arial"/>
                <w:color w:val="000000"/>
                <w:sz w:val="20"/>
                <w:szCs w:val="20"/>
              </w:rPr>
              <w:t>n(</w:t>
            </w:r>
            <w:proofErr w:type="gramEnd"/>
            <w:r w:rsidRPr="00705FC3">
              <w:rPr>
                <w:rFonts w:ascii="Arial" w:eastAsia="Times New Roman" w:hAnsi="Arial" w:cs="Arial"/>
                <w:color w:val="000000"/>
                <w:sz w:val="20"/>
                <w:szCs w:val="20"/>
              </w:rPr>
              <w:t>%)</w:t>
            </w:r>
          </w:p>
        </w:tc>
        <w:tc>
          <w:tcPr>
            <w:tcW w:w="135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Quartile 3</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Mean ± SE</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or </w:t>
            </w:r>
            <w:proofErr w:type="gramStart"/>
            <w:r w:rsidRPr="00705FC3">
              <w:rPr>
                <w:rFonts w:ascii="Arial" w:eastAsia="Times New Roman" w:hAnsi="Arial" w:cs="Arial"/>
                <w:color w:val="000000"/>
                <w:sz w:val="20"/>
                <w:szCs w:val="20"/>
              </w:rPr>
              <w:t>n(</w:t>
            </w:r>
            <w:proofErr w:type="gramEnd"/>
            <w:r w:rsidRPr="00705FC3">
              <w:rPr>
                <w:rFonts w:ascii="Arial" w:eastAsia="Times New Roman" w:hAnsi="Arial" w:cs="Arial"/>
                <w:color w:val="000000"/>
                <w:sz w:val="20"/>
                <w:szCs w:val="20"/>
              </w:rPr>
              <w:t>%)</w:t>
            </w:r>
          </w:p>
        </w:tc>
        <w:tc>
          <w:tcPr>
            <w:tcW w:w="135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Quartile 4</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Mean ± SE</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or </w:t>
            </w:r>
            <w:proofErr w:type="gramStart"/>
            <w:r w:rsidRPr="00705FC3">
              <w:rPr>
                <w:rFonts w:ascii="Arial" w:eastAsia="Times New Roman" w:hAnsi="Arial" w:cs="Arial"/>
                <w:color w:val="000000"/>
                <w:sz w:val="20"/>
                <w:szCs w:val="20"/>
              </w:rPr>
              <w:t>n(</w:t>
            </w:r>
            <w:proofErr w:type="gramEnd"/>
            <w:r w:rsidRPr="00705FC3">
              <w:rPr>
                <w:rFonts w:ascii="Arial" w:eastAsia="Times New Roman" w:hAnsi="Arial" w:cs="Arial"/>
                <w:color w:val="000000"/>
                <w:sz w:val="20"/>
                <w:szCs w:val="20"/>
              </w:rPr>
              <w:t>%)</w:t>
            </w:r>
          </w:p>
        </w:tc>
        <w:tc>
          <w:tcPr>
            <w:tcW w:w="1210" w:type="dxa"/>
            <w:vMerge/>
            <w:tcBorders>
              <w:top w:val="single" w:sz="4" w:space="0" w:color="auto"/>
              <w:left w:val="nil"/>
              <w:bottom w:val="single" w:sz="4" w:space="0" w:color="000000"/>
              <w:right w:val="nil"/>
            </w:tcBorders>
            <w:vAlign w:val="center"/>
            <w:hideMark/>
          </w:tcPr>
          <w:p w:rsidR="00444BCD" w:rsidRPr="00705FC3" w:rsidRDefault="00444BCD" w:rsidP="00EC7E37">
            <w:pPr>
              <w:jc w:val="center"/>
              <w:rPr>
                <w:rFonts w:ascii="Arial" w:eastAsia="Times New Roman" w:hAnsi="Arial" w:cs="Arial"/>
                <w:color w:val="000000"/>
                <w:sz w:val="20"/>
                <w:szCs w:val="20"/>
              </w:rPr>
            </w:pP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Demographic</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b/>
                <w:bCs/>
                <w:color w:val="000000"/>
                <w:sz w:val="20"/>
                <w:szCs w:val="20"/>
              </w:rPr>
            </w:pP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Age, years</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75 ± 0.2</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75 ± 0.2</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76 ± 0.2</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75 ± 0.2</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75 ± 0.1</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Men</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283 (44)</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228 (35)</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201 (31)</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245 (38)</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957 (37)</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African American</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155 (24)</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114 (18)</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100 (15)</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64 (10)</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433 (17)</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Anthropometric</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Waist circumference, cm</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94 ± 0.5</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94 ± 0.4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98 ± 0.4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101 ± 0.4</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97 ± 0.2</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BMI, kg/m</w:t>
            </w:r>
            <w:r w:rsidRPr="00705FC3">
              <w:rPr>
                <w:rFonts w:ascii="Arial" w:eastAsia="Times New Roman" w:hAnsi="Arial" w:cs="Arial"/>
                <w:color w:val="000000"/>
                <w:sz w:val="20"/>
                <w:szCs w:val="20"/>
                <w:vertAlign w:val="superscript"/>
              </w:rPr>
              <w:t>2</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26 ± 0.2</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26 ± 0.2</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27 ± 0.2</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28 ± 0.2</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27 ± 0.1</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Hemodynamic</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SBP, mmHg</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129 ± 0.7</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129 ± 0.7</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130 ± 0.7</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132 ± 0.7</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130 ± 0.3</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DBP, mmHg</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66 ± 0.4</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66 ± 0.4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67 ± 0.4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67 ± 0.4</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67 ± 0.2</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MAP, mmHg</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87 ± 0.5</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87 ± 0.4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88 ± 0.5</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89 ± 0.4</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88 ± 0.2</w:t>
            </w:r>
          </w:p>
        </w:tc>
      </w:tr>
      <w:tr w:rsidR="00444BCD" w:rsidRPr="00705FC3" w:rsidTr="00EC7E37">
        <w:trPr>
          <w:trHeight w:val="300"/>
        </w:trPr>
        <w:tc>
          <w:tcPr>
            <w:tcW w:w="2880" w:type="dxa"/>
            <w:tcBorders>
              <w:top w:val="nil"/>
              <w:left w:val="nil"/>
              <w:bottom w:val="nil"/>
              <w:right w:val="nil"/>
            </w:tcBorders>
            <w:shd w:val="clear" w:color="auto" w:fill="auto"/>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Heart rate, beats per minute</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63 ± 0.4</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63 ± 0.4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65 ± 0.4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65 ± 0.4</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64 ± 0.2</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Blood pressure medication</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394 (62)</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385 (60)</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413 (64)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448 (70)</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1640 (64)</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Behavioral</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Current smoker</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37 (6)</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40 (6)</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31 (5)</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33 (5)</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141 (6)</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Current drinker</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342 (55)</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374 (58)</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340 (53)</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371 (59)</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1427 (56)</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Former smoker</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296 (51)</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281 (47)</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293 (48)</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305 (52)</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1175 (49)</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Former drinker</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162 (26)</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140 (22)</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162 (25)</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151 (24)</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615 (24)</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cfPWV, cm/s</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Men</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1131 ± 19</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1112 ± 18</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1161 ± 21</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1171 ± 19</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1143 ± 9</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Women</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1101 ± 16</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1077 ± 14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1118 ± 14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1154 ± 14</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1112 ± 7</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Overall</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1115 ± 12</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1089 ± 11</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1131 ± 11</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1161 ± 11</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1124 ± 6</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High cfPWV, &gt;75th percentile</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Men</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83 (29)</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51 (22)</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50 (25)</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69 (28)</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253 (26)</w:t>
            </w:r>
          </w:p>
        </w:tc>
      </w:tr>
      <w:tr w:rsidR="00444BCD" w:rsidRPr="00705FC3" w:rsidTr="00EC7E37">
        <w:trPr>
          <w:trHeight w:val="300"/>
        </w:trPr>
        <w:tc>
          <w:tcPr>
            <w:tcW w:w="2880" w:type="dxa"/>
            <w:tcBorders>
              <w:top w:val="nil"/>
              <w:left w:val="nil"/>
              <w:bottom w:val="nil"/>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Women</w:t>
            </w:r>
          </w:p>
        </w:tc>
        <w:tc>
          <w:tcPr>
            <w:tcW w:w="1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80 (23)</w:t>
            </w:r>
          </w:p>
        </w:tc>
        <w:tc>
          <w:tcPr>
            <w:tcW w:w="12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83 (20)</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106 (24)</w:t>
            </w:r>
          </w:p>
        </w:tc>
        <w:tc>
          <w:tcPr>
            <w:tcW w:w="135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118 (30)</w:t>
            </w:r>
          </w:p>
        </w:tc>
        <w:tc>
          <w:tcPr>
            <w:tcW w:w="1210" w:type="dxa"/>
            <w:tcBorders>
              <w:top w:val="nil"/>
              <w:left w:val="nil"/>
              <w:bottom w:val="nil"/>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387 (24)</w:t>
            </w:r>
          </w:p>
        </w:tc>
      </w:tr>
      <w:tr w:rsidR="00444BCD" w:rsidRPr="00705FC3" w:rsidTr="00EC7E37">
        <w:trPr>
          <w:trHeight w:val="300"/>
        </w:trPr>
        <w:tc>
          <w:tcPr>
            <w:tcW w:w="2880" w:type="dxa"/>
            <w:tcBorders>
              <w:top w:val="nil"/>
              <w:left w:val="nil"/>
              <w:bottom w:val="single" w:sz="4" w:space="0" w:color="auto"/>
              <w:right w:val="nil"/>
            </w:tcBorders>
            <w:shd w:val="clear" w:color="auto" w:fill="auto"/>
            <w:noWrap/>
            <w:vAlign w:val="center"/>
            <w:hideMark/>
          </w:tcPr>
          <w:p w:rsidR="00444BCD" w:rsidRPr="00705FC3" w:rsidRDefault="00444BCD" w:rsidP="00444BCD">
            <w:pPr>
              <w:rPr>
                <w:rFonts w:ascii="Arial" w:eastAsia="Times New Roman" w:hAnsi="Arial" w:cs="Arial"/>
                <w:color w:val="000000"/>
                <w:sz w:val="20"/>
                <w:szCs w:val="20"/>
              </w:rPr>
            </w:pPr>
            <w:r w:rsidRPr="00705FC3">
              <w:rPr>
                <w:rFonts w:ascii="Arial" w:eastAsia="Times New Roman" w:hAnsi="Arial" w:cs="Arial"/>
                <w:color w:val="000000"/>
                <w:sz w:val="20"/>
                <w:szCs w:val="20"/>
              </w:rPr>
              <w:t xml:space="preserve">   Overall</w:t>
            </w:r>
          </w:p>
        </w:tc>
        <w:tc>
          <w:tcPr>
            <w:tcW w:w="1244"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163 (26)</w:t>
            </w:r>
          </w:p>
        </w:tc>
        <w:tc>
          <w:tcPr>
            <w:tcW w:w="122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134 (21)</w:t>
            </w:r>
          </w:p>
        </w:tc>
        <w:tc>
          <w:tcPr>
            <w:tcW w:w="135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156 (24)</w:t>
            </w:r>
          </w:p>
        </w:tc>
        <w:tc>
          <w:tcPr>
            <w:tcW w:w="135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187 (29)</w:t>
            </w:r>
          </w:p>
        </w:tc>
        <w:tc>
          <w:tcPr>
            <w:tcW w:w="1210" w:type="dxa"/>
            <w:tcBorders>
              <w:top w:val="nil"/>
              <w:left w:val="nil"/>
              <w:bottom w:val="single" w:sz="4" w:space="0" w:color="auto"/>
              <w:right w:val="nil"/>
            </w:tcBorders>
            <w:shd w:val="clear" w:color="000000" w:fill="D9D9D9"/>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640 (25)</w:t>
            </w:r>
          </w:p>
        </w:tc>
      </w:tr>
    </w:tbl>
    <w:p w:rsidR="008D6C6A" w:rsidRPr="00705FC3" w:rsidRDefault="008D6C6A" w:rsidP="008D6C6A">
      <w:pPr>
        <w:pStyle w:val="TableNotes"/>
        <w:spacing w:before="0"/>
        <w:rPr>
          <w:rFonts w:cs="Arial"/>
          <w:b/>
        </w:rPr>
      </w:pPr>
    </w:p>
    <w:p w:rsidR="00157AB2" w:rsidRPr="00EB0522" w:rsidRDefault="00157AB2" w:rsidP="008D6C6A">
      <w:pPr>
        <w:pStyle w:val="TableNotes"/>
        <w:spacing w:before="0"/>
      </w:pPr>
      <w:r w:rsidRPr="00705FC3">
        <w:rPr>
          <w:rFonts w:cs="Arial"/>
          <w:b/>
        </w:rPr>
        <w:t xml:space="preserve">Abbreviations: </w:t>
      </w:r>
      <w:r w:rsidRPr="00705FC3">
        <w:rPr>
          <w:rFonts w:cs="Arial"/>
        </w:rPr>
        <w:t xml:space="preserve">BMI, body mass index; SBP, systolic blood pressure; DBP, diastolic blood pressure; MAP, mean arterial pressure; cfPWV, carotid-femoral pulse wave velocity; TyG, triglyceride and glucose index. </w:t>
      </w:r>
      <w:r w:rsidRPr="00705FC3">
        <w:rPr>
          <w:rFonts w:cs="Arial"/>
          <w:b/>
        </w:rPr>
        <w:t xml:space="preserve">Footnotes: </w:t>
      </w:r>
      <w:r w:rsidRPr="00705FC3">
        <w:rPr>
          <w:rFonts w:cs="Arial"/>
        </w:rPr>
        <w:t>Characteristics are defined by either the mean and standard error or the frequency and percent. For TyG, the lower and upper limits are: [6.92, 8.30) for quartile 1; [8.30, 8.57) for quartile 2; [8.57, 8.88) for quartile 3; and [8.88, 10.03] for quartile 4.</w:t>
      </w:r>
      <w:r w:rsidRPr="00EB0522">
        <w:t xml:space="preserve"> </w:t>
      </w:r>
    </w:p>
    <w:p w:rsidR="00DB4F3D" w:rsidRDefault="00DB4F3D" w:rsidP="007F2EE2">
      <w:pPr>
        <w:pStyle w:val="TableNotes"/>
        <w:rPr>
          <w:rFonts w:cs="Arial"/>
        </w:rPr>
        <w:sectPr w:rsidR="00DB4F3D" w:rsidSect="0061698C">
          <w:pgSz w:w="12240" w:h="15840"/>
          <w:pgMar w:top="1440" w:right="1440" w:bottom="1440" w:left="1440" w:header="720" w:footer="720" w:gutter="0"/>
          <w:cols w:space="720"/>
          <w:docGrid w:linePitch="360"/>
        </w:sectPr>
      </w:pPr>
    </w:p>
    <w:p w:rsidR="00164C4A" w:rsidRDefault="00164C4A" w:rsidP="00164C4A">
      <w:pPr>
        <w:pStyle w:val="Caption"/>
        <w:spacing w:after="0"/>
      </w:pPr>
      <w:bookmarkStart w:id="12" w:name="_Toc1397393"/>
      <w:bookmarkStart w:id="13" w:name="_Toc1398465"/>
      <w:bookmarkStart w:id="14" w:name="_Toc1400353"/>
      <w:bookmarkStart w:id="15" w:name="_Toc1401216"/>
      <w:bookmarkStart w:id="16" w:name="_Toc1403553"/>
      <w:bookmarkStart w:id="17" w:name="_Toc414712714"/>
      <w:bookmarkStart w:id="18" w:name="_Toc414713847"/>
      <w:bookmarkStart w:id="19" w:name="_Toc414721161"/>
      <w:bookmarkStart w:id="20" w:name="_Toc1400468"/>
      <w:bookmarkStart w:id="21" w:name="_Toc1400640"/>
      <w:bookmarkStart w:id="22" w:name="_Toc1403595"/>
      <w:bookmarkStart w:id="23" w:name="_Toc414712726"/>
      <w:bookmarkStart w:id="24" w:name="_Toc414713859"/>
      <w:bookmarkStart w:id="25" w:name="_Toc414721173"/>
      <w:r>
        <w:lastRenderedPageBreak/>
        <w:t xml:space="preserve">Table </w:t>
      </w:r>
      <w:r w:rsidR="00623B0A">
        <w:t>S</w:t>
      </w:r>
      <w:r>
        <w:t xml:space="preserve">4. Cross-sectional association of insulin resistance indexes with aortic stiffness in men and women ages 67-90 (Visit 5, 2011-2013). </w:t>
      </w:r>
    </w:p>
    <w:p w:rsidR="00164C4A" w:rsidRDefault="00164C4A" w:rsidP="00164C4A">
      <w:pPr>
        <w:rPr>
          <w:lang w:eastAsia="en-US"/>
        </w:rPr>
      </w:pPr>
    </w:p>
    <w:tbl>
      <w:tblPr>
        <w:tblW w:w="10155" w:type="dxa"/>
        <w:tblInd w:w="108" w:type="dxa"/>
        <w:tblLayout w:type="fixed"/>
        <w:tblLook w:val="04A0" w:firstRow="1" w:lastRow="0" w:firstColumn="1" w:lastColumn="0" w:noHBand="0" w:noVBand="1"/>
      </w:tblPr>
      <w:tblGrid>
        <w:gridCol w:w="2340"/>
        <w:gridCol w:w="900"/>
        <w:gridCol w:w="2323"/>
        <w:gridCol w:w="2251"/>
        <w:gridCol w:w="2341"/>
      </w:tblGrid>
      <w:tr w:rsidR="00164C4A" w:rsidTr="00164C4A">
        <w:trPr>
          <w:trHeight w:val="300"/>
        </w:trPr>
        <w:tc>
          <w:tcPr>
            <w:tcW w:w="2340" w:type="dxa"/>
            <w:tcBorders>
              <w:top w:val="single" w:sz="4" w:space="0" w:color="auto"/>
              <w:left w:val="nil"/>
              <w:bottom w:val="nil"/>
              <w:right w:val="nil"/>
            </w:tcBorders>
            <w:shd w:val="clear" w:color="auto" w:fill="FFFFFF"/>
            <w:noWrap/>
            <w:vAlign w:val="center"/>
            <w:hideMark/>
          </w:tcPr>
          <w:p w:rsidR="00164C4A" w:rsidRDefault="00164C4A" w:rsidP="00164C4A">
            <w:pPr>
              <w:rPr>
                <w:lang w:eastAsia="en-US"/>
              </w:rPr>
            </w:pPr>
          </w:p>
        </w:tc>
        <w:tc>
          <w:tcPr>
            <w:tcW w:w="900" w:type="dxa"/>
            <w:tcBorders>
              <w:top w:val="single" w:sz="4" w:space="0" w:color="auto"/>
              <w:left w:val="nil"/>
              <w:bottom w:val="single" w:sz="4" w:space="0" w:color="auto"/>
              <w:right w:val="nil"/>
            </w:tcBorders>
            <w:shd w:val="clear" w:color="auto" w:fill="FFFFFF"/>
            <w:noWrap/>
            <w:vAlign w:val="center"/>
            <w:hideMark/>
          </w:tcPr>
          <w:p w:rsidR="00164C4A" w:rsidRDefault="00164C4A" w:rsidP="00164C4A">
            <w:pPr>
              <w:spacing w:after="160" w:line="256" w:lineRule="auto"/>
              <w:rPr>
                <w:rFonts w:eastAsiaTheme="minorHAnsi"/>
                <w:sz w:val="20"/>
                <w:szCs w:val="20"/>
                <w:lang w:eastAsia="en-US"/>
              </w:rPr>
            </w:pPr>
          </w:p>
        </w:tc>
        <w:tc>
          <w:tcPr>
            <w:tcW w:w="2322" w:type="dxa"/>
            <w:tcBorders>
              <w:top w:val="single" w:sz="4" w:space="0" w:color="auto"/>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HOMA-IR</w:t>
            </w:r>
          </w:p>
        </w:tc>
        <w:tc>
          <w:tcPr>
            <w:tcW w:w="2250" w:type="dxa"/>
            <w:tcBorders>
              <w:top w:val="single" w:sz="4" w:space="0" w:color="auto"/>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TG/HDL-C</w:t>
            </w:r>
          </w:p>
        </w:tc>
        <w:tc>
          <w:tcPr>
            <w:tcW w:w="2340" w:type="dxa"/>
            <w:tcBorders>
              <w:top w:val="single" w:sz="4" w:space="0" w:color="auto"/>
              <w:left w:val="nil"/>
              <w:bottom w:val="single" w:sz="4" w:space="0" w:color="auto"/>
              <w:right w:val="nil"/>
            </w:tcBorders>
            <w:shd w:val="clear" w:color="auto" w:fill="FFFFFF"/>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TyG</w:t>
            </w:r>
          </w:p>
        </w:tc>
      </w:tr>
      <w:tr w:rsidR="00164C4A" w:rsidTr="00164C4A">
        <w:trPr>
          <w:trHeight w:val="300"/>
        </w:trPr>
        <w:tc>
          <w:tcPr>
            <w:tcW w:w="2340" w:type="dxa"/>
            <w:tcBorders>
              <w:top w:val="nil"/>
              <w:left w:val="nil"/>
              <w:bottom w:val="single" w:sz="4" w:space="0" w:color="auto"/>
              <w:right w:val="nil"/>
            </w:tcBorders>
            <w:shd w:val="clear" w:color="auto" w:fill="FFFFFF"/>
            <w:noWrap/>
            <w:vAlign w:val="center"/>
            <w:hideMark/>
          </w:tcPr>
          <w:p w:rsidR="00164C4A" w:rsidRDefault="00164C4A" w:rsidP="00164C4A">
            <w:pPr>
              <w:rPr>
                <w:rFonts w:ascii="Arial" w:eastAsia="Times New Roman" w:hAnsi="Arial" w:cs="Arial"/>
                <w:color w:val="000000"/>
                <w:sz w:val="20"/>
                <w:szCs w:val="20"/>
              </w:rPr>
            </w:pPr>
          </w:p>
        </w:tc>
        <w:tc>
          <w:tcPr>
            <w:tcW w:w="900" w:type="dxa"/>
            <w:tcBorders>
              <w:top w:val="nil"/>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n</w:t>
            </w:r>
          </w:p>
        </w:tc>
        <w:tc>
          <w:tcPr>
            <w:tcW w:w="2322" w:type="dxa"/>
            <w:tcBorders>
              <w:top w:val="nil"/>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Difference (95% CI) in cfPWV (cm/s) per SD </w:t>
            </w:r>
          </w:p>
        </w:tc>
        <w:tc>
          <w:tcPr>
            <w:tcW w:w="2250" w:type="dxa"/>
            <w:tcBorders>
              <w:top w:val="nil"/>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Difference (95% CI) in cfPWV (cm/s) per SD </w:t>
            </w:r>
          </w:p>
        </w:tc>
        <w:tc>
          <w:tcPr>
            <w:tcW w:w="2340" w:type="dxa"/>
            <w:tcBorders>
              <w:top w:val="nil"/>
              <w:left w:val="nil"/>
              <w:bottom w:val="single" w:sz="4" w:space="0" w:color="auto"/>
              <w:right w:val="nil"/>
            </w:tcBorders>
            <w:shd w:val="clear" w:color="auto" w:fill="FFFFFF"/>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Difference (95% CI) in cfPWV (cm/s) per SD </w:t>
            </w:r>
          </w:p>
        </w:tc>
      </w:tr>
      <w:tr w:rsidR="00164C4A" w:rsidTr="00164C4A">
        <w:trPr>
          <w:trHeight w:val="300"/>
        </w:trPr>
        <w:tc>
          <w:tcPr>
            <w:tcW w:w="234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Overall</w:t>
            </w:r>
          </w:p>
        </w:tc>
        <w:tc>
          <w:tcPr>
            <w:tcW w:w="90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2571</w:t>
            </w:r>
          </w:p>
        </w:tc>
        <w:tc>
          <w:tcPr>
            <w:tcW w:w="2322"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16 (6,27)</w:t>
            </w:r>
          </w:p>
        </w:tc>
        <w:tc>
          <w:tcPr>
            <w:tcW w:w="225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29 (18,40)</w:t>
            </w:r>
          </w:p>
        </w:tc>
        <w:tc>
          <w:tcPr>
            <w:tcW w:w="2340" w:type="dxa"/>
            <w:shd w:val="clear" w:color="auto" w:fill="FFFFFF"/>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32 (22,42)</w:t>
            </w:r>
          </w:p>
        </w:tc>
      </w:tr>
      <w:tr w:rsidR="00164C4A" w:rsidTr="00164C4A">
        <w:trPr>
          <w:trHeight w:val="300"/>
        </w:trPr>
        <w:tc>
          <w:tcPr>
            <w:tcW w:w="234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Men</w:t>
            </w:r>
          </w:p>
        </w:tc>
        <w:tc>
          <w:tcPr>
            <w:tcW w:w="90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957</w:t>
            </w:r>
          </w:p>
        </w:tc>
        <w:tc>
          <w:tcPr>
            <w:tcW w:w="2322"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8 (-9,25)</w:t>
            </w:r>
          </w:p>
        </w:tc>
        <w:tc>
          <w:tcPr>
            <w:tcW w:w="225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24 (8,40)</w:t>
            </w:r>
          </w:p>
        </w:tc>
        <w:tc>
          <w:tcPr>
            <w:tcW w:w="2340" w:type="dxa"/>
            <w:shd w:val="clear" w:color="auto" w:fill="FFFFFF"/>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32 (16,48)</w:t>
            </w:r>
          </w:p>
        </w:tc>
      </w:tr>
      <w:tr w:rsidR="00164C4A" w:rsidTr="00164C4A">
        <w:trPr>
          <w:trHeight w:val="300"/>
        </w:trPr>
        <w:tc>
          <w:tcPr>
            <w:tcW w:w="234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Women</w:t>
            </w:r>
          </w:p>
        </w:tc>
        <w:tc>
          <w:tcPr>
            <w:tcW w:w="90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1614</w:t>
            </w:r>
          </w:p>
        </w:tc>
        <w:tc>
          <w:tcPr>
            <w:tcW w:w="2322"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23 (10,37)</w:t>
            </w:r>
          </w:p>
        </w:tc>
        <w:tc>
          <w:tcPr>
            <w:tcW w:w="2250" w:type="dxa"/>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32 (18,46)</w:t>
            </w:r>
          </w:p>
        </w:tc>
        <w:tc>
          <w:tcPr>
            <w:tcW w:w="2340" w:type="dxa"/>
            <w:shd w:val="clear" w:color="auto" w:fill="FFFFFF"/>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30 (17,43)</w:t>
            </w:r>
          </w:p>
        </w:tc>
      </w:tr>
      <w:tr w:rsidR="00164C4A" w:rsidTr="00164C4A">
        <w:trPr>
          <w:trHeight w:val="252"/>
        </w:trPr>
        <w:tc>
          <w:tcPr>
            <w:tcW w:w="2340" w:type="dxa"/>
            <w:tcBorders>
              <w:top w:val="nil"/>
              <w:left w:val="nil"/>
              <w:bottom w:val="single" w:sz="4" w:space="0" w:color="auto"/>
              <w:right w:val="nil"/>
            </w:tcBorders>
            <w:shd w:val="clear" w:color="auto" w:fill="FFFFFF"/>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Test for interaction</w:t>
            </w:r>
          </w:p>
        </w:tc>
        <w:tc>
          <w:tcPr>
            <w:tcW w:w="900" w:type="dxa"/>
            <w:tcBorders>
              <w:top w:val="nil"/>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2571</w:t>
            </w:r>
          </w:p>
        </w:tc>
        <w:tc>
          <w:tcPr>
            <w:tcW w:w="2322" w:type="dxa"/>
            <w:tcBorders>
              <w:top w:val="nil"/>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p=0.23</w:t>
            </w:r>
          </w:p>
        </w:tc>
        <w:tc>
          <w:tcPr>
            <w:tcW w:w="2250" w:type="dxa"/>
            <w:tcBorders>
              <w:top w:val="nil"/>
              <w:left w:val="nil"/>
              <w:bottom w:val="single" w:sz="4" w:space="0" w:color="auto"/>
              <w:right w:val="nil"/>
            </w:tcBorders>
            <w:shd w:val="clear" w:color="auto" w:fill="FFFFFF"/>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p=0.36</w:t>
            </w:r>
          </w:p>
        </w:tc>
        <w:tc>
          <w:tcPr>
            <w:tcW w:w="2340" w:type="dxa"/>
            <w:tcBorders>
              <w:top w:val="nil"/>
              <w:left w:val="nil"/>
              <w:bottom w:val="single" w:sz="4" w:space="0" w:color="auto"/>
              <w:right w:val="nil"/>
            </w:tcBorders>
            <w:shd w:val="clear" w:color="auto" w:fill="FFFFFF"/>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p=0.94</w:t>
            </w:r>
          </w:p>
        </w:tc>
      </w:tr>
    </w:tbl>
    <w:p w:rsidR="00164C4A" w:rsidRDefault="00164C4A" w:rsidP="00164C4A">
      <w:pPr>
        <w:pStyle w:val="TableNotes"/>
        <w:spacing w:before="0"/>
        <w:rPr>
          <w:rFonts w:cs="Times New Roman (Body CS)"/>
          <w:b/>
        </w:rPr>
      </w:pPr>
    </w:p>
    <w:p w:rsidR="00164C4A" w:rsidRPr="004C7AA0" w:rsidRDefault="00164C4A" w:rsidP="00164C4A">
      <w:pPr>
        <w:pStyle w:val="TableNotes"/>
        <w:spacing w:before="0"/>
        <w:sectPr w:rsidR="00164C4A" w:rsidRPr="004C7AA0" w:rsidSect="006D58E6">
          <w:pgSz w:w="15840" w:h="12240" w:orient="landscape"/>
          <w:pgMar w:top="1440" w:right="1440" w:bottom="1440" w:left="1440" w:header="720" w:footer="720" w:gutter="0"/>
          <w:cols w:space="720"/>
          <w:docGrid w:linePitch="360"/>
        </w:sectPr>
      </w:pPr>
      <w:r>
        <w:rPr>
          <w:b/>
        </w:rPr>
        <w:t xml:space="preserve">Abbreviations: </w:t>
      </w:r>
      <w:r>
        <w:t xml:space="preserve">HOMA-IR, homeostatic model assessment of insulin resistance; TG/HDL-C, triglyceride to high-density lipoprotein cholesterol ratio; TyG, triglyceride and glucose index; cfPWV, carotid-femoral pulse wave velocity. </w:t>
      </w:r>
      <w:r>
        <w:rPr>
          <w:b/>
        </w:rPr>
        <w:t>Footnotes:</w:t>
      </w:r>
      <w:r>
        <w:t xml:space="preserve"> The difference and 95% CI are interpreted as the difference in aortic stiffness per standard deviation (per SD) increment in insulin resistance index. The test for interaction is the p-value of the product term of insulin resistance index, that has been standardized, and gender. Estimates are adjusted for age, gender (except for gender-specific estimates), and race/study site. The standard deviation was 1.6 for HOMA-IR, 1.3 for TG/HDL-C, and 0.4 for TyG.</w:t>
      </w:r>
    </w:p>
    <w:p w:rsidR="00164C4A" w:rsidRDefault="00164C4A" w:rsidP="00E45765">
      <w:pPr>
        <w:pStyle w:val="TableNotes"/>
        <w:spacing w:before="0"/>
      </w:pPr>
      <w:r>
        <w:lastRenderedPageBreak/>
        <w:t xml:space="preserve">Table </w:t>
      </w:r>
      <w:r w:rsidR="00623B0A">
        <w:t>S</w:t>
      </w:r>
      <w:r>
        <w:t>5. Cross-sectional association of insulin resistance indexes with high (&gt;75</w:t>
      </w:r>
      <w:r>
        <w:rPr>
          <w:vertAlign w:val="superscript"/>
        </w:rPr>
        <w:t>th</w:t>
      </w:r>
      <w:r>
        <w:t xml:space="preserve">-percentile) aortic stiffness in men and women ages 67-90 (Visit 5, 2011-2013). </w:t>
      </w:r>
    </w:p>
    <w:p w:rsidR="00164C4A" w:rsidRDefault="00164C4A" w:rsidP="00164C4A">
      <w:pPr>
        <w:pStyle w:val="TableNotes"/>
        <w:spacing w:before="0"/>
      </w:pPr>
    </w:p>
    <w:tbl>
      <w:tblPr>
        <w:tblW w:w="12675" w:type="dxa"/>
        <w:tblInd w:w="108" w:type="dxa"/>
        <w:tblLayout w:type="fixed"/>
        <w:tblLook w:val="04A0" w:firstRow="1" w:lastRow="0" w:firstColumn="1" w:lastColumn="0" w:noHBand="0" w:noVBand="1"/>
      </w:tblPr>
      <w:tblGrid>
        <w:gridCol w:w="2322"/>
        <w:gridCol w:w="810"/>
        <w:gridCol w:w="3151"/>
        <w:gridCol w:w="3151"/>
        <w:gridCol w:w="3241"/>
      </w:tblGrid>
      <w:tr w:rsidR="00164C4A" w:rsidTr="00164C4A">
        <w:trPr>
          <w:trHeight w:val="300"/>
        </w:trPr>
        <w:tc>
          <w:tcPr>
            <w:tcW w:w="2322" w:type="dxa"/>
            <w:tcBorders>
              <w:top w:val="single" w:sz="4" w:space="0" w:color="auto"/>
              <w:left w:val="nil"/>
              <w:bottom w:val="nil"/>
              <w:right w:val="nil"/>
            </w:tcBorders>
            <w:noWrap/>
            <w:vAlign w:val="center"/>
            <w:hideMark/>
          </w:tcPr>
          <w:p w:rsidR="00164C4A" w:rsidRDefault="00164C4A" w:rsidP="00164C4A"/>
        </w:tc>
        <w:tc>
          <w:tcPr>
            <w:tcW w:w="810" w:type="dxa"/>
            <w:tcBorders>
              <w:top w:val="single" w:sz="4" w:space="0" w:color="auto"/>
              <w:left w:val="nil"/>
              <w:bottom w:val="single" w:sz="4" w:space="0" w:color="auto"/>
              <w:right w:val="nil"/>
            </w:tcBorders>
            <w:noWrap/>
            <w:vAlign w:val="center"/>
            <w:hideMark/>
          </w:tcPr>
          <w:p w:rsidR="00164C4A" w:rsidRDefault="00164C4A" w:rsidP="00164C4A">
            <w:pPr>
              <w:spacing w:after="160" w:line="256" w:lineRule="auto"/>
              <w:rPr>
                <w:rFonts w:eastAsiaTheme="minorHAnsi"/>
                <w:sz w:val="20"/>
                <w:szCs w:val="20"/>
                <w:lang w:eastAsia="en-US"/>
              </w:rPr>
            </w:pPr>
          </w:p>
        </w:tc>
        <w:tc>
          <w:tcPr>
            <w:tcW w:w="3150" w:type="dxa"/>
            <w:tcBorders>
              <w:top w:val="single" w:sz="4" w:space="0" w:color="auto"/>
              <w:left w:val="nil"/>
              <w:bottom w:val="single" w:sz="4" w:space="0" w:color="auto"/>
              <w:right w:val="nil"/>
            </w:tcBorders>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HOMA-IR</w:t>
            </w:r>
          </w:p>
        </w:tc>
        <w:tc>
          <w:tcPr>
            <w:tcW w:w="3150" w:type="dxa"/>
            <w:tcBorders>
              <w:top w:val="single" w:sz="4" w:space="0" w:color="auto"/>
              <w:left w:val="nil"/>
              <w:bottom w:val="single" w:sz="4" w:space="0" w:color="auto"/>
              <w:right w:val="nil"/>
            </w:tcBorders>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TG/HDL-C</w:t>
            </w:r>
          </w:p>
        </w:tc>
        <w:tc>
          <w:tcPr>
            <w:tcW w:w="3240" w:type="dxa"/>
            <w:tcBorders>
              <w:top w:val="single" w:sz="4" w:space="0" w:color="auto"/>
              <w:left w:val="nil"/>
              <w:bottom w:val="single" w:sz="4" w:space="0" w:color="auto"/>
              <w:right w:val="nil"/>
            </w:tcBorders>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TyG</w:t>
            </w:r>
          </w:p>
        </w:tc>
      </w:tr>
      <w:tr w:rsidR="00164C4A" w:rsidTr="00164C4A">
        <w:trPr>
          <w:trHeight w:val="300"/>
        </w:trPr>
        <w:tc>
          <w:tcPr>
            <w:tcW w:w="2322" w:type="dxa"/>
            <w:tcBorders>
              <w:top w:val="nil"/>
              <w:left w:val="nil"/>
              <w:bottom w:val="single" w:sz="4" w:space="0" w:color="auto"/>
              <w:right w:val="nil"/>
            </w:tcBorders>
            <w:noWrap/>
            <w:vAlign w:val="center"/>
            <w:hideMark/>
          </w:tcPr>
          <w:p w:rsidR="00164C4A" w:rsidRDefault="00164C4A" w:rsidP="00164C4A">
            <w:pPr>
              <w:rPr>
                <w:rFonts w:ascii="Arial" w:eastAsia="Times New Roman" w:hAnsi="Arial" w:cs="Arial"/>
                <w:color w:val="000000"/>
                <w:sz w:val="20"/>
                <w:szCs w:val="20"/>
              </w:rPr>
            </w:pPr>
          </w:p>
        </w:tc>
        <w:tc>
          <w:tcPr>
            <w:tcW w:w="810" w:type="dxa"/>
            <w:tcBorders>
              <w:top w:val="nil"/>
              <w:left w:val="nil"/>
              <w:bottom w:val="single" w:sz="4" w:space="0" w:color="auto"/>
              <w:right w:val="nil"/>
            </w:tcBorders>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n</w:t>
            </w:r>
          </w:p>
        </w:tc>
        <w:tc>
          <w:tcPr>
            <w:tcW w:w="3150" w:type="dxa"/>
            <w:tcBorders>
              <w:top w:val="nil"/>
              <w:left w:val="nil"/>
              <w:bottom w:val="single" w:sz="4" w:space="0" w:color="auto"/>
              <w:right w:val="nil"/>
            </w:tcBorders>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Odds Ratio (95% CI) for high cfPWV (&gt;75</w:t>
            </w:r>
            <w:r>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percentile) per SD </w:t>
            </w:r>
          </w:p>
        </w:tc>
        <w:tc>
          <w:tcPr>
            <w:tcW w:w="3150" w:type="dxa"/>
            <w:tcBorders>
              <w:top w:val="nil"/>
              <w:left w:val="nil"/>
              <w:bottom w:val="single" w:sz="4" w:space="0" w:color="auto"/>
              <w:right w:val="nil"/>
            </w:tcBorders>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Odds Ratio (95% CI) for high cfPWV (&gt;75</w:t>
            </w:r>
            <w:r>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percentile) per SD </w:t>
            </w:r>
          </w:p>
        </w:tc>
        <w:tc>
          <w:tcPr>
            <w:tcW w:w="3240" w:type="dxa"/>
            <w:tcBorders>
              <w:top w:val="nil"/>
              <w:left w:val="nil"/>
              <w:bottom w:val="single" w:sz="4" w:space="0" w:color="auto"/>
              <w:right w:val="nil"/>
            </w:tcBorders>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Odds Ratio (95% CI) for high cfPWV (&gt;75</w:t>
            </w:r>
            <w:r>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percentile) per SD</w:t>
            </w:r>
          </w:p>
        </w:tc>
      </w:tr>
      <w:tr w:rsidR="00164C4A" w:rsidTr="00164C4A">
        <w:trPr>
          <w:trHeight w:val="300"/>
        </w:trPr>
        <w:tc>
          <w:tcPr>
            <w:tcW w:w="2322"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Overall</w:t>
            </w:r>
          </w:p>
        </w:tc>
        <w:tc>
          <w:tcPr>
            <w:tcW w:w="81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2571</w:t>
            </w:r>
          </w:p>
        </w:tc>
        <w:tc>
          <w:tcPr>
            <w:tcW w:w="315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1.12 (1.02,1.23)</w:t>
            </w:r>
          </w:p>
        </w:tc>
        <w:tc>
          <w:tcPr>
            <w:tcW w:w="315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1.18 (1.08,1.29)</w:t>
            </w:r>
          </w:p>
        </w:tc>
        <w:tc>
          <w:tcPr>
            <w:tcW w:w="3240" w:type="dxa"/>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1.21 (1.11,1.32)</w:t>
            </w:r>
          </w:p>
        </w:tc>
      </w:tr>
      <w:tr w:rsidR="00164C4A" w:rsidTr="00164C4A">
        <w:trPr>
          <w:trHeight w:val="300"/>
        </w:trPr>
        <w:tc>
          <w:tcPr>
            <w:tcW w:w="2322"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Men</w:t>
            </w:r>
          </w:p>
        </w:tc>
        <w:tc>
          <w:tcPr>
            <w:tcW w:w="81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957</w:t>
            </w:r>
          </w:p>
        </w:tc>
        <w:tc>
          <w:tcPr>
            <w:tcW w:w="315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1.00 (0.86,1.15)</w:t>
            </w:r>
          </w:p>
        </w:tc>
        <w:tc>
          <w:tcPr>
            <w:tcW w:w="315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1.10 (0.96,1.27)</w:t>
            </w:r>
          </w:p>
        </w:tc>
        <w:tc>
          <w:tcPr>
            <w:tcW w:w="3240" w:type="dxa"/>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1.14 (0.99,1.3)</w:t>
            </w:r>
          </w:p>
        </w:tc>
      </w:tr>
      <w:tr w:rsidR="00164C4A" w:rsidTr="00164C4A">
        <w:trPr>
          <w:trHeight w:val="300"/>
        </w:trPr>
        <w:tc>
          <w:tcPr>
            <w:tcW w:w="2322"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Women</w:t>
            </w:r>
          </w:p>
        </w:tc>
        <w:tc>
          <w:tcPr>
            <w:tcW w:w="81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1614</w:t>
            </w:r>
          </w:p>
        </w:tc>
        <w:tc>
          <w:tcPr>
            <w:tcW w:w="315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1.23 (1.09,1.39)</w:t>
            </w:r>
          </w:p>
        </w:tc>
        <w:tc>
          <w:tcPr>
            <w:tcW w:w="3150" w:type="dxa"/>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1.24 (1.10,1.40)</w:t>
            </w:r>
          </w:p>
        </w:tc>
        <w:tc>
          <w:tcPr>
            <w:tcW w:w="3240" w:type="dxa"/>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1.26 (1.12,1.42)</w:t>
            </w:r>
          </w:p>
        </w:tc>
      </w:tr>
      <w:tr w:rsidR="00164C4A" w:rsidTr="00164C4A">
        <w:trPr>
          <w:trHeight w:val="300"/>
        </w:trPr>
        <w:tc>
          <w:tcPr>
            <w:tcW w:w="2322" w:type="dxa"/>
            <w:tcBorders>
              <w:top w:val="nil"/>
              <w:left w:val="nil"/>
              <w:bottom w:val="single" w:sz="4" w:space="0" w:color="auto"/>
              <w:right w:val="nil"/>
            </w:tcBorders>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Test for interaction</w:t>
            </w:r>
          </w:p>
        </w:tc>
        <w:tc>
          <w:tcPr>
            <w:tcW w:w="810" w:type="dxa"/>
            <w:tcBorders>
              <w:top w:val="nil"/>
              <w:left w:val="nil"/>
              <w:bottom w:val="single" w:sz="4" w:space="0" w:color="auto"/>
              <w:right w:val="nil"/>
            </w:tcBorders>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2571</w:t>
            </w:r>
          </w:p>
        </w:tc>
        <w:tc>
          <w:tcPr>
            <w:tcW w:w="3150" w:type="dxa"/>
            <w:tcBorders>
              <w:top w:val="nil"/>
              <w:left w:val="nil"/>
              <w:bottom w:val="single" w:sz="4" w:space="0" w:color="auto"/>
              <w:right w:val="nil"/>
            </w:tcBorders>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p=0.03</w:t>
            </w:r>
          </w:p>
        </w:tc>
        <w:tc>
          <w:tcPr>
            <w:tcW w:w="3150" w:type="dxa"/>
            <w:tcBorders>
              <w:top w:val="nil"/>
              <w:left w:val="nil"/>
              <w:bottom w:val="single" w:sz="4" w:space="0" w:color="auto"/>
              <w:right w:val="nil"/>
            </w:tcBorders>
            <w:noWrap/>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p=0.09</w:t>
            </w:r>
          </w:p>
        </w:tc>
        <w:tc>
          <w:tcPr>
            <w:tcW w:w="3240" w:type="dxa"/>
            <w:tcBorders>
              <w:top w:val="nil"/>
              <w:left w:val="nil"/>
              <w:bottom w:val="single" w:sz="4" w:space="0" w:color="auto"/>
              <w:right w:val="nil"/>
            </w:tcBorders>
            <w:vAlign w:val="center"/>
            <w:hideMark/>
          </w:tcPr>
          <w:p w:rsidR="00164C4A" w:rsidRDefault="00164C4A" w:rsidP="00164C4A">
            <w:pPr>
              <w:spacing w:line="256" w:lineRule="auto"/>
              <w:jc w:val="center"/>
              <w:rPr>
                <w:rFonts w:ascii="Arial" w:eastAsia="Times New Roman" w:hAnsi="Arial" w:cs="Arial"/>
                <w:color w:val="000000"/>
                <w:sz w:val="20"/>
                <w:szCs w:val="20"/>
              </w:rPr>
            </w:pPr>
            <w:r>
              <w:rPr>
                <w:rFonts w:ascii="Arial" w:eastAsia="Times New Roman" w:hAnsi="Arial" w:cs="Arial"/>
                <w:color w:val="000000"/>
                <w:sz w:val="20"/>
                <w:szCs w:val="20"/>
              </w:rPr>
              <w:t>p=0.10</w:t>
            </w:r>
          </w:p>
        </w:tc>
      </w:tr>
    </w:tbl>
    <w:p w:rsidR="00164C4A" w:rsidRDefault="00164C4A" w:rsidP="00164C4A">
      <w:pPr>
        <w:pStyle w:val="TableNotes"/>
        <w:spacing w:before="0"/>
        <w:rPr>
          <w:rFonts w:cs="Times New Roman (Body CS)"/>
          <w:b/>
        </w:rPr>
      </w:pPr>
    </w:p>
    <w:p w:rsidR="00164C4A" w:rsidRDefault="00164C4A" w:rsidP="00164C4A">
      <w:pPr>
        <w:pStyle w:val="TableNotes"/>
        <w:spacing w:before="0"/>
      </w:pPr>
      <w:r>
        <w:rPr>
          <w:b/>
        </w:rPr>
        <w:t xml:space="preserve">Abbreviations: </w:t>
      </w:r>
      <w:r>
        <w:t xml:space="preserve">HOMA-IR, homeostatic model assessment of insulin resistance; TG/HDL-C, triglyceride to high-density lipoprotein cholesterol ratio; TyG, triglyceride and glucose index; cfPWV, carotid-femoral pulse wave velocity. </w:t>
      </w:r>
      <w:r>
        <w:rPr>
          <w:b/>
        </w:rPr>
        <w:t xml:space="preserve">Footnotes: </w:t>
      </w:r>
      <w:r>
        <w:t xml:space="preserve">The odds ratio and 95% CI are interpreted as the odds of high, vs non-high, aortic stiffness per standard deviation (per SD) increment in insulin resistance index. The test for interaction is the p-value of the product term of insulin resistance index, that has been standardized, and gender. Estimates are adjusted for age, gender (except for gender-specific estimates), and race/study-site. The standard deviation was 1.6 for HOMA-IR, 1.3 for TG/HDL-C, and 0.4 for TyG. </w:t>
      </w:r>
    </w:p>
    <w:p w:rsidR="00164C4A" w:rsidRDefault="00164C4A" w:rsidP="002A2A46">
      <w:pPr>
        <w:pStyle w:val="Caption"/>
        <w:spacing w:after="0"/>
        <w:sectPr w:rsidR="00164C4A" w:rsidSect="006D58E6">
          <w:pgSz w:w="15840" w:h="12240" w:orient="landscape"/>
          <w:pgMar w:top="1440" w:right="1440" w:bottom="1440" w:left="1440" w:header="720" w:footer="720" w:gutter="0"/>
          <w:cols w:space="720"/>
          <w:docGrid w:linePitch="360"/>
        </w:sectPr>
      </w:pPr>
    </w:p>
    <w:p w:rsidR="00600DD3" w:rsidRPr="000F3D6E" w:rsidRDefault="00600DD3" w:rsidP="00600DD3">
      <w:pPr>
        <w:rPr>
          <w:rFonts w:ascii="Arial" w:eastAsiaTheme="minorHAnsi" w:hAnsi="Arial"/>
          <w:bCs/>
          <w:sz w:val="20"/>
          <w:szCs w:val="18"/>
          <w:lang w:eastAsia="en-US"/>
        </w:rPr>
      </w:pPr>
      <w:r w:rsidRPr="000F3D6E">
        <w:rPr>
          <w:rFonts w:ascii="Arial" w:eastAsiaTheme="minorHAnsi" w:hAnsi="Arial"/>
          <w:bCs/>
          <w:sz w:val="20"/>
          <w:szCs w:val="18"/>
          <w:lang w:eastAsia="en-US"/>
        </w:rPr>
        <w:lastRenderedPageBreak/>
        <w:t xml:space="preserve">Table </w:t>
      </w:r>
      <w:r w:rsidR="00623B0A">
        <w:rPr>
          <w:rFonts w:ascii="Arial" w:eastAsiaTheme="minorHAnsi" w:hAnsi="Arial"/>
          <w:bCs/>
          <w:sz w:val="20"/>
          <w:szCs w:val="18"/>
          <w:lang w:eastAsia="en-US"/>
        </w:rPr>
        <w:t>S</w:t>
      </w:r>
      <w:r>
        <w:rPr>
          <w:rFonts w:ascii="Arial" w:eastAsiaTheme="minorHAnsi" w:hAnsi="Arial"/>
          <w:bCs/>
          <w:sz w:val="20"/>
          <w:szCs w:val="18"/>
          <w:lang w:eastAsia="en-US"/>
        </w:rPr>
        <w:t>6</w:t>
      </w:r>
      <w:r w:rsidRPr="000F3D6E">
        <w:rPr>
          <w:rFonts w:ascii="Arial" w:eastAsiaTheme="minorHAnsi" w:hAnsi="Arial"/>
          <w:bCs/>
          <w:sz w:val="20"/>
          <w:szCs w:val="18"/>
          <w:lang w:eastAsia="en-US"/>
        </w:rPr>
        <w:t xml:space="preserve">. Association of aortic stiffness (Visit 5, 2011-2013) and change in insulin resistance indexes (Visit 1, 1987-1989 to Visit 5, 2011-2013) in men and women ages 67-90 (Visit 5, 2011-2013). </w:t>
      </w:r>
    </w:p>
    <w:p w:rsidR="00600DD3" w:rsidRPr="000F3D6E" w:rsidRDefault="00600DD3" w:rsidP="00600DD3">
      <w:pPr>
        <w:rPr>
          <w:lang w:eastAsia="en-US"/>
        </w:rPr>
      </w:pPr>
    </w:p>
    <w:tbl>
      <w:tblPr>
        <w:tblW w:w="13770" w:type="dxa"/>
        <w:tblLayout w:type="fixed"/>
        <w:tblLook w:val="04A0" w:firstRow="1" w:lastRow="0" w:firstColumn="1" w:lastColumn="0" w:noHBand="0" w:noVBand="1"/>
      </w:tblPr>
      <w:tblGrid>
        <w:gridCol w:w="1800"/>
        <w:gridCol w:w="720"/>
        <w:gridCol w:w="1800"/>
        <w:gridCol w:w="1800"/>
        <w:gridCol w:w="236"/>
        <w:gridCol w:w="1744"/>
        <w:gridCol w:w="1800"/>
        <w:gridCol w:w="270"/>
        <w:gridCol w:w="1800"/>
        <w:gridCol w:w="1800"/>
      </w:tblGrid>
      <w:tr w:rsidR="00600DD3" w:rsidRPr="000F3D6E" w:rsidTr="00600DD3">
        <w:trPr>
          <w:trHeight w:val="340"/>
        </w:trPr>
        <w:tc>
          <w:tcPr>
            <w:tcW w:w="1800" w:type="dxa"/>
            <w:tcBorders>
              <w:top w:val="single" w:sz="8" w:space="0" w:color="auto"/>
              <w:left w:val="nil"/>
              <w:bottom w:val="nil"/>
              <w:right w:val="nil"/>
            </w:tcBorders>
            <w:noWrap/>
            <w:vAlign w:val="center"/>
            <w:hideMark/>
          </w:tcPr>
          <w:p w:rsidR="00600DD3" w:rsidRPr="000F3D6E" w:rsidRDefault="00600DD3" w:rsidP="00600DD3">
            <w:pPr>
              <w:rPr>
                <w:lang w:eastAsia="en-US"/>
              </w:rPr>
            </w:pPr>
          </w:p>
        </w:tc>
        <w:tc>
          <w:tcPr>
            <w:tcW w:w="720" w:type="dxa"/>
            <w:tcBorders>
              <w:top w:val="single" w:sz="8" w:space="0" w:color="auto"/>
              <w:left w:val="nil"/>
              <w:bottom w:val="nil"/>
              <w:right w:val="nil"/>
            </w:tcBorders>
            <w:noWrap/>
            <w:vAlign w:val="center"/>
            <w:hideMark/>
          </w:tcPr>
          <w:p w:rsidR="00600DD3" w:rsidRPr="000F3D6E" w:rsidRDefault="00600DD3" w:rsidP="00600DD3">
            <w:pPr>
              <w:spacing w:after="160" w:line="256" w:lineRule="auto"/>
              <w:rPr>
                <w:rFonts w:eastAsiaTheme="minorHAnsi"/>
                <w:sz w:val="20"/>
                <w:szCs w:val="20"/>
                <w:lang w:eastAsia="en-US"/>
              </w:rPr>
            </w:pPr>
          </w:p>
        </w:tc>
        <w:tc>
          <w:tcPr>
            <w:tcW w:w="3600" w:type="dxa"/>
            <w:gridSpan w:val="2"/>
            <w:tcBorders>
              <w:top w:val="single" w:sz="8" w:space="0" w:color="auto"/>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log-HOMA-IR</w:t>
            </w:r>
          </w:p>
        </w:tc>
        <w:tc>
          <w:tcPr>
            <w:tcW w:w="236" w:type="dxa"/>
            <w:tcBorders>
              <w:top w:val="single" w:sz="8" w:space="0" w:color="auto"/>
              <w:left w:val="nil"/>
              <w:bottom w:val="nil"/>
              <w:right w:val="nil"/>
            </w:tcBorders>
            <w:vAlign w:val="center"/>
            <w:hideMark/>
          </w:tcPr>
          <w:p w:rsidR="00600DD3" w:rsidRPr="000F3D6E" w:rsidRDefault="00600DD3" w:rsidP="00600DD3">
            <w:pPr>
              <w:rPr>
                <w:rFonts w:ascii="Arial" w:eastAsia="Times New Roman" w:hAnsi="Arial" w:cs="Arial"/>
                <w:color w:val="000000"/>
                <w:sz w:val="20"/>
                <w:szCs w:val="20"/>
              </w:rPr>
            </w:pPr>
          </w:p>
        </w:tc>
        <w:tc>
          <w:tcPr>
            <w:tcW w:w="3544" w:type="dxa"/>
            <w:gridSpan w:val="2"/>
            <w:tcBorders>
              <w:top w:val="single" w:sz="8" w:space="0" w:color="auto"/>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log-TG/HDL-C</w:t>
            </w:r>
          </w:p>
        </w:tc>
        <w:tc>
          <w:tcPr>
            <w:tcW w:w="270" w:type="dxa"/>
            <w:tcBorders>
              <w:top w:val="single" w:sz="8" w:space="0" w:color="auto"/>
              <w:left w:val="nil"/>
              <w:bottom w:val="nil"/>
              <w:right w:val="nil"/>
            </w:tcBorders>
            <w:noWrap/>
            <w:vAlign w:val="center"/>
            <w:hideMark/>
          </w:tcPr>
          <w:p w:rsidR="00600DD3" w:rsidRPr="000F3D6E" w:rsidRDefault="00600DD3" w:rsidP="00600DD3">
            <w:pPr>
              <w:rPr>
                <w:rFonts w:ascii="Arial" w:eastAsia="Times New Roman" w:hAnsi="Arial" w:cs="Arial"/>
                <w:color w:val="000000"/>
                <w:sz w:val="20"/>
                <w:szCs w:val="20"/>
              </w:rPr>
            </w:pPr>
          </w:p>
        </w:tc>
        <w:tc>
          <w:tcPr>
            <w:tcW w:w="3600" w:type="dxa"/>
            <w:gridSpan w:val="2"/>
            <w:tcBorders>
              <w:top w:val="single" w:sz="8" w:space="0" w:color="auto"/>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log-TyG</w:t>
            </w:r>
          </w:p>
        </w:tc>
      </w:tr>
      <w:tr w:rsidR="00600DD3" w:rsidRPr="000F3D6E" w:rsidTr="00600DD3">
        <w:trPr>
          <w:trHeight w:val="574"/>
        </w:trPr>
        <w:tc>
          <w:tcPr>
            <w:tcW w:w="1800" w:type="dxa"/>
            <w:vAlign w:val="center"/>
            <w:hideMark/>
          </w:tcPr>
          <w:p w:rsidR="00600DD3" w:rsidRPr="000F3D6E" w:rsidRDefault="00600DD3" w:rsidP="00600DD3">
            <w:pPr>
              <w:rPr>
                <w:rFonts w:ascii="Arial" w:eastAsia="Times New Roman" w:hAnsi="Arial" w:cs="Arial"/>
                <w:color w:val="000000"/>
                <w:sz w:val="20"/>
                <w:szCs w:val="20"/>
              </w:rPr>
            </w:pPr>
          </w:p>
        </w:tc>
        <w:tc>
          <w:tcPr>
            <w:tcW w:w="720" w:type="dxa"/>
            <w:noWrap/>
            <w:vAlign w:val="center"/>
            <w:hideMark/>
          </w:tcPr>
          <w:p w:rsidR="00600DD3" w:rsidRPr="000F3D6E" w:rsidRDefault="00600DD3" w:rsidP="00600DD3">
            <w:pPr>
              <w:spacing w:line="256" w:lineRule="auto"/>
              <w:rPr>
                <w:rFonts w:eastAsiaTheme="minorHAnsi"/>
                <w:sz w:val="20"/>
                <w:szCs w:val="20"/>
                <w:lang w:eastAsia="en-US"/>
              </w:rPr>
            </w:pPr>
          </w:p>
        </w:tc>
        <w:tc>
          <w:tcPr>
            <w:tcW w:w="1800" w:type="dxa"/>
            <w:tcBorders>
              <w:top w:val="nil"/>
              <w:left w:val="nil"/>
              <w:bottom w:val="single" w:sz="8" w:space="0" w:color="auto"/>
              <w:right w:val="nil"/>
            </w:tcBorders>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Time in study</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 to 9 years</w:t>
            </w:r>
          </w:p>
        </w:tc>
        <w:tc>
          <w:tcPr>
            <w:tcW w:w="1800" w:type="dxa"/>
            <w:tcBorders>
              <w:top w:val="nil"/>
              <w:left w:val="nil"/>
              <w:bottom w:val="single" w:sz="8" w:space="0" w:color="auto"/>
              <w:right w:val="nil"/>
            </w:tcBorders>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Time in study</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≥9 years</w:t>
            </w:r>
          </w:p>
        </w:tc>
        <w:tc>
          <w:tcPr>
            <w:tcW w:w="236" w:type="dxa"/>
            <w:vAlign w:val="center"/>
            <w:hideMark/>
          </w:tcPr>
          <w:p w:rsidR="00600DD3" w:rsidRPr="000F3D6E" w:rsidRDefault="00600DD3" w:rsidP="00600DD3">
            <w:pPr>
              <w:rPr>
                <w:rFonts w:ascii="Arial" w:eastAsia="Times New Roman" w:hAnsi="Arial" w:cs="Arial"/>
                <w:color w:val="000000"/>
                <w:sz w:val="20"/>
                <w:szCs w:val="20"/>
              </w:rPr>
            </w:pPr>
          </w:p>
        </w:tc>
        <w:tc>
          <w:tcPr>
            <w:tcW w:w="1744" w:type="dxa"/>
            <w:tcBorders>
              <w:top w:val="nil"/>
              <w:left w:val="nil"/>
              <w:bottom w:val="single" w:sz="8" w:space="0" w:color="auto"/>
              <w:right w:val="nil"/>
            </w:tcBorders>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Time in study</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 to 9 years</w:t>
            </w:r>
          </w:p>
        </w:tc>
        <w:tc>
          <w:tcPr>
            <w:tcW w:w="1800" w:type="dxa"/>
            <w:tcBorders>
              <w:top w:val="nil"/>
              <w:left w:val="nil"/>
              <w:bottom w:val="single" w:sz="8" w:space="0" w:color="auto"/>
              <w:right w:val="nil"/>
            </w:tcBorders>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Time in study</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≥9 years</w:t>
            </w:r>
          </w:p>
        </w:tc>
        <w:tc>
          <w:tcPr>
            <w:tcW w:w="270" w:type="dxa"/>
            <w:noWrap/>
            <w:vAlign w:val="center"/>
            <w:hideMark/>
          </w:tcPr>
          <w:p w:rsidR="00600DD3" w:rsidRPr="000F3D6E" w:rsidRDefault="00600DD3" w:rsidP="00600DD3">
            <w:pPr>
              <w:rPr>
                <w:rFonts w:ascii="Arial" w:eastAsia="Times New Roman" w:hAnsi="Arial" w:cs="Arial"/>
                <w:color w:val="000000"/>
                <w:sz w:val="20"/>
                <w:szCs w:val="20"/>
              </w:rPr>
            </w:pP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Time in study</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 to 9 years</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Time in study</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≥9 years</w:t>
            </w:r>
          </w:p>
        </w:tc>
      </w:tr>
      <w:tr w:rsidR="00600DD3" w:rsidRPr="000F3D6E" w:rsidTr="00600DD3">
        <w:trPr>
          <w:trHeight w:val="610"/>
        </w:trPr>
        <w:tc>
          <w:tcPr>
            <w:tcW w:w="1800" w:type="dxa"/>
            <w:tcBorders>
              <w:top w:val="nil"/>
              <w:left w:val="nil"/>
              <w:bottom w:val="single" w:sz="8" w:space="0" w:color="auto"/>
              <w:right w:val="nil"/>
            </w:tcBorders>
            <w:vAlign w:val="center"/>
            <w:hideMark/>
          </w:tcPr>
          <w:p w:rsidR="00600DD3" w:rsidRPr="000F3D6E" w:rsidRDefault="00600DD3" w:rsidP="00600DD3">
            <w:pPr>
              <w:rPr>
                <w:rFonts w:ascii="Arial" w:eastAsia="Times New Roman" w:hAnsi="Arial" w:cs="Arial"/>
                <w:color w:val="000000"/>
                <w:sz w:val="20"/>
                <w:szCs w:val="20"/>
              </w:rPr>
            </w:pPr>
          </w:p>
        </w:tc>
        <w:tc>
          <w:tcPr>
            <w:tcW w:w="72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n</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Annual rate of</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change (95% CI)</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Annual rate of</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change (95% CI)</w:t>
            </w:r>
          </w:p>
        </w:tc>
        <w:tc>
          <w:tcPr>
            <w:tcW w:w="236" w:type="dxa"/>
            <w:tcBorders>
              <w:top w:val="nil"/>
              <w:left w:val="nil"/>
              <w:bottom w:val="single" w:sz="8" w:space="0" w:color="auto"/>
              <w:right w:val="nil"/>
            </w:tcBorders>
            <w:vAlign w:val="center"/>
            <w:hideMark/>
          </w:tcPr>
          <w:p w:rsidR="00600DD3" w:rsidRPr="000F3D6E" w:rsidRDefault="00600DD3" w:rsidP="00600DD3">
            <w:pPr>
              <w:rPr>
                <w:rFonts w:ascii="Arial" w:eastAsia="Times New Roman" w:hAnsi="Arial" w:cs="Arial"/>
                <w:color w:val="000000"/>
                <w:sz w:val="20"/>
                <w:szCs w:val="20"/>
              </w:rPr>
            </w:pPr>
          </w:p>
        </w:tc>
        <w:tc>
          <w:tcPr>
            <w:tcW w:w="1744"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Annual rate of</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change (95% CI)</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Annual rate of</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change (95% CI)</w:t>
            </w:r>
          </w:p>
        </w:tc>
        <w:tc>
          <w:tcPr>
            <w:tcW w:w="270" w:type="dxa"/>
            <w:tcBorders>
              <w:top w:val="nil"/>
              <w:left w:val="nil"/>
              <w:bottom w:val="single" w:sz="8" w:space="0" w:color="auto"/>
              <w:right w:val="nil"/>
            </w:tcBorders>
            <w:noWrap/>
            <w:vAlign w:val="center"/>
            <w:hideMark/>
          </w:tcPr>
          <w:p w:rsidR="00600DD3" w:rsidRPr="000F3D6E" w:rsidRDefault="00600DD3" w:rsidP="00600DD3">
            <w:pPr>
              <w:rPr>
                <w:rFonts w:ascii="Arial" w:eastAsia="Times New Roman" w:hAnsi="Arial" w:cs="Arial"/>
                <w:color w:val="000000"/>
                <w:sz w:val="20"/>
                <w:szCs w:val="20"/>
              </w:rPr>
            </w:pP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Annual rate of</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change (95% CI)</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Annual rate of</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change (95% CI)</w:t>
            </w:r>
          </w:p>
        </w:tc>
      </w:tr>
      <w:tr w:rsidR="00600DD3" w:rsidRPr="000F3D6E" w:rsidTr="00600DD3">
        <w:trPr>
          <w:trHeight w:val="601"/>
        </w:trPr>
        <w:tc>
          <w:tcPr>
            <w:tcW w:w="180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Overall</w:t>
            </w:r>
          </w:p>
        </w:tc>
        <w:tc>
          <w:tcPr>
            <w:tcW w:w="72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2350</w:t>
            </w:r>
          </w:p>
        </w:tc>
        <w:tc>
          <w:tcPr>
            <w:tcW w:w="180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0.026</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(0.023,0.029)</w:t>
            </w:r>
          </w:p>
        </w:tc>
        <w:tc>
          <w:tcPr>
            <w:tcW w:w="180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0.011</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(0.009,0.013)</w:t>
            </w:r>
          </w:p>
        </w:tc>
        <w:tc>
          <w:tcPr>
            <w:tcW w:w="236" w:type="dxa"/>
            <w:vAlign w:val="center"/>
            <w:hideMark/>
          </w:tcPr>
          <w:p w:rsidR="00600DD3" w:rsidRPr="000F3D6E" w:rsidRDefault="00600DD3" w:rsidP="00600DD3">
            <w:pPr>
              <w:rPr>
                <w:rFonts w:ascii="Arial" w:eastAsia="Times New Roman" w:hAnsi="Arial" w:cs="Arial"/>
                <w:color w:val="000000"/>
                <w:sz w:val="20"/>
                <w:szCs w:val="20"/>
              </w:rPr>
            </w:pPr>
          </w:p>
        </w:tc>
        <w:tc>
          <w:tcPr>
            <w:tcW w:w="1744"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0.023</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(0.021,0.025)</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-0.008</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(-0.010,-0.007)</w:t>
            </w:r>
          </w:p>
        </w:tc>
        <w:tc>
          <w:tcPr>
            <w:tcW w:w="270" w:type="dxa"/>
            <w:noWrap/>
            <w:vAlign w:val="center"/>
            <w:hideMark/>
          </w:tcPr>
          <w:p w:rsidR="00600DD3" w:rsidRPr="000F3D6E" w:rsidRDefault="00600DD3" w:rsidP="00600DD3">
            <w:pPr>
              <w:rPr>
                <w:rFonts w:ascii="Arial" w:eastAsia="Times New Roman" w:hAnsi="Arial" w:cs="Arial"/>
                <w:color w:val="000000"/>
                <w:sz w:val="20"/>
                <w:szCs w:val="20"/>
              </w:rPr>
            </w:pP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0.003</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(0.002,0.003)</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w:t>
            </w:r>
          </w:p>
        </w:tc>
      </w:tr>
      <w:tr w:rsidR="00600DD3" w:rsidRPr="000F3D6E" w:rsidTr="00600DD3">
        <w:trPr>
          <w:trHeight w:val="630"/>
        </w:trPr>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High cfPWV (</w:t>
            </w:r>
            <m:oMath>
              <m:r>
                <w:rPr>
                  <w:rFonts w:ascii="Cambria Math" w:eastAsia="Times New Roman" w:hAnsi="Cambria Math" w:cs="Arial"/>
                  <w:color w:val="000000"/>
                  <w:sz w:val="20"/>
                  <w:szCs w:val="20"/>
                </w:rPr>
                <m:t>&gt;</m:t>
              </m:r>
            </m:oMath>
            <w:r w:rsidRPr="000F3D6E">
              <w:rPr>
                <w:rFonts w:ascii="Arial" w:eastAsia="Times New Roman" w:hAnsi="Arial" w:cs="Arial"/>
                <w:color w:val="000000"/>
                <w:sz w:val="20"/>
                <w:szCs w:val="20"/>
              </w:rPr>
              <w:t>P75)</w:t>
            </w:r>
          </w:p>
        </w:tc>
        <w:tc>
          <w:tcPr>
            <w:tcW w:w="72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587</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0.030</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(0.024,0.035)</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0.011</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(0.007,0.015)</w:t>
            </w:r>
          </w:p>
        </w:tc>
        <w:tc>
          <w:tcPr>
            <w:tcW w:w="236" w:type="dxa"/>
            <w:vAlign w:val="center"/>
            <w:hideMark/>
          </w:tcPr>
          <w:p w:rsidR="00600DD3" w:rsidRPr="000F3D6E" w:rsidRDefault="00600DD3" w:rsidP="00600DD3">
            <w:pPr>
              <w:rPr>
                <w:rFonts w:ascii="Arial" w:eastAsia="Times New Roman" w:hAnsi="Arial" w:cs="Arial"/>
                <w:color w:val="000000"/>
                <w:sz w:val="20"/>
                <w:szCs w:val="20"/>
              </w:rPr>
            </w:pPr>
          </w:p>
        </w:tc>
        <w:tc>
          <w:tcPr>
            <w:tcW w:w="1744"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0.019</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(0.015,0.024)</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-0.007</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(-0.010,-0.005)</w:t>
            </w:r>
          </w:p>
        </w:tc>
        <w:tc>
          <w:tcPr>
            <w:tcW w:w="270" w:type="dxa"/>
            <w:noWrap/>
            <w:vAlign w:val="center"/>
            <w:hideMark/>
          </w:tcPr>
          <w:p w:rsidR="00600DD3" w:rsidRPr="000F3D6E" w:rsidRDefault="00600DD3" w:rsidP="00600DD3">
            <w:pPr>
              <w:rPr>
                <w:rFonts w:ascii="Arial" w:eastAsia="Times New Roman" w:hAnsi="Arial" w:cs="Arial"/>
                <w:color w:val="000000"/>
                <w:sz w:val="20"/>
                <w:szCs w:val="20"/>
              </w:rPr>
            </w:pPr>
          </w:p>
        </w:tc>
        <w:tc>
          <w:tcPr>
            <w:tcW w:w="180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0.002</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(0.002,0.003)</w:t>
            </w:r>
          </w:p>
        </w:tc>
        <w:tc>
          <w:tcPr>
            <w:tcW w:w="180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w:t>
            </w:r>
          </w:p>
        </w:tc>
      </w:tr>
      <w:tr w:rsidR="00600DD3" w:rsidRPr="000F3D6E" w:rsidTr="00600DD3">
        <w:trPr>
          <w:trHeight w:val="612"/>
        </w:trPr>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Non-High cfPWV (</w:t>
            </w:r>
            <m:oMath>
              <m:r>
                <w:rPr>
                  <w:rFonts w:ascii="Cambria Math" w:eastAsia="Times New Roman" w:hAnsi="Cambria Math" w:cs="Arial"/>
                  <w:color w:val="000000"/>
                  <w:sz w:val="20"/>
                  <w:szCs w:val="20"/>
                </w:rPr>
                <m:t>≤</m:t>
              </m:r>
            </m:oMath>
            <w:r w:rsidRPr="000F3D6E">
              <w:rPr>
                <w:rFonts w:ascii="Arial" w:eastAsia="Times New Roman" w:hAnsi="Arial" w:cs="Arial"/>
                <w:color w:val="000000"/>
                <w:sz w:val="20"/>
                <w:szCs w:val="20"/>
              </w:rPr>
              <w:t>P75)</w:t>
            </w:r>
          </w:p>
        </w:tc>
        <w:tc>
          <w:tcPr>
            <w:tcW w:w="72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1763</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0.025</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(0.021,0.028)</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0.011</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(0.009,0.013)</w:t>
            </w:r>
          </w:p>
        </w:tc>
        <w:tc>
          <w:tcPr>
            <w:tcW w:w="236" w:type="dxa"/>
            <w:vAlign w:val="center"/>
            <w:hideMark/>
          </w:tcPr>
          <w:p w:rsidR="00600DD3" w:rsidRPr="000F3D6E" w:rsidRDefault="00600DD3" w:rsidP="00600DD3">
            <w:pPr>
              <w:rPr>
                <w:rFonts w:ascii="Arial" w:eastAsia="Times New Roman" w:hAnsi="Arial" w:cs="Arial"/>
                <w:color w:val="000000"/>
                <w:sz w:val="20"/>
                <w:szCs w:val="20"/>
              </w:rPr>
            </w:pPr>
          </w:p>
        </w:tc>
        <w:tc>
          <w:tcPr>
            <w:tcW w:w="1744"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0.024</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(0.022,0.026)</w:t>
            </w:r>
          </w:p>
        </w:tc>
        <w:tc>
          <w:tcPr>
            <w:tcW w:w="1800" w:type="dxa"/>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-0.009</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(-0.010,-0.007)</w:t>
            </w:r>
          </w:p>
        </w:tc>
        <w:tc>
          <w:tcPr>
            <w:tcW w:w="270" w:type="dxa"/>
            <w:noWrap/>
            <w:vAlign w:val="center"/>
            <w:hideMark/>
          </w:tcPr>
          <w:p w:rsidR="00600DD3" w:rsidRPr="000F3D6E" w:rsidRDefault="00600DD3" w:rsidP="00600DD3">
            <w:pPr>
              <w:rPr>
                <w:rFonts w:ascii="Arial" w:eastAsia="Times New Roman" w:hAnsi="Arial" w:cs="Arial"/>
                <w:color w:val="000000"/>
                <w:sz w:val="20"/>
                <w:szCs w:val="20"/>
              </w:rPr>
            </w:pPr>
          </w:p>
        </w:tc>
        <w:tc>
          <w:tcPr>
            <w:tcW w:w="180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0.003</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(0.003,0.003)</w:t>
            </w:r>
          </w:p>
        </w:tc>
        <w:tc>
          <w:tcPr>
            <w:tcW w:w="1800" w:type="dxa"/>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w:t>
            </w:r>
          </w:p>
        </w:tc>
      </w:tr>
      <w:tr w:rsidR="00600DD3" w:rsidRPr="000F3D6E" w:rsidTr="00600DD3">
        <w:trPr>
          <w:trHeight w:val="621"/>
        </w:trPr>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Test for</w:t>
            </w:r>
          </w:p>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interaction</w:t>
            </w:r>
          </w:p>
        </w:tc>
        <w:tc>
          <w:tcPr>
            <w:tcW w:w="72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2350</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0.15</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0.31</w:t>
            </w:r>
          </w:p>
        </w:tc>
        <w:tc>
          <w:tcPr>
            <w:tcW w:w="236" w:type="dxa"/>
            <w:tcBorders>
              <w:top w:val="nil"/>
              <w:left w:val="nil"/>
              <w:bottom w:val="single" w:sz="8" w:space="0" w:color="auto"/>
              <w:right w:val="nil"/>
            </w:tcBorders>
            <w:vAlign w:val="center"/>
            <w:hideMark/>
          </w:tcPr>
          <w:p w:rsidR="00600DD3" w:rsidRPr="000F3D6E" w:rsidRDefault="00600DD3" w:rsidP="00600DD3">
            <w:pPr>
              <w:rPr>
                <w:rFonts w:ascii="Arial" w:eastAsia="Times New Roman" w:hAnsi="Arial" w:cs="Arial"/>
                <w:color w:val="000000"/>
                <w:sz w:val="20"/>
                <w:szCs w:val="20"/>
              </w:rPr>
            </w:pPr>
          </w:p>
        </w:tc>
        <w:tc>
          <w:tcPr>
            <w:tcW w:w="1744"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0.06</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0.08</w:t>
            </w:r>
          </w:p>
        </w:tc>
        <w:tc>
          <w:tcPr>
            <w:tcW w:w="270" w:type="dxa"/>
            <w:tcBorders>
              <w:top w:val="nil"/>
              <w:left w:val="nil"/>
              <w:bottom w:val="single" w:sz="8" w:space="0" w:color="auto"/>
              <w:right w:val="nil"/>
            </w:tcBorders>
            <w:noWrap/>
            <w:vAlign w:val="center"/>
            <w:hideMark/>
          </w:tcPr>
          <w:p w:rsidR="00600DD3" w:rsidRPr="000F3D6E" w:rsidRDefault="00600DD3" w:rsidP="00600DD3">
            <w:pPr>
              <w:rPr>
                <w:rFonts w:ascii="Arial" w:eastAsia="Times New Roman" w:hAnsi="Arial" w:cs="Arial"/>
                <w:color w:val="000000"/>
                <w:sz w:val="20"/>
                <w:szCs w:val="20"/>
              </w:rPr>
            </w:pP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0.03</w:t>
            </w:r>
          </w:p>
        </w:tc>
        <w:tc>
          <w:tcPr>
            <w:tcW w:w="1800" w:type="dxa"/>
            <w:tcBorders>
              <w:top w:val="nil"/>
              <w:left w:val="nil"/>
              <w:bottom w:val="single" w:sz="8" w:space="0" w:color="auto"/>
              <w:right w:val="nil"/>
            </w:tcBorders>
            <w:noWrap/>
            <w:vAlign w:val="center"/>
            <w:hideMark/>
          </w:tcPr>
          <w:p w:rsidR="00600DD3" w:rsidRPr="000F3D6E" w:rsidRDefault="00600DD3" w:rsidP="00600DD3">
            <w:pPr>
              <w:spacing w:line="256" w:lineRule="auto"/>
              <w:jc w:val="center"/>
              <w:rPr>
                <w:rFonts w:ascii="Arial" w:eastAsia="Times New Roman" w:hAnsi="Arial" w:cs="Arial"/>
                <w:color w:val="000000"/>
                <w:sz w:val="20"/>
                <w:szCs w:val="20"/>
              </w:rPr>
            </w:pPr>
            <w:r w:rsidRPr="000F3D6E">
              <w:rPr>
                <w:rFonts w:ascii="Arial" w:eastAsia="Times New Roman" w:hAnsi="Arial" w:cs="Arial"/>
                <w:color w:val="000000"/>
                <w:sz w:val="20"/>
                <w:szCs w:val="20"/>
              </w:rPr>
              <w:t>0.08</w:t>
            </w:r>
          </w:p>
        </w:tc>
      </w:tr>
    </w:tbl>
    <w:p w:rsidR="00600DD3" w:rsidRPr="000F3D6E" w:rsidRDefault="00600DD3" w:rsidP="00600DD3">
      <w:pPr>
        <w:rPr>
          <w:rFonts w:ascii="Arial" w:eastAsiaTheme="minorHAnsi" w:hAnsi="Arial"/>
          <w:b/>
          <w:sz w:val="20"/>
          <w:szCs w:val="22"/>
          <w:lang w:eastAsia="en-US"/>
        </w:rPr>
      </w:pPr>
    </w:p>
    <w:p w:rsidR="00600DD3" w:rsidRPr="000F3D6E" w:rsidRDefault="00600DD3" w:rsidP="00600DD3">
      <w:pPr>
        <w:rPr>
          <w:rFonts w:ascii="Arial" w:eastAsiaTheme="minorHAnsi" w:hAnsi="Arial" w:cs="Arial"/>
          <w:sz w:val="20"/>
          <w:szCs w:val="20"/>
          <w:lang w:eastAsia="en-US"/>
        </w:rPr>
      </w:pPr>
      <w:r w:rsidRPr="000F3D6E">
        <w:rPr>
          <w:rFonts w:ascii="Arial" w:eastAsiaTheme="minorHAnsi" w:hAnsi="Arial"/>
          <w:b/>
          <w:sz w:val="20"/>
          <w:szCs w:val="22"/>
          <w:lang w:eastAsia="en-US"/>
        </w:rPr>
        <w:t xml:space="preserve">Abbreviations: </w:t>
      </w:r>
      <w:r w:rsidRPr="000F3D6E">
        <w:rPr>
          <w:rFonts w:ascii="Arial" w:eastAsiaTheme="minorHAnsi" w:hAnsi="Arial"/>
          <w:sz w:val="20"/>
          <w:szCs w:val="22"/>
          <w:lang w:eastAsia="en-US"/>
        </w:rPr>
        <w:t>HOMA-IR, homeostatic model assessment of insulin resistance; TG/HDL-C, triglyceride to high-density lipoprotein cholesterol ratio; TyG, triglyceride and glucose index; P75, 75</w:t>
      </w:r>
      <w:r w:rsidRPr="000F3D6E">
        <w:rPr>
          <w:rFonts w:ascii="Arial" w:eastAsiaTheme="minorHAnsi" w:hAnsi="Arial"/>
          <w:sz w:val="20"/>
          <w:szCs w:val="22"/>
          <w:vertAlign w:val="superscript"/>
          <w:lang w:eastAsia="en-US"/>
        </w:rPr>
        <w:t>th</w:t>
      </w:r>
      <w:r w:rsidRPr="000F3D6E">
        <w:rPr>
          <w:rFonts w:ascii="Arial" w:eastAsiaTheme="minorHAnsi" w:hAnsi="Arial"/>
          <w:sz w:val="20"/>
          <w:szCs w:val="22"/>
          <w:lang w:eastAsia="en-US"/>
        </w:rPr>
        <w:t xml:space="preserve"> percentile. </w:t>
      </w:r>
      <w:r w:rsidRPr="000F3D6E">
        <w:rPr>
          <w:rFonts w:ascii="Arial" w:eastAsiaTheme="minorHAnsi" w:hAnsi="Arial"/>
          <w:b/>
          <w:sz w:val="20"/>
          <w:szCs w:val="22"/>
          <w:lang w:eastAsia="en-US"/>
        </w:rPr>
        <w:t xml:space="preserve">Footnotes: </w:t>
      </w:r>
      <w:r w:rsidRPr="000F3D6E">
        <w:rPr>
          <w:rFonts w:ascii="Arial" w:eastAsiaTheme="minorHAnsi" w:hAnsi="Arial"/>
          <w:sz w:val="20"/>
          <w:szCs w:val="22"/>
          <w:lang w:eastAsia="en-US"/>
        </w:rPr>
        <w:t xml:space="preserve">The annual rate of change and 95% CI are interpreted as the change in log-transformed insulin resistance index per year. The test for interaction is the p-value of the product term of time in study and high aortic stiffness. Estimates are adjusted for age, gender, and race/study-site. Time in study was the time from Visit 1 to Visit 4 or Visit 5. </w:t>
      </w:r>
    </w:p>
    <w:p w:rsidR="00600DD3" w:rsidRDefault="00600DD3" w:rsidP="00600DD3">
      <w:pPr>
        <w:pStyle w:val="TableNotes"/>
        <w:spacing w:before="0"/>
      </w:pPr>
    </w:p>
    <w:p w:rsidR="00600DD3" w:rsidRDefault="00600DD3" w:rsidP="002A2A46">
      <w:pPr>
        <w:pStyle w:val="Caption"/>
        <w:spacing w:after="0"/>
      </w:pPr>
    </w:p>
    <w:p w:rsidR="00600DD3" w:rsidRDefault="00600DD3" w:rsidP="00600DD3">
      <w:pPr>
        <w:rPr>
          <w:lang w:eastAsia="en-US"/>
        </w:rPr>
      </w:pPr>
    </w:p>
    <w:p w:rsidR="00600DD3" w:rsidRDefault="00600DD3" w:rsidP="00600DD3">
      <w:pPr>
        <w:rPr>
          <w:lang w:eastAsia="en-US"/>
        </w:rPr>
      </w:pPr>
    </w:p>
    <w:p w:rsidR="00600DD3" w:rsidRDefault="00600DD3" w:rsidP="00600DD3">
      <w:pPr>
        <w:rPr>
          <w:lang w:eastAsia="en-US"/>
        </w:rPr>
      </w:pPr>
    </w:p>
    <w:p w:rsidR="00600DD3" w:rsidRDefault="00600DD3" w:rsidP="00600DD3">
      <w:pPr>
        <w:rPr>
          <w:lang w:eastAsia="en-US"/>
        </w:rPr>
      </w:pPr>
    </w:p>
    <w:p w:rsidR="00600DD3" w:rsidRDefault="00600DD3" w:rsidP="00600DD3">
      <w:pPr>
        <w:rPr>
          <w:lang w:eastAsia="en-US"/>
        </w:rPr>
      </w:pPr>
    </w:p>
    <w:p w:rsidR="00600DD3" w:rsidRDefault="00600DD3" w:rsidP="00600DD3">
      <w:pPr>
        <w:rPr>
          <w:lang w:eastAsia="en-US"/>
        </w:rPr>
      </w:pPr>
    </w:p>
    <w:p w:rsidR="00600DD3" w:rsidRDefault="00600DD3" w:rsidP="00600DD3">
      <w:pPr>
        <w:rPr>
          <w:lang w:eastAsia="en-US"/>
        </w:rPr>
      </w:pPr>
    </w:p>
    <w:p w:rsidR="00600DD3" w:rsidRPr="00600DD3" w:rsidRDefault="00600DD3" w:rsidP="00600DD3">
      <w:pPr>
        <w:rPr>
          <w:lang w:eastAsia="en-US"/>
        </w:rPr>
      </w:pPr>
    </w:p>
    <w:p w:rsidR="00DA2945" w:rsidRDefault="00DA2945" w:rsidP="002A2A46">
      <w:pPr>
        <w:pStyle w:val="Caption"/>
        <w:spacing w:after="0"/>
      </w:pPr>
    </w:p>
    <w:p w:rsidR="002A2A46" w:rsidRPr="00705FC3" w:rsidRDefault="006D58E6" w:rsidP="002A2A46">
      <w:pPr>
        <w:pStyle w:val="Caption"/>
        <w:spacing w:after="0"/>
      </w:pPr>
      <w:bookmarkStart w:id="26" w:name="_GoBack"/>
      <w:bookmarkEnd w:id="26"/>
      <w:r w:rsidRPr="00705FC3">
        <w:lastRenderedPageBreak/>
        <w:t xml:space="preserve">Table </w:t>
      </w:r>
      <w:r w:rsidR="00623B0A">
        <w:t>S</w:t>
      </w:r>
      <w:r w:rsidR="00600DD3">
        <w:t>7</w:t>
      </w:r>
      <w:r w:rsidRPr="00705FC3">
        <w:t>. Cross-sectional association of insulin resistance indexes with aortic stiffness in men and women ages 67-90 (Visit 5, 2011-2013)</w:t>
      </w:r>
      <w:bookmarkEnd w:id="12"/>
      <w:bookmarkEnd w:id="13"/>
      <w:bookmarkEnd w:id="14"/>
      <w:bookmarkEnd w:id="15"/>
      <w:bookmarkEnd w:id="16"/>
      <w:bookmarkEnd w:id="17"/>
      <w:bookmarkEnd w:id="18"/>
      <w:bookmarkEnd w:id="19"/>
      <w:r w:rsidRPr="00705FC3">
        <w:t>, by percent change in abdominal adiposity</w:t>
      </w:r>
      <w:r w:rsidR="002A2A46" w:rsidRPr="00705FC3">
        <w:t xml:space="preserve"> (from Visit 4,1996-1998 to Visit 5, 2011-2013).</w:t>
      </w:r>
    </w:p>
    <w:p w:rsidR="002A2A46" w:rsidRPr="00705FC3" w:rsidRDefault="002A2A46" w:rsidP="002A2A46">
      <w:pPr>
        <w:pStyle w:val="Caption"/>
        <w:spacing w:after="0"/>
      </w:pPr>
    </w:p>
    <w:tbl>
      <w:tblPr>
        <w:tblW w:w="11680" w:type="dxa"/>
        <w:tblLook w:val="04A0" w:firstRow="1" w:lastRow="0" w:firstColumn="1" w:lastColumn="0" w:noHBand="0" w:noVBand="1"/>
      </w:tblPr>
      <w:tblGrid>
        <w:gridCol w:w="3560"/>
        <w:gridCol w:w="1100"/>
        <w:gridCol w:w="2260"/>
        <w:gridCol w:w="2400"/>
        <w:gridCol w:w="2360"/>
      </w:tblGrid>
      <w:tr w:rsidR="002A2A46" w:rsidRPr="00705FC3" w:rsidTr="00EC7E37">
        <w:trPr>
          <w:trHeight w:val="377"/>
        </w:trPr>
        <w:tc>
          <w:tcPr>
            <w:tcW w:w="3560" w:type="dxa"/>
            <w:tcBorders>
              <w:top w:val="single" w:sz="4" w:space="0" w:color="auto"/>
              <w:left w:val="nil"/>
              <w:bottom w:val="nil"/>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p>
        </w:tc>
        <w:tc>
          <w:tcPr>
            <w:tcW w:w="1100" w:type="dxa"/>
            <w:tcBorders>
              <w:top w:val="single" w:sz="4" w:space="0" w:color="auto"/>
              <w:left w:val="nil"/>
              <w:bottom w:val="nil"/>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p>
        </w:tc>
        <w:tc>
          <w:tcPr>
            <w:tcW w:w="2260" w:type="dxa"/>
            <w:tcBorders>
              <w:top w:val="single" w:sz="4" w:space="0" w:color="auto"/>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HOMA-IR</w:t>
            </w:r>
          </w:p>
        </w:tc>
        <w:tc>
          <w:tcPr>
            <w:tcW w:w="2400" w:type="dxa"/>
            <w:tcBorders>
              <w:top w:val="single" w:sz="4" w:space="0" w:color="auto"/>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TG/HDL-C</w:t>
            </w:r>
          </w:p>
        </w:tc>
        <w:tc>
          <w:tcPr>
            <w:tcW w:w="2360" w:type="dxa"/>
            <w:tcBorders>
              <w:top w:val="single" w:sz="4" w:space="0" w:color="auto"/>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TyG</w:t>
            </w:r>
          </w:p>
        </w:tc>
      </w:tr>
      <w:tr w:rsidR="002A2A46" w:rsidRPr="00705FC3" w:rsidTr="00EC7E37">
        <w:trPr>
          <w:trHeight w:val="611"/>
        </w:trPr>
        <w:tc>
          <w:tcPr>
            <w:tcW w:w="3560" w:type="dxa"/>
            <w:tcBorders>
              <w:top w:val="nil"/>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p>
        </w:tc>
        <w:tc>
          <w:tcPr>
            <w:tcW w:w="1100" w:type="dxa"/>
            <w:tcBorders>
              <w:top w:val="nil"/>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n</w:t>
            </w:r>
          </w:p>
        </w:tc>
        <w:tc>
          <w:tcPr>
            <w:tcW w:w="2260" w:type="dxa"/>
            <w:tcBorders>
              <w:top w:val="nil"/>
              <w:left w:val="nil"/>
              <w:bottom w:val="single" w:sz="4" w:space="0" w:color="auto"/>
              <w:right w:val="nil"/>
            </w:tcBorders>
            <w:shd w:val="clear" w:color="auto" w:fill="auto"/>
            <w:vAlign w:val="center"/>
            <w:hideMark/>
          </w:tcPr>
          <w:p w:rsidR="00444BCD"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Difference (95% CI) in</w:t>
            </w:r>
          </w:p>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cfPWV (cm/s) per SD</w:t>
            </w:r>
          </w:p>
        </w:tc>
        <w:tc>
          <w:tcPr>
            <w:tcW w:w="240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Difference (95% CI) in</w:t>
            </w:r>
          </w:p>
          <w:p w:rsidR="002A2A46" w:rsidRPr="00705FC3" w:rsidRDefault="00444BCD"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cfPWV (cm/s) per SD</w:t>
            </w:r>
          </w:p>
        </w:tc>
        <w:tc>
          <w:tcPr>
            <w:tcW w:w="236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Difference (95% CI) in</w:t>
            </w:r>
          </w:p>
          <w:p w:rsidR="002A2A46" w:rsidRPr="00705FC3" w:rsidRDefault="00444BCD"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cfPWV (cm/s) per SD</w:t>
            </w:r>
          </w:p>
        </w:tc>
      </w:tr>
      <w:tr w:rsidR="002A2A46" w:rsidRPr="00705FC3" w:rsidTr="00EC7E37">
        <w:trPr>
          <w:trHeight w:val="332"/>
        </w:trPr>
        <w:tc>
          <w:tcPr>
            <w:tcW w:w="3560" w:type="dxa"/>
            <w:tcBorders>
              <w:top w:val="nil"/>
              <w:left w:val="nil"/>
              <w:bottom w:val="nil"/>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 xml:space="preserve">Percent Gain (Percent change </w:t>
            </w:r>
            <m:oMath>
              <m:r>
                <w:rPr>
                  <w:rFonts w:ascii="Cambria Math" w:eastAsia="Times New Roman" w:hAnsi="Cambria Math" w:cs="Calibri"/>
                  <w:color w:val="000000"/>
                  <w:sz w:val="22"/>
                  <w:szCs w:val="22"/>
                </w:rPr>
                <m:t>≥</m:t>
              </m:r>
            </m:oMath>
            <w:r w:rsidRPr="00705FC3">
              <w:rPr>
                <w:rFonts w:ascii="Calibri" w:eastAsia="Times New Roman" w:hAnsi="Calibri" w:cs="Calibri"/>
                <w:color w:val="000000"/>
                <w:sz w:val="22"/>
                <w:szCs w:val="22"/>
              </w:rPr>
              <w:t>0%)</w:t>
            </w:r>
          </w:p>
        </w:tc>
        <w:tc>
          <w:tcPr>
            <w:tcW w:w="1100" w:type="dxa"/>
            <w:tcBorders>
              <w:top w:val="nil"/>
              <w:left w:val="nil"/>
              <w:bottom w:val="nil"/>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1396</w:t>
            </w:r>
          </w:p>
        </w:tc>
        <w:tc>
          <w:tcPr>
            <w:tcW w:w="2260" w:type="dxa"/>
            <w:tcBorders>
              <w:top w:val="nil"/>
              <w:left w:val="nil"/>
              <w:bottom w:val="nil"/>
              <w:right w:val="nil"/>
            </w:tcBorders>
            <w:shd w:val="clear" w:color="auto" w:fill="auto"/>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20 (6,33)</w:t>
            </w:r>
          </w:p>
        </w:tc>
        <w:tc>
          <w:tcPr>
            <w:tcW w:w="2400" w:type="dxa"/>
            <w:tcBorders>
              <w:top w:val="nil"/>
              <w:left w:val="nil"/>
              <w:bottom w:val="nil"/>
              <w:right w:val="nil"/>
            </w:tcBorders>
            <w:shd w:val="clear" w:color="auto" w:fill="auto"/>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35 (21,48)</w:t>
            </w:r>
          </w:p>
        </w:tc>
        <w:tc>
          <w:tcPr>
            <w:tcW w:w="2360" w:type="dxa"/>
            <w:tcBorders>
              <w:top w:val="nil"/>
              <w:left w:val="nil"/>
              <w:bottom w:val="nil"/>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33 (20,46)</w:t>
            </w:r>
          </w:p>
        </w:tc>
      </w:tr>
      <w:tr w:rsidR="002A2A46" w:rsidRPr="00705FC3" w:rsidTr="00EC7E37">
        <w:trPr>
          <w:trHeight w:val="333"/>
        </w:trPr>
        <w:tc>
          <w:tcPr>
            <w:tcW w:w="3560" w:type="dxa"/>
            <w:tcBorders>
              <w:top w:val="nil"/>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 xml:space="preserve">Percent Loss (Percent change </w:t>
            </w:r>
            <m:oMath>
              <m:r>
                <w:rPr>
                  <w:rFonts w:ascii="Cambria Math" w:eastAsia="Times New Roman" w:hAnsi="Cambria Math" w:cs="Calibri"/>
                  <w:color w:val="000000"/>
                  <w:sz w:val="22"/>
                  <w:szCs w:val="22"/>
                </w:rPr>
                <m:t>&lt;</m:t>
              </m:r>
            </m:oMath>
            <w:r w:rsidRPr="00705FC3">
              <w:rPr>
                <w:rFonts w:ascii="Calibri" w:eastAsia="Times New Roman" w:hAnsi="Calibri" w:cs="Calibri"/>
                <w:color w:val="000000"/>
                <w:sz w:val="22"/>
                <w:szCs w:val="22"/>
              </w:rPr>
              <w:t>0%)</w:t>
            </w:r>
          </w:p>
        </w:tc>
        <w:tc>
          <w:tcPr>
            <w:tcW w:w="1100" w:type="dxa"/>
            <w:tcBorders>
              <w:top w:val="nil"/>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1019</w:t>
            </w:r>
          </w:p>
        </w:tc>
        <w:tc>
          <w:tcPr>
            <w:tcW w:w="2260" w:type="dxa"/>
            <w:tcBorders>
              <w:top w:val="nil"/>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16 (-3,35)</w:t>
            </w:r>
          </w:p>
        </w:tc>
        <w:tc>
          <w:tcPr>
            <w:tcW w:w="2400" w:type="dxa"/>
            <w:tcBorders>
              <w:top w:val="nil"/>
              <w:left w:val="nil"/>
              <w:bottom w:val="single" w:sz="4" w:space="0" w:color="auto"/>
              <w:right w:val="nil"/>
            </w:tcBorders>
            <w:shd w:val="clear" w:color="auto" w:fill="auto"/>
            <w:noWrap/>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16 (-3,34)</w:t>
            </w:r>
          </w:p>
        </w:tc>
        <w:tc>
          <w:tcPr>
            <w:tcW w:w="2360" w:type="dxa"/>
            <w:tcBorders>
              <w:top w:val="nil"/>
              <w:left w:val="nil"/>
              <w:bottom w:val="single" w:sz="4" w:space="0" w:color="auto"/>
              <w:right w:val="nil"/>
            </w:tcBorders>
            <w:shd w:val="clear" w:color="auto" w:fill="auto"/>
            <w:vAlign w:val="center"/>
            <w:hideMark/>
          </w:tcPr>
          <w:p w:rsidR="002A2A46" w:rsidRPr="00705FC3" w:rsidRDefault="002A2A46" w:rsidP="00EC7E37">
            <w:pPr>
              <w:jc w:val="center"/>
              <w:rPr>
                <w:rFonts w:ascii="Calibri" w:eastAsia="Times New Roman" w:hAnsi="Calibri" w:cs="Calibri"/>
                <w:color w:val="000000"/>
              </w:rPr>
            </w:pPr>
            <w:r w:rsidRPr="00705FC3">
              <w:rPr>
                <w:rFonts w:ascii="Calibri" w:eastAsia="Times New Roman" w:hAnsi="Calibri" w:cs="Calibri"/>
                <w:color w:val="000000"/>
                <w:sz w:val="22"/>
                <w:szCs w:val="22"/>
              </w:rPr>
              <w:t>27 (10,44)</w:t>
            </w:r>
          </w:p>
        </w:tc>
      </w:tr>
    </w:tbl>
    <w:p w:rsidR="002A2A46" w:rsidRPr="00705FC3" w:rsidRDefault="002A2A46" w:rsidP="002A2A46">
      <w:pPr>
        <w:pStyle w:val="Caption"/>
        <w:spacing w:after="0"/>
      </w:pPr>
    </w:p>
    <w:p w:rsidR="002A2A46" w:rsidRDefault="006D58E6" w:rsidP="002A2A46">
      <w:pPr>
        <w:pStyle w:val="Caption"/>
        <w:spacing w:after="0"/>
        <w:sectPr w:rsidR="002A2A46" w:rsidSect="006D58E6">
          <w:pgSz w:w="15840" w:h="12240" w:orient="landscape"/>
          <w:pgMar w:top="1440" w:right="1440" w:bottom="1440" w:left="1440" w:header="720" w:footer="720" w:gutter="0"/>
          <w:cols w:space="720"/>
          <w:docGrid w:linePitch="360"/>
        </w:sectPr>
      </w:pPr>
      <w:r w:rsidRPr="00705FC3">
        <w:rPr>
          <w:b/>
        </w:rPr>
        <w:t xml:space="preserve">Abbreviations: </w:t>
      </w:r>
      <w:r w:rsidRPr="00705FC3">
        <w:t xml:space="preserve">HOMA-IR, homeostatic model assessment of insulin resistance; TG/HDL-C, triglyceride to high-density lipoprotein cholesterol ratio; TyG, triglyceride and glucose index; cfPWV, carotid-femoral pulse wave velocity. </w:t>
      </w:r>
      <w:r w:rsidRPr="00705FC3">
        <w:rPr>
          <w:b/>
        </w:rPr>
        <w:t>Footnotes:</w:t>
      </w:r>
      <w:r w:rsidRPr="00705FC3">
        <w:t xml:space="preserve"> The difference and 95% CI are interpreted as the difference in aortic stiffness per standard deviation (per SD) increment in insulin resistance index. Estimates are adjusted for age, gender (except for gender-specific estimates), and race/study site.</w:t>
      </w:r>
      <w:r w:rsidR="002A2A46" w:rsidRPr="00705FC3">
        <w:t xml:space="preserve"> </w:t>
      </w:r>
      <w:r w:rsidRPr="00705FC3">
        <w:t>The standard deviation was 1.6 for HOMA-IR, 1.3 for TG/HDL-C, and 0.4 for TyG</w:t>
      </w:r>
      <w:r w:rsidR="002A2A46" w:rsidRPr="00705FC3">
        <w:t>. There are n=156 missing percent change in abdominal adiposity.</w:t>
      </w:r>
      <w:r w:rsidRPr="0029448F">
        <w:t xml:space="preserve">  </w:t>
      </w:r>
    </w:p>
    <w:p w:rsidR="002A2A46" w:rsidRPr="00705FC3" w:rsidRDefault="002A2A46" w:rsidP="002A2A46">
      <w:pPr>
        <w:pStyle w:val="Caption"/>
        <w:spacing w:after="0"/>
      </w:pPr>
      <w:bookmarkStart w:id="27" w:name="_Toc1397395"/>
      <w:bookmarkStart w:id="28" w:name="_Toc1398467"/>
      <w:bookmarkStart w:id="29" w:name="_Toc1400355"/>
      <w:bookmarkStart w:id="30" w:name="_Toc1401218"/>
      <w:bookmarkStart w:id="31" w:name="_Toc1403555"/>
      <w:bookmarkStart w:id="32" w:name="_Toc414712716"/>
      <w:bookmarkStart w:id="33" w:name="_Toc414713849"/>
      <w:bookmarkStart w:id="34" w:name="_Toc414721163"/>
      <w:r w:rsidRPr="00705FC3">
        <w:lastRenderedPageBreak/>
        <w:t xml:space="preserve">Table </w:t>
      </w:r>
      <w:r w:rsidR="00623B0A">
        <w:t>S</w:t>
      </w:r>
      <w:r w:rsidR="00600DD3">
        <w:t>8</w:t>
      </w:r>
      <w:r w:rsidRPr="00705FC3">
        <w:t xml:space="preserve">. Association of aortic stiffness (Visit 5, 2011-2013) and change in insulin resistance indexes (Visit 1, 1987-1989 to Visit 5, 2011-2013) in men and women ages 67-90 (Visit 5, 2011-2013), </w:t>
      </w:r>
      <w:bookmarkEnd w:id="27"/>
      <w:bookmarkEnd w:id="28"/>
      <w:bookmarkEnd w:id="29"/>
      <w:bookmarkEnd w:id="30"/>
      <w:bookmarkEnd w:id="31"/>
      <w:bookmarkEnd w:id="32"/>
      <w:bookmarkEnd w:id="33"/>
      <w:bookmarkEnd w:id="34"/>
      <w:r w:rsidRPr="00705FC3">
        <w:t xml:space="preserve">by percent change in abdominal adiposity (from </w:t>
      </w:r>
      <w:r w:rsidR="00344B1D" w:rsidRPr="00705FC3">
        <w:t xml:space="preserve">Visit 3, 1993-1995 to </w:t>
      </w:r>
      <w:r w:rsidRPr="00705FC3">
        <w:t xml:space="preserve">Visit </w:t>
      </w:r>
      <w:r w:rsidR="00344B1D" w:rsidRPr="00705FC3">
        <w:t>4</w:t>
      </w:r>
      <w:r w:rsidRPr="00705FC3">
        <w:t>,1996-1998).</w:t>
      </w:r>
    </w:p>
    <w:p w:rsidR="002A2A46" w:rsidRPr="00705FC3" w:rsidRDefault="002A2A46" w:rsidP="002A2A46">
      <w:pPr>
        <w:pStyle w:val="Caption"/>
        <w:spacing w:after="0"/>
      </w:pPr>
    </w:p>
    <w:tbl>
      <w:tblPr>
        <w:tblW w:w="13680" w:type="dxa"/>
        <w:tblLayout w:type="fixed"/>
        <w:tblLook w:val="04A0" w:firstRow="1" w:lastRow="0" w:firstColumn="1" w:lastColumn="0" w:noHBand="0" w:noVBand="1"/>
      </w:tblPr>
      <w:tblGrid>
        <w:gridCol w:w="1800"/>
        <w:gridCol w:w="720"/>
        <w:gridCol w:w="1800"/>
        <w:gridCol w:w="1800"/>
        <w:gridCol w:w="244"/>
        <w:gridCol w:w="1736"/>
        <w:gridCol w:w="1800"/>
        <w:gridCol w:w="236"/>
        <w:gridCol w:w="1780"/>
        <w:gridCol w:w="1764"/>
      </w:tblGrid>
      <w:tr w:rsidR="00A60732" w:rsidRPr="00705FC3" w:rsidTr="00EC7E37">
        <w:trPr>
          <w:trHeight w:val="300"/>
        </w:trPr>
        <w:tc>
          <w:tcPr>
            <w:tcW w:w="1800" w:type="dxa"/>
            <w:tcBorders>
              <w:top w:val="single" w:sz="4" w:space="0" w:color="auto"/>
              <w:left w:val="nil"/>
              <w:bottom w:val="nil"/>
              <w:right w:val="nil"/>
            </w:tcBorders>
            <w:shd w:val="clear" w:color="auto" w:fill="auto"/>
            <w:noWrap/>
            <w:vAlign w:val="center"/>
            <w:hideMark/>
          </w:tcPr>
          <w:p w:rsidR="00A60732" w:rsidRPr="00705FC3" w:rsidRDefault="00A60732" w:rsidP="00EC7E37">
            <w:pPr>
              <w:jc w:val="center"/>
              <w:rPr>
                <w:rFonts w:ascii="Arial" w:eastAsia="Times New Roman" w:hAnsi="Arial" w:cs="Arial"/>
                <w:color w:val="000000"/>
                <w:sz w:val="20"/>
                <w:szCs w:val="20"/>
              </w:rPr>
            </w:pPr>
          </w:p>
        </w:tc>
        <w:tc>
          <w:tcPr>
            <w:tcW w:w="720" w:type="dxa"/>
            <w:tcBorders>
              <w:top w:val="single" w:sz="4" w:space="0" w:color="auto"/>
              <w:left w:val="nil"/>
              <w:bottom w:val="nil"/>
              <w:right w:val="nil"/>
            </w:tcBorders>
            <w:shd w:val="clear" w:color="auto" w:fill="auto"/>
            <w:noWrap/>
            <w:vAlign w:val="center"/>
            <w:hideMark/>
          </w:tcPr>
          <w:p w:rsidR="00A60732" w:rsidRPr="00705FC3" w:rsidRDefault="00A60732" w:rsidP="00EC7E37">
            <w:pPr>
              <w:jc w:val="center"/>
              <w:rPr>
                <w:rFonts w:ascii="Arial" w:eastAsia="Times New Roman" w:hAnsi="Arial" w:cs="Arial"/>
                <w:color w:val="000000"/>
                <w:sz w:val="20"/>
                <w:szCs w:val="20"/>
              </w:rPr>
            </w:pPr>
          </w:p>
        </w:tc>
        <w:tc>
          <w:tcPr>
            <w:tcW w:w="3600" w:type="dxa"/>
            <w:gridSpan w:val="2"/>
            <w:tcBorders>
              <w:top w:val="single" w:sz="4" w:space="0" w:color="auto"/>
              <w:left w:val="nil"/>
              <w:bottom w:val="single" w:sz="4" w:space="0" w:color="auto"/>
              <w:right w:val="nil"/>
            </w:tcBorders>
            <w:shd w:val="clear" w:color="auto" w:fill="auto"/>
            <w:noWrap/>
            <w:vAlign w:val="center"/>
            <w:hideMark/>
          </w:tcPr>
          <w:p w:rsidR="00A60732" w:rsidRPr="00705FC3" w:rsidRDefault="00A60732"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log-HOMA-IR</w:t>
            </w:r>
          </w:p>
        </w:tc>
        <w:tc>
          <w:tcPr>
            <w:tcW w:w="244" w:type="dxa"/>
            <w:tcBorders>
              <w:top w:val="single" w:sz="4" w:space="0" w:color="auto"/>
              <w:left w:val="nil"/>
              <w:bottom w:val="nil"/>
              <w:right w:val="nil"/>
            </w:tcBorders>
            <w:shd w:val="clear" w:color="auto" w:fill="auto"/>
            <w:noWrap/>
            <w:vAlign w:val="center"/>
            <w:hideMark/>
          </w:tcPr>
          <w:p w:rsidR="00A60732" w:rsidRPr="00705FC3" w:rsidRDefault="00A60732" w:rsidP="00EC7E37">
            <w:pPr>
              <w:jc w:val="center"/>
              <w:rPr>
                <w:rFonts w:ascii="Arial" w:eastAsia="Times New Roman" w:hAnsi="Arial" w:cs="Arial"/>
                <w:color w:val="000000"/>
                <w:sz w:val="20"/>
                <w:szCs w:val="20"/>
              </w:rPr>
            </w:pPr>
          </w:p>
        </w:tc>
        <w:tc>
          <w:tcPr>
            <w:tcW w:w="3536" w:type="dxa"/>
            <w:gridSpan w:val="2"/>
            <w:tcBorders>
              <w:top w:val="single" w:sz="4" w:space="0" w:color="auto"/>
              <w:left w:val="nil"/>
              <w:bottom w:val="single" w:sz="4" w:space="0" w:color="auto"/>
              <w:right w:val="nil"/>
            </w:tcBorders>
            <w:shd w:val="clear" w:color="auto" w:fill="auto"/>
            <w:noWrap/>
            <w:vAlign w:val="center"/>
            <w:hideMark/>
          </w:tcPr>
          <w:p w:rsidR="00A60732" w:rsidRPr="00705FC3" w:rsidRDefault="00A60732"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log-TG/HDL-C</w:t>
            </w:r>
          </w:p>
        </w:tc>
        <w:tc>
          <w:tcPr>
            <w:tcW w:w="236" w:type="dxa"/>
            <w:tcBorders>
              <w:top w:val="single" w:sz="4" w:space="0" w:color="auto"/>
              <w:left w:val="nil"/>
              <w:bottom w:val="nil"/>
              <w:right w:val="nil"/>
            </w:tcBorders>
            <w:shd w:val="clear" w:color="auto" w:fill="auto"/>
            <w:noWrap/>
            <w:vAlign w:val="center"/>
            <w:hideMark/>
          </w:tcPr>
          <w:p w:rsidR="00A60732" w:rsidRPr="00705FC3" w:rsidRDefault="00A60732" w:rsidP="00EC7E37">
            <w:pPr>
              <w:jc w:val="center"/>
              <w:rPr>
                <w:rFonts w:ascii="Arial" w:eastAsia="Times New Roman" w:hAnsi="Arial" w:cs="Arial"/>
                <w:color w:val="000000"/>
                <w:sz w:val="20"/>
                <w:szCs w:val="20"/>
              </w:rPr>
            </w:pPr>
          </w:p>
        </w:tc>
        <w:tc>
          <w:tcPr>
            <w:tcW w:w="3544" w:type="dxa"/>
            <w:gridSpan w:val="2"/>
            <w:tcBorders>
              <w:top w:val="single" w:sz="4" w:space="0" w:color="auto"/>
              <w:left w:val="nil"/>
              <w:bottom w:val="single" w:sz="4" w:space="0" w:color="auto"/>
              <w:right w:val="nil"/>
            </w:tcBorders>
            <w:shd w:val="clear" w:color="auto" w:fill="auto"/>
            <w:noWrap/>
            <w:vAlign w:val="center"/>
            <w:hideMark/>
          </w:tcPr>
          <w:p w:rsidR="00A60732" w:rsidRPr="00705FC3" w:rsidRDefault="00A60732"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log-TyG</w:t>
            </w:r>
          </w:p>
        </w:tc>
      </w:tr>
      <w:tr w:rsidR="00444BCD" w:rsidRPr="00705FC3" w:rsidTr="00EC7E37">
        <w:trPr>
          <w:trHeight w:val="700"/>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80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Time in study</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 to 9 years</w:t>
            </w:r>
          </w:p>
        </w:tc>
        <w:tc>
          <w:tcPr>
            <w:tcW w:w="180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Time in study</w:t>
            </w:r>
          </w:p>
          <w:p w:rsidR="00444BCD" w:rsidRPr="00705FC3" w:rsidRDefault="00444BCD" w:rsidP="00EC7E37">
            <w:pPr>
              <w:jc w:val="center"/>
              <w:rPr>
                <w:rFonts w:ascii="Arial" w:eastAsia="Times New Roman" w:hAnsi="Arial" w:cs="Arial"/>
                <w:color w:val="000000"/>
                <w:sz w:val="20"/>
                <w:szCs w:val="20"/>
              </w:rPr>
            </w:pPr>
            <m:oMath>
              <m:r>
                <w:rPr>
                  <w:rFonts w:ascii="Cambria Math" w:eastAsia="Times New Roman" w:hAnsi="Cambria Math" w:cs="Arial"/>
                  <w:color w:val="000000"/>
                  <w:sz w:val="20"/>
                  <w:szCs w:val="20"/>
                </w:rPr>
                <m:t>≥</m:t>
              </m:r>
            </m:oMath>
            <w:r w:rsidRPr="00705FC3">
              <w:rPr>
                <w:rFonts w:ascii="Arial" w:eastAsia="Times New Roman" w:hAnsi="Arial" w:cs="Arial"/>
                <w:color w:val="000000"/>
                <w:sz w:val="20"/>
                <w:szCs w:val="20"/>
              </w:rPr>
              <w:t>9 years</w:t>
            </w:r>
          </w:p>
        </w:tc>
        <w:tc>
          <w:tcPr>
            <w:tcW w:w="244" w:type="dxa"/>
            <w:tcBorders>
              <w:top w:val="nil"/>
              <w:left w:val="nil"/>
              <w:bottom w:val="nil"/>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Time in study</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 to 9 years</w:t>
            </w:r>
          </w:p>
        </w:tc>
        <w:tc>
          <w:tcPr>
            <w:tcW w:w="180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Time in study</w:t>
            </w:r>
          </w:p>
          <w:p w:rsidR="00444BCD" w:rsidRPr="00705FC3" w:rsidRDefault="00444BCD" w:rsidP="00EC7E37">
            <w:pPr>
              <w:jc w:val="center"/>
              <w:rPr>
                <w:rFonts w:ascii="Arial" w:eastAsia="Times New Roman" w:hAnsi="Arial" w:cs="Arial"/>
                <w:color w:val="000000"/>
                <w:sz w:val="20"/>
                <w:szCs w:val="20"/>
              </w:rPr>
            </w:pPr>
            <m:oMath>
              <m:r>
                <w:rPr>
                  <w:rFonts w:ascii="Cambria Math" w:eastAsia="Times New Roman" w:hAnsi="Cambria Math" w:cs="Arial"/>
                  <w:color w:val="000000"/>
                  <w:sz w:val="20"/>
                  <w:szCs w:val="20"/>
                </w:rPr>
                <m:t>≥</m:t>
              </m:r>
            </m:oMath>
            <w:r w:rsidRPr="00705FC3">
              <w:rPr>
                <w:rFonts w:ascii="Arial" w:eastAsia="Times New Roman" w:hAnsi="Arial" w:cs="Arial"/>
                <w:color w:val="000000"/>
                <w:sz w:val="20"/>
                <w:szCs w:val="20"/>
              </w:rPr>
              <w:t>9 years</w:t>
            </w:r>
          </w:p>
        </w:tc>
        <w:tc>
          <w:tcPr>
            <w:tcW w:w="236" w:type="dxa"/>
            <w:tcBorders>
              <w:top w:val="nil"/>
              <w:left w:val="nil"/>
              <w:bottom w:val="nil"/>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Time in study</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 to 9 years</w:t>
            </w:r>
          </w:p>
        </w:tc>
        <w:tc>
          <w:tcPr>
            <w:tcW w:w="1764"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Time in study</w:t>
            </w:r>
          </w:p>
          <w:p w:rsidR="00444BCD" w:rsidRPr="00705FC3" w:rsidRDefault="00444BCD" w:rsidP="00EC7E37">
            <w:pPr>
              <w:jc w:val="center"/>
              <w:rPr>
                <w:rFonts w:ascii="Arial" w:eastAsia="Times New Roman" w:hAnsi="Arial" w:cs="Arial"/>
                <w:color w:val="000000"/>
                <w:sz w:val="20"/>
                <w:szCs w:val="20"/>
              </w:rPr>
            </w:pPr>
            <m:oMath>
              <m:r>
                <w:rPr>
                  <w:rFonts w:ascii="Cambria Math" w:eastAsia="Times New Roman" w:hAnsi="Cambria Math" w:cs="Arial"/>
                  <w:color w:val="000000"/>
                  <w:sz w:val="20"/>
                  <w:szCs w:val="20"/>
                </w:rPr>
                <m:t>≥</m:t>
              </m:r>
            </m:oMath>
            <w:r w:rsidRPr="00705FC3">
              <w:rPr>
                <w:rFonts w:ascii="Arial" w:eastAsia="Times New Roman" w:hAnsi="Arial" w:cs="Arial"/>
                <w:color w:val="000000"/>
                <w:sz w:val="20"/>
                <w:szCs w:val="20"/>
              </w:rPr>
              <w:t>9 years</w:t>
            </w:r>
          </w:p>
        </w:tc>
      </w:tr>
      <w:tr w:rsidR="00444BCD" w:rsidRPr="00705FC3" w:rsidTr="00EC7E37">
        <w:trPr>
          <w:trHeight w:val="840"/>
        </w:trPr>
        <w:tc>
          <w:tcPr>
            <w:tcW w:w="180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72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n</w:t>
            </w:r>
          </w:p>
        </w:tc>
        <w:tc>
          <w:tcPr>
            <w:tcW w:w="180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Annual rate of</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change (95% CI)</w:t>
            </w:r>
          </w:p>
        </w:tc>
        <w:tc>
          <w:tcPr>
            <w:tcW w:w="180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Annual rate of</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change (95% CI)</w:t>
            </w:r>
          </w:p>
        </w:tc>
        <w:tc>
          <w:tcPr>
            <w:tcW w:w="244"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Annual rate of</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change (95% CI)</w:t>
            </w:r>
          </w:p>
        </w:tc>
        <w:tc>
          <w:tcPr>
            <w:tcW w:w="180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Annual rate of</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change (95% CI)</w:t>
            </w:r>
          </w:p>
        </w:tc>
        <w:tc>
          <w:tcPr>
            <w:tcW w:w="236"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Annual rate of</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change (95% CI)</w:t>
            </w:r>
          </w:p>
        </w:tc>
        <w:tc>
          <w:tcPr>
            <w:tcW w:w="1764" w:type="dxa"/>
            <w:tcBorders>
              <w:top w:val="nil"/>
              <w:left w:val="nil"/>
              <w:bottom w:val="single" w:sz="4" w:space="0" w:color="auto"/>
              <w:right w:val="nil"/>
            </w:tcBorders>
            <w:shd w:val="clear" w:color="auto" w:fill="auto"/>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Annual rate of</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change (95% CI)</w:t>
            </w:r>
          </w:p>
        </w:tc>
      </w:tr>
      <w:tr w:rsidR="00444BCD" w:rsidRPr="00705FC3" w:rsidTr="00EC7E37">
        <w:trPr>
          <w:trHeight w:val="620"/>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Percent Gain</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w:t>
            </w:r>
            <m:oMath>
              <m:r>
                <w:rPr>
                  <w:rFonts w:ascii="Cambria Math" w:eastAsia="Times New Roman" w:hAnsi="Cambria Math" w:cs="Arial"/>
                  <w:color w:val="000000"/>
                  <w:sz w:val="20"/>
                  <w:szCs w:val="20"/>
                </w:rPr>
                <m:t>≥</m:t>
              </m:r>
            </m:oMath>
            <w:r w:rsidRPr="00705FC3">
              <w:rPr>
                <w:rFonts w:ascii="Arial" w:eastAsia="Times New Roman" w:hAnsi="Arial" w:cs="Arial"/>
                <w:color w:val="000000"/>
                <w:sz w:val="20"/>
                <w:szCs w:val="20"/>
              </w:rPr>
              <w:t>0%)</w:t>
            </w: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1635</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0.029</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(0.025,0.032)</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0.011</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(0.009,0.013)</w:t>
            </w: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0.025</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(0.023,0.028)</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-0.009</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(-0.011,-0.008)</w:t>
            </w: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0.003 (0.003,0.003)</w:t>
            </w: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w:t>
            </w:r>
          </w:p>
        </w:tc>
      </w:tr>
      <w:tr w:rsidR="00444BCD" w:rsidRPr="00705FC3" w:rsidTr="00EC7E37">
        <w:trPr>
          <w:trHeight w:val="630"/>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High cfPWV</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w:t>
            </w:r>
            <m:oMath>
              <m:r>
                <w:rPr>
                  <w:rFonts w:ascii="Cambria Math" w:eastAsia="Times New Roman" w:hAnsi="Cambria Math" w:cs="Arial"/>
                  <w:color w:val="000000"/>
                  <w:sz w:val="20"/>
                  <w:szCs w:val="20"/>
                </w:rPr>
                <m:t>&gt;</m:t>
              </m:r>
            </m:oMath>
            <w:r w:rsidRPr="00705FC3">
              <w:rPr>
                <w:rFonts w:ascii="Arial" w:eastAsia="Times New Roman" w:hAnsi="Arial" w:cs="Arial"/>
                <w:color w:val="000000"/>
                <w:sz w:val="20"/>
                <w:szCs w:val="20"/>
              </w:rPr>
              <w:t>P75)</w:t>
            </w: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408</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0.033</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(0.026,0.039)</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(0.006,0.014)</w:t>
            </w: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0.023</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(0.017,0.028)</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-0.009</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(-0.012,-0.005)</w:t>
            </w: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0.003 (0.002,0.003)</w:t>
            </w: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w:t>
            </w:r>
          </w:p>
        </w:tc>
      </w:tr>
      <w:tr w:rsidR="00444BCD" w:rsidRPr="00705FC3" w:rsidTr="00EC7E37">
        <w:trPr>
          <w:trHeight w:val="549"/>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Non-High cfPWV</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w:t>
            </w:r>
            <m:oMath>
              <m:r>
                <w:rPr>
                  <w:rFonts w:ascii="Cambria Math" w:eastAsia="Times New Roman" w:hAnsi="Cambria Math" w:cs="Arial"/>
                  <w:color w:val="000000"/>
                  <w:sz w:val="20"/>
                  <w:szCs w:val="20"/>
                </w:rPr>
                <m:t>≤</m:t>
              </m:r>
            </m:oMath>
            <w:r w:rsidRPr="00705FC3">
              <w:rPr>
                <w:rFonts w:ascii="Arial" w:eastAsia="Times New Roman" w:hAnsi="Arial" w:cs="Arial"/>
                <w:color w:val="000000"/>
                <w:sz w:val="20"/>
                <w:szCs w:val="20"/>
              </w:rPr>
              <w:t>P75)</w:t>
            </w: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1227</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0.027</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(0.023,0.031)</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0.011</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(0.009,0.014)</w:t>
            </w: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0.026</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(0.023,0.029)</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-0.009</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(-0.011,-0.007)</w:t>
            </w: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0.003 (0.003,0.003)</w:t>
            </w: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w:t>
            </w:r>
          </w:p>
        </w:tc>
      </w:tr>
      <w:tr w:rsidR="00444BCD" w:rsidRPr="00705FC3" w:rsidTr="00EC7E37">
        <w:trPr>
          <w:trHeight w:val="621"/>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Test for</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interaction</w:t>
            </w: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1635</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0.20</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0.28</w:t>
            </w: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0.21</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0.28</w:t>
            </w: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0.16</w:t>
            </w: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0.27</w:t>
            </w:r>
          </w:p>
        </w:tc>
      </w:tr>
      <w:tr w:rsidR="00444BCD" w:rsidRPr="00705FC3" w:rsidTr="00EC7E37">
        <w:trPr>
          <w:trHeight w:val="300"/>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Times New Roman" w:eastAsia="Times New Roman" w:hAnsi="Times New Roman" w:cs="Times New Roman"/>
                <w:sz w:val="20"/>
                <w:szCs w:val="20"/>
              </w:rPr>
            </w:pPr>
          </w:p>
        </w:tc>
      </w:tr>
      <w:tr w:rsidR="00444BCD" w:rsidRPr="00705FC3" w:rsidTr="00EC7E37">
        <w:trPr>
          <w:trHeight w:val="603"/>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Percent Loss</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w:t>
            </w:r>
            <m:oMath>
              <m:r>
                <w:rPr>
                  <w:rFonts w:ascii="Cambria Math" w:eastAsia="Times New Roman" w:hAnsi="Cambria Math" w:cs="Arial"/>
                  <w:color w:val="000000"/>
                  <w:sz w:val="20"/>
                  <w:szCs w:val="20"/>
                </w:rPr>
                <m:t>&lt;</m:t>
              </m:r>
            </m:oMath>
            <w:r w:rsidRPr="00705FC3">
              <w:rPr>
                <w:rFonts w:ascii="Arial" w:eastAsia="Times New Roman" w:hAnsi="Arial" w:cs="Arial"/>
                <w:color w:val="000000"/>
                <w:sz w:val="20"/>
                <w:szCs w:val="20"/>
              </w:rPr>
              <w:t>0%)</w:t>
            </w: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669</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(0.014,0.025)</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0.011</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(0.008,0.015)</w:t>
            </w: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0.017</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(0.013,0.021)</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-0.006</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(-0.008,-0.003)</w:t>
            </w: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0.002 (0.002,0.002)</w:t>
            </w: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(0,0.001)</w:t>
            </w:r>
          </w:p>
        </w:tc>
      </w:tr>
      <w:tr w:rsidR="00444BCD" w:rsidRPr="00705FC3" w:rsidTr="00EC7E37">
        <w:trPr>
          <w:trHeight w:val="531"/>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High cfPWV</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w:t>
            </w:r>
            <m:oMath>
              <m:r>
                <w:rPr>
                  <w:rFonts w:ascii="Cambria Math" w:eastAsia="Times New Roman" w:hAnsi="Cambria Math" w:cs="Arial"/>
                  <w:color w:val="000000"/>
                  <w:sz w:val="20"/>
                  <w:szCs w:val="20"/>
                </w:rPr>
                <m:t>&gt;</m:t>
              </m:r>
            </m:oMath>
            <w:r w:rsidRPr="00705FC3">
              <w:rPr>
                <w:rFonts w:ascii="Arial" w:eastAsia="Times New Roman" w:hAnsi="Arial" w:cs="Arial"/>
                <w:color w:val="000000"/>
                <w:sz w:val="20"/>
                <w:szCs w:val="20"/>
              </w:rPr>
              <w:t>P75)</w:t>
            </w: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169</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0.022</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(0.011,0.034)</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0.013</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(0.006,0.02)</w:t>
            </w: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0.013</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(0.005,0.021)</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-0.004</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(-0.009,0.001)</w:t>
            </w: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0.002 (0.001,0.002)</w:t>
            </w: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(0,0.001)</w:t>
            </w:r>
          </w:p>
        </w:tc>
      </w:tr>
      <w:tr w:rsidR="00444BCD" w:rsidRPr="00705FC3" w:rsidTr="00EC7E37">
        <w:trPr>
          <w:trHeight w:val="549"/>
        </w:trPr>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Non-High cfPWV</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w:t>
            </w:r>
            <m:oMath>
              <m:r>
                <w:rPr>
                  <w:rFonts w:ascii="Cambria Math" w:eastAsia="Times New Roman" w:hAnsi="Cambria Math" w:cs="Arial"/>
                  <w:color w:val="000000"/>
                  <w:sz w:val="20"/>
                  <w:szCs w:val="20"/>
                </w:rPr>
                <m:t>≤</m:t>
              </m:r>
            </m:oMath>
            <w:r w:rsidRPr="00705FC3">
              <w:rPr>
                <w:rFonts w:ascii="Arial" w:eastAsia="Times New Roman" w:hAnsi="Arial" w:cs="Arial"/>
                <w:color w:val="000000"/>
                <w:sz w:val="20"/>
                <w:szCs w:val="20"/>
              </w:rPr>
              <w:t>P75)</w:t>
            </w:r>
          </w:p>
        </w:tc>
        <w:tc>
          <w:tcPr>
            <w:tcW w:w="72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500</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0.019</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(0.012,0.025)</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(0.006,0.015)</w:t>
            </w:r>
          </w:p>
        </w:tc>
        <w:tc>
          <w:tcPr>
            <w:tcW w:w="24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0.019</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(0.014,0.023)</w:t>
            </w:r>
          </w:p>
        </w:tc>
        <w:tc>
          <w:tcPr>
            <w:tcW w:w="180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-0.006</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(-0.009,-0.004)</w:t>
            </w:r>
          </w:p>
        </w:tc>
        <w:tc>
          <w:tcPr>
            <w:tcW w:w="236"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.002 (0.002,0.003)</w:t>
            </w:r>
          </w:p>
        </w:tc>
        <w:tc>
          <w:tcPr>
            <w:tcW w:w="1764" w:type="dxa"/>
            <w:tcBorders>
              <w:top w:val="nil"/>
              <w:left w:val="nil"/>
              <w:bottom w:val="nil"/>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w:t>
            </w:r>
          </w:p>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(0,0.001)</w:t>
            </w:r>
          </w:p>
        </w:tc>
      </w:tr>
      <w:tr w:rsidR="00444BCD" w:rsidRPr="00705FC3" w:rsidTr="00EC7E37">
        <w:trPr>
          <w:trHeight w:val="540"/>
        </w:trPr>
        <w:tc>
          <w:tcPr>
            <w:tcW w:w="180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Test for interaction</w:t>
            </w:r>
          </w:p>
        </w:tc>
        <w:tc>
          <w:tcPr>
            <w:tcW w:w="72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669</w:t>
            </w:r>
          </w:p>
        </w:tc>
        <w:tc>
          <w:tcPr>
            <w:tcW w:w="180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0.57</w:t>
            </w:r>
          </w:p>
        </w:tc>
        <w:tc>
          <w:tcPr>
            <w:tcW w:w="180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0.92</w:t>
            </w:r>
          </w:p>
        </w:tc>
        <w:tc>
          <w:tcPr>
            <w:tcW w:w="244"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36"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0.20</w:t>
            </w:r>
          </w:p>
        </w:tc>
        <w:tc>
          <w:tcPr>
            <w:tcW w:w="180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0.21</w:t>
            </w:r>
          </w:p>
        </w:tc>
        <w:tc>
          <w:tcPr>
            <w:tcW w:w="236"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p>
        </w:tc>
        <w:tc>
          <w:tcPr>
            <w:tcW w:w="1780"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0.12</w:t>
            </w:r>
          </w:p>
        </w:tc>
        <w:tc>
          <w:tcPr>
            <w:tcW w:w="1764" w:type="dxa"/>
            <w:tcBorders>
              <w:top w:val="nil"/>
              <w:left w:val="nil"/>
              <w:bottom w:val="single" w:sz="4" w:space="0" w:color="auto"/>
              <w:right w:val="nil"/>
            </w:tcBorders>
            <w:shd w:val="clear" w:color="auto" w:fill="auto"/>
            <w:noWrap/>
            <w:vAlign w:val="center"/>
            <w:hideMark/>
          </w:tcPr>
          <w:p w:rsidR="00444BCD" w:rsidRPr="00705FC3" w:rsidRDefault="00444BCD" w:rsidP="00EC7E37">
            <w:pPr>
              <w:jc w:val="center"/>
              <w:rPr>
                <w:rFonts w:ascii="Arial" w:eastAsia="Times New Roman" w:hAnsi="Arial" w:cs="Arial"/>
                <w:color w:val="000000"/>
                <w:sz w:val="20"/>
                <w:szCs w:val="20"/>
              </w:rPr>
            </w:pPr>
            <w:r w:rsidRPr="00705FC3">
              <w:rPr>
                <w:rFonts w:ascii="Arial" w:eastAsia="Times New Roman" w:hAnsi="Arial" w:cs="Arial"/>
                <w:color w:val="000000"/>
                <w:sz w:val="20"/>
                <w:szCs w:val="20"/>
              </w:rPr>
              <w:t>0.26</w:t>
            </w:r>
          </w:p>
        </w:tc>
      </w:tr>
    </w:tbl>
    <w:p w:rsidR="00344B1D" w:rsidRPr="00705FC3" w:rsidRDefault="00344B1D" w:rsidP="00344B1D">
      <w:pPr>
        <w:rPr>
          <w:lang w:eastAsia="en-US"/>
        </w:rPr>
      </w:pPr>
    </w:p>
    <w:p w:rsidR="00E45765" w:rsidRDefault="00744E9A" w:rsidP="003B5567">
      <w:pPr>
        <w:pStyle w:val="TableNotes"/>
        <w:spacing w:before="0"/>
        <w:sectPr w:rsidR="00E45765" w:rsidSect="003B5567">
          <w:pgSz w:w="15840" w:h="12240" w:orient="landscape"/>
          <w:pgMar w:top="1440" w:right="1440" w:bottom="1440" w:left="1440" w:header="720" w:footer="720" w:gutter="0"/>
          <w:cols w:space="720"/>
          <w:docGrid w:linePitch="360"/>
        </w:sectPr>
      </w:pPr>
      <w:r w:rsidRPr="00705FC3">
        <w:rPr>
          <w:b/>
        </w:rPr>
        <w:t xml:space="preserve">Abbreviations: </w:t>
      </w:r>
      <w:r w:rsidRPr="00705FC3">
        <w:t>HOMA-IR, homeostatic model assessment of insulin resistance; TG/HDL-C, triglyceride to high-density lipoprotein cholesterol ratio; TyG, triglyceride and glucose index; P75, 75</w:t>
      </w:r>
      <w:r w:rsidRPr="00705FC3">
        <w:rPr>
          <w:vertAlign w:val="superscript"/>
        </w:rPr>
        <w:t>th</w:t>
      </w:r>
      <w:r w:rsidRPr="00705FC3">
        <w:t xml:space="preserve"> percentile. </w:t>
      </w:r>
      <w:r w:rsidRPr="00705FC3">
        <w:rPr>
          <w:b/>
        </w:rPr>
        <w:t xml:space="preserve">Footnotes: </w:t>
      </w:r>
      <w:r w:rsidRPr="00705FC3">
        <w:t>The annual rate of change and 95% CI are interpreted as the change in log-transformed insulin resistance index per year. The test for interaction is the p-value of the product term of time in study and high aortic stiffness. Estimates are adjusted for age, gender, and race/study-site. Time in study was the time from Visit 1 to Visit 4 or Visit 5.</w:t>
      </w:r>
      <w:r w:rsidR="00344B1D" w:rsidRPr="00705FC3">
        <w:t xml:space="preserve"> There are n=46 missing percent change in waist circumference.</w:t>
      </w:r>
      <w:r w:rsidR="00344B1D">
        <w:t xml:space="preserve"> </w:t>
      </w:r>
      <w:bookmarkEnd w:id="20"/>
      <w:bookmarkEnd w:id="21"/>
      <w:bookmarkEnd w:id="22"/>
      <w:bookmarkEnd w:id="23"/>
      <w:bookmarkEnd w:id="24"/>
      <w:bookmarkEnd w:id="25"/>
    </w:p>
    <w:p w:rsidR="00E45765" w:rsidRPr="00E101AC" w:rsidRDefault="00E45765" w:rsidP="00E45765">
      <w:pPr>
        <w:spacing w:line="480" w:lineRule="auto"/>
        <w:rPr>
          <w:rFonts w:ascii="Arial" w:hAnsi="Arial" w:cs="Arial"/>
        </w:rPr>
      </w:pPr>
      <w:r w:rsidRPr="003C25BF">
        <w:rPr>
          <w:rFonts w:ascii="Arial" w:hAnsi="Arial" w:cs="Arial"/>
        </w:rPr>
        <w:lastRenderedPageBreak/>
        <w:t xml:space="preserve">Methods </w:t>
      </w:r>
      <w:r w:rsidR="00623B0A">
        <w:rPr>
          <w:rFonts w:ascii="Arial" w:hAnsi="Arial" w:cs="Arial"/>
        </w:rPr>
        <w:t>S</w:t>
      </w:r>
      <w:r w:rsidRPr="003C25BF">
        <w:rPr>
          <w:rFonts w:ascii="Arial" w:hAnsi="Arial" w:cs="Arial"/>
        </w:rPr>
        <w:t>1. Exclusions for insulin resistance indexes at Visits 1, 4, and 5</w:t>
      </w:r>
    </w:p>
    <w:p w:rsidR="00E45765" w:rsidRPr="0072200D" w:rsidRDefault="00E45765" w:rsidP="00E45765">
      <w:pPr>
        <w:spacing w:line="480" w:lineRule="auto"/>
        <w:ind w:firstLine="720"/>
        <w:rPr>
          <w:rFonts w:ascii="Arial" w:hAnsi="Arial" w:cs="Arial"/>
        </w:rPr>
      </w:pPr>
      <w:r w:rsidRPr="0072200D">
        <w:rPr>
          <w:rFonts w:ascii="Arial" w:hAnsi="Arial" w:cs="Arial"/>
        </w:rPr>
        <w:t xml:space="preserve">Insulin resistance indexes were measured at Visits 1, 4, and 5. </w:t>
      </w:r>
      <w:r w:rsidRPr="00C05A25">
        <w:rPr>
          <w:rFonts w:ascii="Arial" w:hAnsi="Arial" w:cs="Arial"/>
        </w:rPr>
        <w:t xml:space="preserve">At Visit 1, we excluded: 1) prevalent diabetes or missing diabetes status at Visit 1 (n=1870 and n=148, respectively); 2) African American </w:t>
      </w:r>
      <w:r>
        <w:rPr>
          <w:rFonts w:ascii="Arial" w:hAnsi="Arial" w:cs="Arial"/>
        </w:rPr>
        <w:t>participants</w:t>
      </w:r>
      <w:r w:rsidRPr="00C05A25">
        <w:rPr>
          <w:rFonts w:ascii="Arial" w:hAnsi="Arial" w:cs="Arial"/>
        </w:rPr>
        <w:t xml:space="preserve"> from the Minneapolis and Washington County field centers, Asian </w:t>
      </w:r>
      <w:r>
        <w:rPr>
          <w:rFonts w:ascii="Arial" w:hAnsi="Arial" w:cs="Arial"/>
        </w:rPr>
        <w:t>participants</w:t>
      </w:r>
      <w:r w:rsidRPr="00C05A25">
        <w:rPr>
          <w:rFonts w:ascii="Arial" w:hAnsi="Arial" w:cs="Arial"/>
        </w:rPr>
        <w:t xml:space="preserve">, and Native American </w:t>
      </w:r>
      <w:r>
        <w:rPr>
          <w:rFonts w:ascii="Arial" w:hAnsi="Arial" w:cs="Arial"/>
        </w:rPr>
        <w:t>participants</w:t>
      </w:r>
      <w:r w:rsidRPr="00C05A25">
        <w:rPr>
          <w:rFonts w:ascii="Arial" w:hAnsi="Arial" w:cs="Arial"/>
        </w:rPr>
        <w:t xml:space="preserve"> due to small sample size (n=95); 3) age &lt;45 years due to small sample size (n=41); and 4) missing covariates at Visit 1 (n=320). At Visits 1, 4, and 5, we </w:t>
      </w:r>
      <w:r w:rsidRPr="000E1001">
        <w:rPr>
          <w:rFonts w:ascii="Arial" w:hAnsi="Arial" w:cs="Arial"/>
        </w:rPr>
        <w:t>excluded</w:t>
      </w:r>
      <w:r w:rsidRPr="00C05A25">
        <w:rPr>
          <w:rFonts w:ascii="Arial" w:hAnsi="Arial" w:cs="Arial"/>
        </w:rPr>
        <w:t xml:space="preserve"> </w:t>
      </w:r>
      <w:r>
        <w:rPr>
          <w:rFonts w:ascii="Arial" w:hAnsi="Arial" w:cs="Arial"/>
        </w:rPr>
        <w:t>participants</w:t>
      </w:r>
      <w:r w:rsidRPr="00C05A25">
        <w:rPr>
          <w:rFonts w:ascii="Arial" w:hAnsi="Arial" w:cs="Arial"/>
        </w:rPr>
        <w:t xml:space="preserve"> with: 1) diabetes or missing diabetes status; 2) fasting &lt;8 hours; and 3) analytes </w:t>
      </w:r>
      <w:r w:rsidRPr="00C05A25">
        <w:rPr>
          <w:rFonts w:ascii="Arial" w:hAnsi="Arial" w:cs="Arial"/>
          <w:bCs/>
        </w:rPr>
        <w:sym w:font="Symbol" w:char="F0B1"/>
      </w:r>
      <w:r w:rsidRPr="00C05A25">
        <w:rPr>
          <w:rFonts w:ascii="Arial" w:hAnsi="Arial" w:cs="Arial"/>
        </w:rPr>
        <w:t xml:space="preserve">3 standard deviations from the mean. Then, we excluded missing either insulin resistance index at Visit 1 (n=770). </w:t>
      </w:r>
      <w:r w:rsidRPr="0072200D">
        <w:rPr>
          <w:rFonts w:ascii="Arial" w:hAnsi="Arial" w:cs="Arial"/>
        </w:rPr>
        <w:t xml:space="preserve">After exclusions, insulin resistance indexes were available for 12,548 participants (of 15,792 participants at </w:t>
      </w:r>
      <w:r>
        <w:rPr>
          <w:rFonts w:ascii="Arial" w:hAnsi="Arial" w:cs="Arial"/>
        </w:rPr>
        <w:t>V</w:t>
      </w:r>
      <w:r w:rsidRPr="0072200D">
        <w:rPr>
          <w:rFonts w:ascii="Arial" w:hAnsi="Arial" w:cs="Arial"/>
        </w:rPr>
        <w:t xml:space="preserve">isit 1). </w:t>
      </w: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p>
    <w:p w:rsidR="00E45765" w:rsidRDefault="00E45765" w:rsidP="00E45765">
      <w:pPr>
        <w:pStyle w:val="Caption"/>
        <w:spacing w:after="0" w:line="480" w:lineRule="auto"/>
        <w:rPr>
          <w:rFonts w:cs="Arial"/>
          <w:sz w:val="24"/>
          <w:szCs w:val="24"/>
        </w:rPr>
      </w:pPr>
      <w:r w:rsidRPr="00F5324D">
        <w:rPr>
          <w:rFonts w:cs="Arial"/>
          <w:sz w:val="24"/>
          <w:szCs w:val="24"/>
        </w:rPr>
        <w:lastRenderedPageBreak/>
        <w:t xml:space="preserve">Methods </w:t>
      </w:r>
      <w:r w:rsidR="00623B0A">
        <w:rPr>
          <w:rFonts w:cs="Arial"/>
          <w:sz w:val="24"/>
          <w:szCs w:val="24"/>
        </w:rPr>
        <w:t>S</w:t>
      </w:r>
      <w:r w:rsidRPr="00F5324D">
        <w:rPr>
          <w:rFonts w:cs="Arial"/>
          <w:sz w:val="24"/>
          <w:szCs w:val="24"/>
        </w:rPr>
        <w:t>2</w:t>
      </w:r>
      <w:r>
        <w:rPr>
          <w:rFonts w:cs="Arial"/>
          <w:sz w:val="24"/>
          <w:szCs w:val="24"/>
        </w:rPr>
        <w:t>.</w:t>
      </w:r>
      <w:r w:rsidRPr="00F5324D">
        <w:rPr>
          <w:rFonts w:cs="Arial"/>
          <w:sz w:val="24"/>
          <w:szCs w:val="24"/>
        </w:rPr>
        <w:t xml:space="preserve"> Addressing informative censoring from diabetes and death using shared parameter models</w:t>
      </w:r>
    </w:p>
    <w:p w:rsidR="00E45765" w:rsidRPr="00095B65" w:rsidRDefault="00E45765" w:rsidP="00E45765">
      <w:pPr>
        <w:rPr>
          <w:lang w:eastAsia="en-US"/>
        </w:rPr>
      </w:pPr>
    </w:p>
    <w:p w:rsidR="00E45765" w:rsidRPr="00C05A25" w:rsidRDefault="00E45765" w:rsidP="00E45765">
      <w:pPr>
        <w:spacing w:line="480" w:lineRule="auto"/>
        <w:ind w:firstLine="720"/>
        <w:rPr>
          <w:rFonts w:ascii="Arial" w:hAnsi="Arial" w:cs="Arial"/>
        </w:rPr>
      </w:pPr>
      <w:r w:rsidRPr="00C05A25">
        <w:rPr>
          <w:rFonts w:ascii="Arial" w:hAnsi="Arial" w:cs="Arial"/>
          <w:b/>
        </w:rPr>
        <w:t>Introduction:</w:t>
      </w:r>
      <w:r w:rsidRPr="00C05A25">
        <w:rPr>
          <w:rFonts w:ascii="Arial" w:hAnsi="Arial" w:cs="Arial"/>
        </w:rPr>
        <w:t xml:space="preserve"> Our goal was to describe insulin resistance indexes from mid-life to late-life. We hypothesized that insulin resistance indexes increased from mid-life to late-life.</w:t>
      </w:r>
    </w:p>
    <w:p w:rsidR="00E45765" w:rsidRPr="00C05A25" w:rsidRDefault="00E45765" w:rsidP="00E45765">
      <w:pPr>
        <w:spacing w:line="480" w:lineRule="auto"/>
        <w:ind w:firstLine="720"/>
        <w:rPr>
          <w:rFonts w:ascii="Arial" w:hAnsi="Arial" w:cs="Arial"/>
        </w:rPr>
      </w:pPr>
      <w:r w:rsidRPr="00C05A25">
        <w:rPr>
          <w:rFonts w:ascii="Arial" w:hAnsi="Arial" w:cs="Arial"/>
          <w:b/>
        </w:rPr>
        <w:t>Study Population:</w:t>
      </w:r>
      <w:r w:rsidRPr="00C05A25">
        <w:rPr>
          <w:rFonts w:ascii="Arial" w:hAnsi="Arial" w:cs="Arial"/>
        </w:rPr>
        <w:t xml:space="preserve"> The Atherosclerosis Risk in Communities Study is an ongoing prospective study of 15,792 adults 45 to 64 years old at baseline, with standardized examinations at Visit 1 (1987-89), Visit 2 (1990-92), Visit 3 (1993-95), Visit 4 (1996-98), and Visit 5 (2011-13). At Visit 1, we excluded: 1) prevalent diabetes or missing diabetes status at Visit 1 (n=1870 and n=148, respectively); 2) African American adults from the Minneapolis and Washington County field centers, Asian adults, and Native American adults due to small sample size (n=95); 3) age &lt;45 years due to small sample size (n=41); and 4) missing covariates at Visit 1 (n=320). At Visits 1, 4, and 5, we </w:t>
      </w:r>
      <w:r w:rsidRPr="000E1001">
        <w:rPr>
          <w:rFonts w:ascii="Arial" w:hAnsi="Arial" w:cs="Arial"/>
        </w:rPr>
        <w:t>excluded</w:t>
      </w:r>
      <w:r w:rsidRPr="00C05A25">
        <w:rPr>
          <w:rFonts w:ascii="Arial" w:hAnsi="Arial" w:cs="Arial"/>
        </w:rPr>
        <w:t xml:space="preserve"> adults with: 1) diabetes or missing diabetes status; 2) fasting &lt;8 hours; and 3) analytes </w:t>
      </w:r>
      <w:r w:rsidRPr="00C05A25">
        <w:rPr>
          <w:rFonts w:ascii="Arial" w:hAnsi="Arial" w:cs="Arial"/>
          <w:bCs/>
        </w:rPr>
        <w:sym w:font="Symbol" w:char="F0B1"/>
      </w:r>
      <w:r w:rsidRPr="00C05A25">
        <w:rPr>
          <w:rFonts w:ascii="Arial" w:hAnsi="Arial" w:cs="Arial"/>
        </w:rPr>
        <w:t xml:space="preserve">3 standard deviations from the mean. Then, we excluded missing either insulin resistance index at Visit 1 (n=770). The analytic set included 12,548 adults. </w:t>
      </w:r>
    </w:p>
    <w:p w:rsidR="00E45765" w:rsidRPr="00C05A25" w:rsidRDefault="00E45765" w:rsidP="00E45765">
      <w:pPr>
        <w:spacing w:line="480" w:lineRule="auto"/>
        <w:ind w:firstLine="720"/>
        <w:rPr>
          <w:rFonts w:ascii="Arial" w:hAnsi="Arial" w:cs="Arial"/>
        </w:rPr>
      </w:pPr>
      <w:r w:rsidRPr="00C05A25">
        <w:rPr>
          <w:rFonts w:ascii="Arial" w:hAnsi="Arial" w:cs="Arial"/>
          <w:b/>
        </w:rPr>
        <w:t xml:space="preserve">Methods: </w:t>
      </w:r>
      <w:r w:rsidRPr="00C05A25">
        <w:rPr>
          <w:rFonts w:ascii="Arial" w:hAnsi="Arial" w:cs="Arial"/>
        </w:rPr>
        <w:t xml:space="preserve">Insulin resistance indexes included: the homeostatic model assessment of insulin resistance, calculated as HOMA-IR = (fasting glucose in mg/dL) x (fasting insulin in μU/mL) / 405; and the triglyceride to high-density lipoprotein cholesterol ratio, calculated as TG/HDL-C = (triglyceride in mg/dL) / (high-density lipoprotein cholesterol in mg/dL). Mean and median were used to describe insulin resistance indexes by time in study. Linear mixed effects models were used to estimate </w:t>
      </w:r>
      <w:r w:rsidRPr="00C05A25">
        <w:rPr>
          <w:rFonts w:ascii="Arial" w:hAnsi="Arial" w:cs="Arial"/>
        </w:rPr>
        <w:lastRenderedPageBreak/>
        <w:t xml:space="preserve">the rate of change. Shared parameter models were used to address potential bias introduced by informative censoring due to diabetes and death. Covariates, initially chosen for their role as predictors of insulin resistance, were selected using the likelihood ratio test. Selected covariates included time in study as a linear spline term due to non-linearity at 9 years. </w:t>
      </w:r>
      <w:r w:rsidRPr="001A36EF">
        <w:rPr>
          <w:rFonts w:ascii="Arial" w:hAnsi="Arial" w:cs="Arial"/>
        </w:rPr>
        <w:t xml:space="preserve">Other covariates at Visit 1 included: gender, race, waist circumference, systolic blood pressure, blood pressure lowering </w:t>
      </w:r>
      <w:proofErr w:type="spellStart"/>
      <w:r w:rsidRPr="001A36EF">
        <w:rPr>
          <w:rFonts w:ascii="Arial" w:hAnsi="Arial" w:cs="Arial"/>
        </w:rPr>
        <w:t>medicaitons</w:t>
      </w:r>
      <w:proofErr w:type="spellEnd"/>
      <w:r w:rsidRPr="001A36EF">
        <w:rPr>
          <w:rFonts w:ascii="Arial" w:hAnsi="Arial" w:cs="Arial"/>
        </w:rPr>
        <w:t>, current smoker status, family history of diabetes, and leisure time index.</w:t>
      </w:r>
      <w:r>
        <w:rPr>
          <w:rFonts w:ascii="Arial" w:hAnsi="Arial" w:cs="Arial"/>
        </w:rPr>
        <w:t xml:space="preserve"> </w:t>
      </w:r>
      <w:r w:rsidRPr="00C05A25">
        <w:rPr>
          <w:rFonts w:ascii="Arial" w:hAnsi="Arial" w:cs="Arial"/>
        </w:rPr>
        <w:t>The insulin resistance indexes were log-transformed due to skew. Estimates were thus interpreted as the change in log-units per year and, for ease of interpretation, re-expressed as the percent change per year [(e</w:t>
      </w:r>
      <w:r w:rsidRPr="00C05A25">
        <w:rPr>
          <w:rFonts w:ascii="Arial" w:hAnsi="Arial" w:cs="Arial"/>
          <w:vertAlign w:val="superscript"/>
        </w:rPr>
        <w:t>β</w:t>
      </w:r>
      <w:r w:rsidRPr="00C05A25">
        <w:rPr>
          <w:rFonts w:ascii="Arial" w:hAnsi="Arial" w:cs="Arial"/>
        </w:rPr>
        <w:t xml:space="preserve"> – 1) x 100].</w:t>
      </w:r>
    </w:p>
    <w:p w:rsidR="00E45765" w:rsidRPr="00C05A25" w:rsidRDefault="00E45765" w:rsidP="00E45765">
      <w:pPr>
        <w:spacing w:line="480" w:lineRule="auto"/>
        <w:ind w:firstLine="720"/>
        <w:rPr>
          <w:rFonts w:ascii="Arial" w:hAnsi="Arial" w:cs="Arial"/>
          <w:b/>
        </w:rPr>
      </w:pPr>
      <w:r w:rsidRPr="00C05A25">
        <w:rPr>
          <w:rFonts w:ascii="Arial" w:hAnsi="Arial" w:cs="Arial"/>
          <w:b/>
        </w:rPr>
        <w:t xml:space="preserve">Results: </w:t>
      </w:r>
      <w:r w:rsidRPr="00C05A25">
        <w:rPr>
          <w:rFonts w:ascii="Arial" w:hAnsi="Arial" w:cs="Arial"/>
        </w:rPr>
        <w:t xml:space="preserve">Mean age was 54 years, 56% (n=7,003) were female, and 23% (n=2,830) were African American. Mean time in study was 0, 3, 6, 9, and 24 years. For HOMA-IR, the median increased from 2.07 to 2.32 from baseline to 9 years in study; the median increased to 2.44 from 9 years to 24 years in study. For TG/HDL-C, the median increased from 2.21 to 2.47 from baseline to 9 years in study; the median decreased to 2.00 from 9 years to 24 years in study. For log-transformed HOMA-IR, the change per year was 0.019; after 9 years in study, the change per year was 0.010. The corresponding percent change per year before and after 9 years in study was 1.9% and 1.0%, respectively. For log-transformed TG/HDL-C, the change per year was 0.017; after 9 years in study, the change per year was -0.008. The corresponding percent change per year before and after 9 years was 1.7% and -0.8%, respectively. </w:t>
      </w:r>
    </w:p>
    <w:p w:rsidR="00E45765" w:rsidRPr="00E45765" w:rsidRDefault="00E45765" w:rsidP="00E45765">
      <w:pPr>
        <w:spacing w:line="480" w:lineRule="auto"/>
        <w:ind w:firstLine="720"/>
        <w:rPr>
          <w:rFonts w:ascii="Arial" w:hAnsi="Arial" w:cs="Arial"/>
        </w:rPr>
      </w:pPr>
      <w:r w:rsidRPr="00C05A25">
        <w:rPr>
          <w:rFonts w:ascii="Arial" w:hAnsi="Arial" w:cs="Arial"/>
        </w:rPr>
        <w:t xml:space="preserve">There was evidence of informative censoring, but the associated bias was minimal. For log-transformed HOMA-IR, the rate of change before and after 9 years of </w:t>
      </w:r>
      <w:r w:rsidRPr="00C05A25">
        <w:rPr>
          <w:rFonts w:ascii="Arial" w:hAnsi="Arial" w:cs="Arial"/>
        </w:rPr>
        <w:lastRenderedPageBreak/>
        <w:t xml:space="preserve">0.019 and 0.010 increased, respectively, to 0.023 and 0.014 after addressing informative censoring. For log-transformed TG/HDL-C, the rate of change before and after 9 years of 0.017 and -0.008 increased, respectively, to 0.018 and -0.007 after addressing informative censoring. Addressing bias indicated steeper rates of change, </w:t>
      </w:r>
      <w:r w:rsidRPr="00E45765">
        <w:rPr>
          <w:rFonts w:ascii="Arial" w:hAnsi="Arial" w:cs="Arial"/>
        </w:rPr>
        <w:t>but on average, the magnitude of bias was ignorable.</w:t>
      </w:r>
    </w:p>
    <w:p w:rsidR="007F2EE2" w:rsidRPr="00E45765" w:rsidRDefault="00E45765" w:rsidP="00E45765">
      <w:pPr>
        <w:pStyle w:val="TableNotes"/>
        <w:spacing w:before="0" w:line="480" w:lineRule="auto"/>
        <w:ind w:firstLine="720"/>
        <w:rPr>
          <w:rFonts w:cs="Arial"/>
          <w:sz w:val="24"/>
          <w:szCs w:val="24"/>
        </w:rPr>
      </w:pPr>
      <w:r w:rsidRPr="00E45765">
        <w:rPr>
          <w:rFonts w:cs="Arial"/>
          <w:b/>
          <w:sz w:val="24"/>
          <w:szCs w:val="24"/>
        </w:rPr>
        <w:t xml:space="preserve">Conclusions: </w:t>
      </w:r>
      <w:r w:rsidRPr="00E45765">
        <w:rPr>
          <w:rFonts w:cs="Arial"/>
          <w:sz w:val="24"/>
          <w:szCs w:val="24"/>
        </w:rPr>
        <w:t>In adults without diabetes, insulin resistance indexes increase from mid-life to late-life, which may be consistent with (occur together with) the accumulation of risk factors from mid-life to late-life. Understanding the temporal patterns of insulin resistance indexes can inform strategies for primary prevention.</w:t>
      </w:r>
    </w:p>
    <w:sectPr w:rsidR="007F2EE2" w:rsidRPr="00E45765" w:rsidSect="00E457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D8D" w:rsidRDefault="00BB4D8D" w:rsidP="00AD332B">
      <w:r>
        <w:separator/>
      </w:r>
    </w:p>
  </w:endnote>
  <w:endnote w:type="continuationSeparator" w:id="0">
    <w:p w:rsidR="00BB4D8D" w:rsidRDefault="00BB4D8D" w:rsidP="00AD3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3" w:usb1="10000000" w:usb2="00000000" w:usb3="00000000" w:csb0="80000001"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D8D" w:rsidRDefault="00BB4D8D" w:rsidP="00AD332B">
      <w:r>
        <w:separator/>
      </w:r>
    </w:p>
  </w:footnote>
  <w:footnote w:type="continuationSeparator" w:id="0">
    <w:p w:rsidR="00BB4D8D" w:rsidRDefault="00BB4D8D" w:rsidP="00AD3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DD3" w:rsidRDefault="00600D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tffdx0awsxsxppe0rxlpwrts2dravvts9tff&quot;&gt;My EndNote Library&lt;record-ids&gt;&lt;item&gt;476&lt;/item&gt;&lt;item&gt;488&lt;/item&gt;&lt;item&gt;509&lt;/item&gt;&lt;item&gt;522&lt;/item&gt;&lt;item&gt;528&lt;/item&gt;&lt;item&gt;541&lt;/item&gt;&lt;item&gt;546&lt;/item&gt;&lt;item&gt;617&lt;/item&gt;&lt;item&gt;640&lt;/item&gt;&lt;item&gt;652&lt;/item&gt;&lt;item&gt;653&lt;/item&gt;&lt;item&gt;655&lt;/item&gt;&lt;item&gt;673&lt;/item&gt;&lt;item&gt;674&lt;/item&gt;&lt;item&gt;675&lt;/item&gt;&lt;item&gt;709&lt;/item&gt;&lt;item&gt;718&lt;/item&gt;&lt;item&gt;725&lt;/item&gt;&lt;item&gt;726&lt;/item&gt;&lt;item&gt;742&lt;/item&gt;&lt;item&gt;769&lt;/item&gt;&lt;item&gt;796&lt;/item&gt;&lt;item&gt;802&lt;/item&gt;&lt;item&gt;815&lt;/item&gt;&lt;item&gt;816&lt;/item&gt;&lt;item&gt;820&lt;/item&gt;&lt;item&gt;821&lt;/item&gt;&lt;item&gt;822&lt;/item&gt;&lt;item&gt;897&lt;/item&gt;&lt;item&gt;911&lt;/item&gt;&lt;item&gt;916&lt;/item&gt;&lt;item&gt;919&lt;/item&gt;&lt;item&gt;922&lt;/item&gt;&lt;item&gt;923&lt;/item&gt;&lt;/record-ids&gt;&lt;/item&gt;&lt;/Libraries&gt;"/>
  </w:docVars>
  <w:rsids>
    <w:rsidRoot w:val="00310B27"/>
    <w:rsid w:val="00000878"/>
    <w:rsid w:val="00003528"/>
    <w:rsid w:val="00003E92"/>
    <w:rsid w:val="0000733E"/>
    <w:rsid w:val="00013DB7"/>
    <w:rsid w:val="00013E79"/>
    <w:rsid w:val="00023075"/>
    <w:rsid w:val="00030E79"/>
    <w:rsid w:val="00035097"/>
    <w:rsid w:val="0004102C"/>
    <w:rsid w:val="00041887"/>
    <w:rsid w:val="00050E28"/>
    <w:rsid w:val="00061DDA"/>
    <w:rsid w:val="00067BBE"/>
    <w:rsid w:val="0007117A"/>
    <w:rsid w:val="00075645"/>
    <w:rsid w:val="00075BB7"/>
    <w:rsid w:val="000776C8"/>
    <w:rsid w:val="00077DDF"/>
    <w:rsid w:val="00080733"/>
    <w:rsid w:val="0009483C"/>
    <w:rsid w:val="00095B65"/>
    <w:rsid w:val="00096CD2"/>
    <w:rsid w:val="000A25C8"/>
    <w:rsid w:val="000D05D4"/>
    <w:rsid w:val="000D2695"/>
    <w:rsid w:val="000D2C03"/>
    <w:rsid w:val="000D5034"/>
    <w:rsid w:val="000D6BAE"/>
    <w:rsid w:val="000E1001"/>
    <w:rsid w:val="000F43A8"/>
    <w:rsid w:val="000F64E9"/>
    <w:rsid w:val="001019FD"/>
    <w:rsid w:val="00114E42"/>
    <w:rsid w:val="0011745A"/>
    <w:rsid w:val="00124ED2"/>
    <w:rsid w:val="00125D53"/>
    <w:rsid w:val="00133BB4"/>
    <w:rsid w:val="0013569D"/>
    <w:rsid w:val="0014103C"/>
    <w:rsid w:val="00153006"/>
    <w:rsid w:val="00155C75"/>
    <w:rsid w:val="00157AB2"/>
    <w:rsid w:val="0016169B"/>
    <w:rsid w:val="00164C4A"/>
    <w:rsid w:val="00170999"/>
    <w:rsid w:val="00170DBC"/>
    <w:rsid w:val="00174549"/>
    <w:rsid w:val="001751CA"/>
    <w:rsid w:val="0018229D"/>
    <w:rsid w:val="00186A7C"/>
    <w:rsid w:val="00187B97"/>
    <w:rsid w:val="001A2BAD"/>
    <w:rsid w:val="001A36EF"/>
    <w:rsid w:val="001B1BD1"/>
    <w:rsid w:val="001B2444"/>
    <w:rsid w:val="001B6EDA"/>
    <w:rsid w:val="001C12CE"/>
    <w:rsid w:val="001C2727"/>
    <w:rsid w:val="001D01E5"/>
    <w:rsid w:val="001D4510"/>
    <w:rsid w:val="001D4752"/>
    <w:rsid w:val="001D7BF2"/>
    <w:rsid w:val="001E1996"/>
    <w:rsid w:val="001E6451"/>
    <w:rsid w:val="002205A7"/>
    <w:rsid w:val="00223B0C"/>
    <w:rsid w:val="00224AE4"/>
    <w:rsid w:val="002332A9"/>
    <w:rsid w:val="0023446E"/>
    <w:rsid w:val="002347DF"/>
    <w:rsid w:val="0024424D"/>
    <w:rsid w:val="002524D4"/>
    <w:rsid w:val="00257795"/>
    <w:rsid w:val="0026394C"/>
    <w:rsid w:val="00272443"/>
    <w:rsid w:val="002735A9"/>
    <w:rsid w:val="0027586D"/>
    <w:rsid w:val="00281BF5"/>
    <w:rsid w:val="002A2A46"/>
    <w:rsid w:val="002A3337"/>
    <w:rsid w:val="002B1647"/>
    <w:rsid w:val="002B2FB9"/>
    <w:rsid w:val="002B423B"/>
    <w:rsid w:val="002C5242"/>
    <w:rsid w:val="002D0552"/>
    <w:rsid w:val="002D3917"/>
    <w:rsid w:val="002E1D5A"/>
    <w:rsid w:val="002F05C7"/>
    <w:rsid w:val="002F138D"/>
    <w:rsid w:val="002F349F"/>
    <w:rsid w:val="00310B27"/>
    <w:rsid w:val="00314571"/>
    <w:rsid w:val="00321BC6"/>
    <w:rsid w:val="003258E7"/>
    <w:rsid w:val="003264EB"/>
    <w:rsid w:val="00327D78"/>
    <w:rsid w:val="00332510"/>
    <w:rsid w:val="0033697F"/>
    <w:rsid w:val="00344B1D"/>
    <w:rsid w:val="0034639C"/>
    <w:rsid w:val="00347E4E"/>
    <w:rsid w:val="0035143A"/>
    <w:rsid w:val="003531D8"/>
    <w:rsid w:val="00356100"/>
    <w:rsid w:val="003577DE"/>
    <w:rsid w:val="00367F11"/>
    <w:rsid w:val="003708E2"/>
    <w:rsid w:val="0037524A"/>
    <w:rsid w:val="0039500C"/>
    <w:rsid w:val="00395F10"/>
    <w:rsid w:val="00396D69"/>
    <w:rsid w:val="00396F42"/>
    <w:rsid w:val="00397E8A"/>
    <w:rsid w:val="003A21FA"/>
    <w:rsid w:val="003A4CE0"/>
    <w:rsid w:val="003A7D41"/>
    <w:rsid w:val="003B23E7"/>
    <w:rsid w:val="003B3A17"/>
    <w:rsid w:val="003B4359"/>
    <w:rsid w:val="003B5567"/>
    <w:rsid w:val="003C25BF"/>
    <w:rsid w:val="003D0511"/>
    <w:rsid w:val="003D08E1"/>
    <w:rsid w:val="003D0C67"/>
    <w:rsid w:val="003D10C9"/>
    <w:rsid w:val="003E23EB"/>
    <w:rsid w:val="003E2965"/>
    <w:rsid w:val="003E449A"/>
    <w:rsid w:val="003E5E0C"/>
    <w:rsid w:val="003E69D5"/>
    <w:rsid w:val="003F7DD9"/>
    <w:rsid w:val="0040539E"/>
    <w:rsid w:val="00406BC7"/>
    <w:rsid w:val="004114C8"/>
    <w:rsid w:val="00414D88"/>
    <w:rsid w:val="00416D27"/>
    <w:rsid w:val="00431822"/>
    <w:rsid w:val="00432153"/>
    <w:rsid w:val="00433E83"/>
    <w:rsid w:val="00434AA1"/>
    <w:rsid w:val="004419C6"/>
    <w:rsid w:val="00444BCD"/>
    <w:rsid w:val="0044548C"/>
    <w:rsid w:val="00447A88"/>
    <w:rsid w:val="004513C3"/>
    <w:rsid w:val="00453958"/>
    <w:rsid w:val="004620EB"/>
    <w:rsid w:val="0046480C"/>
    <w:rsid w:val="00471751"/>
    <w:rsid w:val="00476958"/>
    <w:rsid w:val="004A1632"/>
    <w:rsid w:val="004A1B28"/>
    <w:rsid w:val="004A4572"/>
    <w:rsid w:val="004A5356"/>
    <w:rsid w:val="004B0395"/>
    <w:rsid w:val="004C14E6"/>
    <w:rsid w:val="004C26A6"/>
    <w:rsid w:val="004C7AA0"/>
    <w:rsid w:val="004D3F42"/>
    <w:rsid w:val="004D69FF"/>
    <w:rsid w:val="004E055C"/>
    <w:rsid w:val="004E3C30"/>
    <w:rsid w:val="004F2DEE"/>
    <w:rsid w:val="004F2E48"/>
    <w:rsid w:val="00500231"/>
    <w:rsid w:val="005010C1"/>
    <w:rsid w:val="005077FD"/>
    <w:rsid w:val="00520113"/>
    <w:rsid w:val="005241DD"/>
    <w:rsid w:val="00527F13"/>
    <w:rsid w:val="00531267"/>
    <w:rsid w:val="00534110"/>
    <w:rsid w:val="00535224"/>
    <w:rsid w:val="00543846"/>
    <w:rsid w:val="005527A0"/>
    <w:rsid w:val="005570C2"/>
    <w:rsid w:val="00560505"/>
    <w:rsid w:val="0056235C"/>
    <w:rsid w:val="00562FD9"/>
    <w:rsid w:val="0056639D"/>
    <w:rsid w:val="00572E7D"/>
    <w:rsid w:val="0057378E"/>
    <w:rsid w:val="00582706"/>
    <w:rsid w:val="0058486E"/>
    <w:rsid w:val="00584C9C"/>
    <w:rsid w:val="00594D1C"/>
    <w:rsid w:val="005963CD"/>
    <w:rsid w:val="005967ED"/>
    <w:rsid w:val="005A7B75"/>
    <w:rsid w:val="005B33FF"/>
    <w:rsid w:val="005B66F5"/>
    <w:rsid w:val="005C5EF2"/>
    <w:rsid w:val="005C6E29"/>
    <w:rsid w:val="005C71C6"/>
    <w:rsid w:val="005C7535"/>
    <w:rsid w:val="005D23B8"/>
    <w:rsid w:val="005D4F5B"/>
    <w:rsid w:val="005E316B"/>
    <w:rsid w:val="005F2979"/>
    <w:rsid w:val="005F59F4"/>
    <w:rsid w:val="00600DD3"/>
    <w:rsid w:val="0060357A"/>
    <w:rsid w:val="00603ED9"/>
    <w:rsid w:val="00607D22"/>
    <w:rsid w:val="0061530F"/>
    <w:rsid w:val="0061698C"/>
    <w:rsid w:val="00623B0A"/>
    <w:rsid w:val="00651F51"/>
    <w:rsid w:val="00652E95"/>
    <w:rsid w:val="006542E4"/>
    <w:rsid w:val="006570E5"/>
    <w:rsid w:val="006570FF"/>
    <w:rsid w:val="00657276"/>
    <w:rsid w:val="0065761B"/>
    <w:rsid w:val="00662F3A"/>
    <w:rsid w:val="0066465F"/>
    <w:rsid w:val="00665281"/>
    <w:rsid w:val="006678FA"/>
    <w:rsid w:val="00670405"/>
    <w:rsid w:val="006776B9"/>
    <w:rsid w:val="006A5D11"/>
    <w:rsid w:val="006A7D21"/>
    <w:rsid w:val="006B138E"/>
    <w:rsid w:val="006B21B6"/>
    <w:rsid w:val="006B2B86"/>
    <w:rsid w:val="006C07A4"/>
    <w:rsid w:val="006C13EC"/>
    <w:rsid w:val="006D1ADF"/>
    <w:rsid w:val="006D3A5B"/>
    <w:rsid w:val="006D58E6"/>
    <w:rsid w:val="006E3166"/>
    <w:rsid w:val="006E3261"/>
    <w:rsid w:val="006E4BFB"/>
    <w:rsid w:val="006F0908"/>
    <w:rsid w:val="00701526"/>
    <w:rsid w:val="00705FC3"/>
    <w:rsid w:val="0071663F"/>
    <w:rsid w:val="0072200D"/>
    <w:rsid w:val="0072305F"/>
    <w:rsid w:val="00733020"/>
    <w:rsid w:val="00744E9A"/>
    <w:rsid w:val="0074529C"/>
    <w:rsid w:val="00751B08"/>
    <w:rsid w:val="007644E4"/>
    <w:rsid w:val="007652C8"/>
    <w:rsid w:val="00770CCB"/>
    <w:rsid w:val="00782E58"/>
    <w:rsid w:val="00786987"/>
    <w:rsid w:val="007869A1"/>
    <w:rsid w:val="007878D9"/>
    <w:rsid w:val="00793740"/>
    <w:rsid w:val="007A0669"/>
    <w:rsid w:val="007A0A1C"/>
    <w:rsid w:val="007A4C94"/>
    <w:rsid w:val="007A6A5A"/>
    <w:rsid w:val="007A7668"/>
    <w:rsid w:val="007C07A9"/>
    <w:rsid w:val="007C5D31"/>
    <w:rsid w:val="007D0B00"/>
    <w:rsid w:val="007F2EE2"/>
    <w:rsid w:val="007F46EC"/>
    <w:rsid w:val="007F653C"/>
    <w:rsid w:val="00803136"/>
    <w:rsid w:val="00803C7B"/>
    <w:rsid w:val="008105B0"/>
    <w:rsid w:val="0081374B"/>
    <w:rsid w:val="00815E0D"/>
    <w:rsid w:val="008178BB"/>
    <w:rsid w:val="00830D85"/>
    <w:rsid w:val="00835F8A"/>
    <w:rsid w:val="00840DC8"/>
    <w:rsid w:val="00852512"/>
    <w:rsid w:val="00852567"/>
    <w:rsid w:val="00853A27"/>
    <w:rsid w:val="00856D65"/>
    <w:rsid w:val="00866850"/>
    <w:rsid w:val="00870168"/>
    <w:rsid w:val="0087519D"/>
    <w:rsid w:val="00875716"/>
    <w:rsid w:val="00877ACA"/>
    <w:rsid w:val="00880C63"/>
    <w:rsid w:val="00881282"/>
    <w:rsid w:val="00882D88"/>
    <w:rsid w:val="00883EE5"/>
    <w:rsid w:val="008877E7"/>
    <w:rsid w:val="008935F7"/>
    <w:rsid w:val="00894AAD"/>
    <w:rsid w:val="008A63D4"/>
    <w:rsid w:val="008B04FC"/>
    <w:rsid w:val="008B54E1"/>
    <w:rsid w:val="008C3F16"/>
    <w:rsid w:val="008C4188"/>
    <w:rsid w:val="008D1DFF"/>
    <w:rsid w:val="008D24E9"/>
    <w:rsid w:val="008D5615"/>
    <w:rsid w:val="008D6C6A"/>
    <w:rsid w:val="008E0596"/>
    <w:rsid w:val="00902AB1"/>
    <w:rsid w:val="00912156"/>
    <w:rsid w:val="00914C16"/>
    <w:rsid w:val="0092734F"/>
    <w:rsid w:val="009339DA"/>
    <w:rsid w:val="009369C7"/>
    <w:rsid w:val="009370E4"/>
    <w:rsid w:val="009543F9"/>
    <w:rsid w:val="009551CF"/>
    <w:rsid w:val="009664F8"/>
    <w:rsid w:val="0096779A"/>
    <w:rsid w:val="00970A99"/>
    <w:rsid w:val="00971830"/>
    <w:rsid w:val="009722C0"/>
    <w:rsid w:val="009729F8"/>
    <w:rsid w:val="009760F2"/>
    <w:rsid w:val="00976A31"/>
    <w:rsid w:val="00990289"/>
    <w:rsid w:val="009907FE"/>
    <w:rsid w:val="00990B69"/>
    <w:rsid w:val="00992B56"/>
    <w:rsid w:val="009A3F46"/>
    <w:rsid w:val="009B1E14"/>
    <w:rsid w:val="009B650D"/>
    <w:rsid w:val="009B6CDB"/>
    <w:rsid w:val="009C1803"/>
    <w:rsid w:val="009C6795"/>
    <w:rsid w:val="009D3526"/>
    <w:rsid w:val="009D3E86"/>
    <w:rsid w:val="009D5CF2"/>
    <w:rsid w:val="009E1E9D"/>
    <w:rsid w:val="009E4186"/>
    <w:rsid w:val="009F1FD0"/>
    <w:rsid w:val="009F4B86"/>
    <w:rsid w:val="009F4CA2"/>
    <w:rsid w:val="00A03E8A"/>
    <w:rsid w:val="00A11D27"/>
    <w:rsid w:val="00A141AD"/>
    <w:rsid w:val="00A21F33"/>
    <w:rsid w:val="00A253D6"/>
    <w:rsid w:val="00A2684E"/>
    <w:rsid w:val="00A3322E"/>
    <w:rsid w:val="00A34523"/>
    <w:rsid w:val="00A449D5"/>
    <w:rsid w:val="00A51042"/>
    <w:rsid w:val="00A53FAB"/>
    <w:rsid w:val="00A56263"/>
    <w:rsid w:val="00A60732"/>
    <w:rsid w:val="00A81872"/>
    <w:rsid w:val="00A85E36"/>
    <w:rsid w:val="00A86AB7"/>
    <w:rsid w:val="00A94C6E"/>
    <w:rsid w:val="00A955D0"/>
    <w:rsid w:val="00AA2476"/>
    <w:rsid w:val="00AA5152"/>
    <w:rsid w:val="00AC2F2A"/>
    <w:rsid w:val="00AC5724"/>
    <w:rsid w:val="00AD332B"/>
    <w:rsid w:val="00AE409C"/>
    <w:rsid w:val="00AE7579"/>
    <w:rsid w:val="00AF3243"/>
    <w:rsid w:val="00B21D25"/>
    <w:rsid w:val="00B224C8"/>
    <w:rsid w:val="00B23508"/>
    <w:rsid w:val="00B27BE8"/>
    <w:rsid w:val="00B31A5E"/>
    <w:rsid w:val="00B422C3"/>
    <w:rsid w:val="00B53EE1"/>
    <w:rsid w:val="00B609A1"/>
    <w:rsid w:val="00B830FD"/>
    <w:rsid w:val="00B86998"/>
    <w:rsid w:val="00BA15AF"/>
    <w:rsid w:val="00BA5C4A"/>
    <w:rsid w:val="00BB1890"/>
    <w:rsid w:val="00BB4D8D"/>
    <w:rsid w:val="00BB56E8"/>
    <w:rsid w:val="00BC012E"/>
    <w:rsid w:val="00BD458A"/>
    <w:rsid w:val="00BD4BD6"/>
    <w:rsid w:val="00C0371D"/>
    <w:rsid w:val="00C03C45"/>
    <w:rsid w:val="00C05A25"/>
    <w:rsid w:val="00C11217"/>
    <w:rsid w:val="00C13061"/>
    <w:rsid w:val="00C16463"/>
    <w:rsid w:val="00C22887"/>
    <w:rsid w:val="00C25BE1"/>
    <w:rsid w:val="00C25C7F"/>
    <w:rsid w:val="00C2637A"/>
    <w:rsid w:val="00C35E2A"/>
    <w:rsid w:val="00C53F0A"/>
    <w:rsid w:val="00C710F2"/>
    <w:rsid w:val="00C729FB"/>
    <w:rsid w:val="00C81909"/>
    <w:rsid w:val="00C83183"/>
    <w:rsid w:val="00C86579"/>
    <w:rsid w:val="00C8702F"/>
    <w:rsid w:val="00CA70D8"/>
    <w:rsid w:val="00CB42AD"/>
    <w:rsid w:val="00CB4BA1"/>
    <w:rsid w:val="00CB4D6E"/>
    <w:rsid w:val="00CB5F8B"/>
    <w:rsid w:val="00CC1DAE"/>
    <w:rsid w:val="00CC369C"/>
    <w:rsid w:val="00CC600E"/>
    <w:rsid w:val="00CD35DC"/>
    <w:rsid w:val="00CF17BA"/>
    <w:rsid w:val="00CF40FA"/>
    <w:rsid w:val="00CF4E90"/>
    <w:rsid w:val="00D2479B"/>
    <w:rsid w:val="00D37690"/>
    <w:rsid w:val="00D422CF"/>
    <w:rsid w:val="00D43E9E"/>
    <w:rsid w:val="00D45F48"/>
    <w:rsid w:val="00D537FE"/>
    <w:rsid w:val="00D53A56"/>
    <w:rsid w:val="00D56789"/>
    <w:rsid w:val="00D5695F"/>
    <w:rsid w:val="00D60774"/>
    <w:rsid w:val="00D610CA"/>
    <w:rsid w:val="00D62514"/>
    <w:rsid w:val="00D7121C"/>
    <w:rsid w:val="00D8210F"/>
    <w:rsid w:val="00D858ED"/>
    <w:rsid w:val="00D92026"/>
    <w:rsid w:val="00DA2945"/>
    <w:rsid w:val="00DB20BE"/>
    <w:rsid w:val="00DB4F3D"/>
    <w:rsid w:val="00DD0D1B"/>
    <w:rsid w:val="00DD2937"/>
    <w:rsid w:val="00DD3B37"/>
    <w:rsid w:val="00DD5DA8"/>
    <w:rsid w:val="00DF2400"/>
    <w:rsid w:val="00DF3436"/>
    <w:rsid w:val="00DF4FDC"/>
    <w:rsid w:val="00E003EF"/>
    <w:rsid w:val="00E06766"/>
    <w:rsid w:val="00E101AC"/>
    <w:rsid w:val="00E1061A"/>
    <w:rsid w:val="00E11B70"/>
    <w:rsid w:val="00E12290"/>
    <w:rsid w:val="00E147FF"/>
    <w:rsid w:val="00E217ED"/>
    <w:rsid w:val="00E22C89"/>
    <w:rsid w:val="00E25785"/>
    <w:rsid w:val="00E30DEF"/>
    <w:rsid w:val="00E37578"/>
    <w:rsid w:val="00E40D52"/>
    <w:rsid w:val="00E45765"/>
    <w:rsid w:val="00E56E17"/>
    <w:rsid w:val="00E661E0"/>
    <w:rsid w:val="00E67180"/>
    <w:rsid w:val="00E73B5A"/>
    <w:rsid w:val="00E76E75"/>
    <w:rsid w:val="00E77877"/>
    <w:rsid w:val="00E778BF"/>
    <w:rsid w:val="00E846D3"/>
    <w:rsid w:val="00E8633A"/>
    <w:rsid w:val="00E90BAE"/>
    <w:rsid w:val="00E91A31"/>
    <w:rsid w:val="00E92239"/>
    <w:rsid w:val="00EA49BD"/>
    <w:rsid w:val="00EB250F"/>
    <w:rsid w:val="00EB70F4"/>
    <w:rsid w:val="00EC192C"/>
    <w:rsid w:val="00EC2E8D"/>
    <w:rsid w:val="00EC7E37"/>
    <w:rsid w:val="00EE10C3"/>
    <w:rsid w:val="00EE7974"/>
    <w:rsid w:val="00EF1700"/>
    <w:rsid w:val="00EF46E3"/>
    <w:rsid w:val="00F07619"/>
    <w:rsid w:val="00F11E8F"/>
    <w:rsid w:val="00F32541"/>
    <w:rsid w:val="00F36855"/>
    <w:rsid w:val="00F404F4"/>
    <w:rsid w:val="00F44811"/>
    <w:rsid w:val="00F5324D"/>
    <w:rsid w:val="00F55883"/>
    <w:rsid w:val="00F55EAD"/>
    <w:rsid w:val="00F75956"/>
    <w:rsid w:val="00F76077"/>
    <w:rsid w:val="00F830B1"/>
    <w:rsid w:val="00F833FF"/>
    <w:rsid w:val="00F84BD9"/>
    <w:rsid w:val="00F878CE"/>
    <w:rsid w:val="00F90775"/>
    <w:rsid w:val="00FA3602"/>
    <w:rsid w:val="00FA7285"/>
    <w:rsid w:val="00FB1602"/>
    <w:rsid w:val="00FB3C45"/>
    <w:rsid w:val="00FB664E"/>
    <w:rsid w:val="00FB6A05"/>
    <w:rsid w:val="00FB727F"/>
    <w:rsid w:val="00FC0353"/>
    <w:rsid w:val="00FC4859"/>
    <w:rsid w:val="00FE2C0A"/>
    <w:rsid w:val="00FE3FC5"/>
    <w:rsid w:val="00FE5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B9913"/>
  <w15:docId w15:val="{608B8033-BF9F-6D44-B1F7-AE6BA414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B27"/>
    <w:pPr>
      <w:spacing w:after="0" w:line="240" w:lineRule="auto"/>
    </w:pPr>
    <w:rPr>
      <w:rFonts w:eastAsiaTheme="minorEastAsi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10B27"/>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310B27"/>
    <w:rPr>
      <w:rFonts w:ascii="Times New Roman" w:eastAsiaTheme="minorEastAsia" w:hAnsi="Times New Roman" w:cs="Times New Roman"/>
      <w:noProof/>
      <w:sz w:val="24"/>
      <w:szCs w:val="24"/>
      <w:lang w:eastAsia="zh-CN"/>
    </w:rPr>
  </w:style>
  <w:style w:type="paragraph" w:customStyle="1" w:styleId="EndNoteBibliography">
    <w:name w:val="EndNote Bibliography"/>
    <w:basedOn w:val="Normal"/>
    <w:link w:val="EndNoteBibliographyChar"/>
    <w:rsid w:val="00310B27"/>
    <w:rPr>
      <w:rFonts w:ascii="Times New Roman" w:hAnsi="Times New Roman" w:cs="Times New Roman"/>
      <w:noProof/>
    </w:rPr>
  </w:style>
  <w:style w:type="character" w:customStyle="1" w:styleId="EndNoteBibliographyChar">
    <w:name w:val="EndNote Bibliography Char"/>
    <w:basedOn w:val="DefaultParagraphFont"/>
    <w:link w:val="EndNoteBibliography"/>
    <w:rsid w:val="00310B27"/>
    <w:rPr>
      <w:rFonts w:ascii="Times New Roman" w:eastAsiaTheme="minorEastAsia" w:hAnsi="Times New Roman" w:cs="Times New Roman"/>
      <w:noProof/>
      <w:sz w:val="24"/>
      <w:szCs w:val="24"/>
      <w:lang w:eastAsia="zh-CN"/>
    </w:rPr>
  </w:style>
  <w:style w:type="paragraph" w:styleId="Header">
    <w:name w:val="header"/>
    <w:basedOn w:val="Normal"/>
    <w:link w:val="HeaderChar"/>
    <w:uiPriority w:val="99"/>
    <w:unhideWhenUsed/>
    <w:rsid w:val="00AD332B"/>
    <w:pPr>
      <w:tabs>
        <w:tab w:val="center" w:pos="4680"/>
        <w:tab w:val="right" w:pos="9360"/>
      </w:tabs>
    </w:pPr>
  </w:style>
  <w:style w:type="character" w:customStyle="1" w:styleId="HeaderChar">
    <w:name w:val="Header Char"/>
    <w:basedOn w:val="DefaultParagraphFont"/>
    <w:link w:val="Header"/>
    <w:uiPriority w:val="99"/>
    <w:rsid w:val="00AD332B"/>
    <w:rPr>
      <w:rFonts w:eastAsiaTheme="minorEastAsia"/>
      <w:sz w:val="24"/>
      <w:szCs w:val="24"/>
      <w:lang w:eastAsia="zh-CN"/>
    </w:rPr>
  </w:style>
  <w:style w:type="paragraph" w:styleId="Footer">
    <w:name w:val="footer"/>
    <w:basedOn w:val="Normal"/>
    <w:link w:val="FooterChar"/>
    <w:uiPriority w:val="99"/>
    <w:unhideWhenUsed/>
    <w:rsid w:val="00AD332B"/>
    <w:pPr>
      <w:tabs>
        <w:tab w:val="center" w:pos="4680"/>
        <w:tab w:val="right" w:pos="9360"/>
      </w:tabs>
    </w:pPr>
  </w:style>
  <w:style w:type="character" w:customStyle="1" w:styleId="FooterChar">
    <w:name w:val="Footer Char"/>
    <w:basedOn w:val="DefaultParagraphFont"/>
    <w:link w:val="Footer"/>
    <w:uiPriority w:val="99"/>
    <w:rsid w:val="00AD332B"/>
    <w:rPr>
      <w:rFonts w:eastAsiaTheme="minorEastAsia"/>
      <w:sz w:val="24"/>
      <w:szCs w:val="24"/>
      <w:lang w:eastAsia="zh-CN"/>
    </w:rPr>
  </w:style>
  <w:style w:type="character" w:styleId="PageNumber">
    <w:name w:val="page number"/>
    <w:basedOn w:val="DefaultParagraphFont"/>
    <w:uiPriority w:val="99"/>
    <w:semiHidden/>
    <w:unhideWhenUsed/>
    <w:rsid w:val="00C35E2A"/>
  </w:style>
  <w:style w:type="paragraph" w:styleId="Caption">
    <w:name w:val="caption"/>
    <w:basedOn w:val="Normal"/>
    <w:next w:val="Normal"/>
    <w:uiPriority w:val="35"/>
    <w:unhideWhenUsed/>
    <w:qFormat/>
    <w:rsid w:val="00C35E2A"/>
    <w:pPr>
      <w:spacing w:after="480"/>
    </w:pPr>
    <w:rPr>
      <w:rFonts w:ascii="Arial" w:eastAsiaTheme="minorHAnsi" w:hAnsi="Arial"/>
      <w:bCs/>
      <w:sz w:val="20"/>
      <w:szCs w:val="18"/>
      <w:lang w:eastAsia="en-US"/>
    </w:rPr>
  </w:style>
  <w:style w:type="paragraph" w:customStyle="1" w:styleId="TableNotes">
    <w:name w:val="TableNotes"/>
    <w:basedOn w:val="Normal"/>
    <w:qFormat/>
    <w:rsid w:val="00C35E2A"/>
    <w:pPr>
      <w:spacing w:before="480"/>
    </w:pPr>
    <w:rPr>
      <w:rFonts w:ascii="Arial" w:eastAsiaTheme="minorHAnsi" w:hAnsi="Arial"/>
      <w:sz w:val="20"/>
      <w:szCs w:val="22"/>
      <w:lang w:eastAsia="en-US"/>
    </w:rPr>
  </w:style>
  <w:style w:type="table" w:styleId="TableGrid">
    <w:name w:val="Table Grid"/>
    <w:basedOn w:val="TableNormal"/>
    <w:uiPriority w:val="39"/>
    <w:rsid w:val="007F2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7619"/>
    <w:rPr>
      <w:sz w:val="16"/>
      <w:szCs w:val="16"/>
    </w:rPr>
  </w:style>
  <w:style w:type="paragraph" w:styleId="CommentText">
    <w:name w:val="annotation text"/>
    <w:basedOn w:val="Normal"/>
    <w:link w:val="CommentTextChar"/>
    <w:uiPriority w:val="99"/>
    <w:unhideWhenUsed/>
    <w:rsid w:val="00F07619"/>
    <w:rPr>
      <w:sz w:val="20"/>
      <w:szCs w:val="20"/>
    </w:rPr>
  </w:style>
  <w:style w:type="character" w:customStyle="1" w:styleId="CommentTextChar">
    <w:name w:val="Comment Text Char"/>
    <w:basedOn w:val="DefaultParagraphFont"/>
    <w:link w:val="CommentText"/>
    <w:uiPriority w:val="99"/>
    <w:rsid w:val="00F07619"/>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F07619"/>
    <w:rPr>
      <w:b/>
      <w:bCs/>
    </w:rPr>
  </w:style>
  <w:style w:type="character" w:customStyle="1" w:styleId="CommentSubjectChar">
    <w:name w:val="Comment Subject Char"/>
    <w:basedOn w:val="CommentTextChar"/>
    <w:link w:val="CommentSubject"/>
    <w:uiPriority w:val="99"/>
    <w:semiHidden/>
    <w:rsid w:val="00F07619"/>
    <w:rPr>
      <w:rFonts w:eastAsiaTheme="minorEastAsia"/>
      <w:b/>
      <w:bCs/>
      <w:sz w:val="20"/>
      <w:szCs w:val="20"/>
      <w:lang w:eastAsia="zh-CN"/>
    </w:rPr>
  </w:style>
  <w:style w:type="paragraph" w:styleId="BalloonText">
    <w:name w:val="Balloon Text"/>
    <w:basedOn w:val="Normal"/>
    <w:link w:val="BalloonTextChar"/>
    <w:uiPriority w:val="99"/>
    <w:semiHidden/>
    <w:unhideWhenUsed/>
    <w:rsid w:val="00F076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619"/>
    <w:rPr>
      <w:rFonts w:ascii="Segoe UI" w:eastAsiaTheme="minorEastAsia" w:hAnsi="Segoe UI" w:cs="Segoe UI"/>
      <w:sz w:val="18"/>
      <w:szCs w:val="18"/>
      <w:lang w:eastAsia="zh-CN"/>
    </w:rPr>
  </w:style>
  <w:style w:type="character" w:styleId="Hyperlink">
    <w:name w:val="Hyperlink"/>
    <w:basedOn w:val="DefaultParagraphFont"/>
    <w:uiPriority w:val="99"/>
    <w:unhideWhenUsed/>
    <w:rsid w:val="00C81909"/>
    <w:rPr>
      <w:color w:val="0563C1" w:themeColor="hyperlink"/>
      <w:u w:val="single"/>
    </w:rPr>
  </w:style>
  <w:style w:type="character" w:customStyle="1" w:styleId="UnresolvedMention1">
    <w:name w:val="Unresolved Mention1"/>
    <w:basedOn w:val="DefaultParagraphFont"/>
    <w:uiPriority w:val="99"/>
    <w:semiHidden/>
    <w:unhideWhenUsed/>
    <w:rsid w:val="00C81909"/>
    <w:rPr>
      <w:color w:val="605E5C"/>
      <w:shd w:val="clear" w:color="auto" w:fill="E1DFDD"/>
    </w:rPr>
  </w:style>
  <w:style w:type="character" w:customStyle="1" w:styleId="UnresolvedMention2">
    <w:name w:val="Unresolved Mention2"/>
    <w:basedOn w:val="DefaultParagraphFont"/>
    <w:uiPriority w:val="99"/>
    <w:semiHidden/>
    <w:unhideWhenUsed/>
    <w:rsid w:val="004C26A6"/>
    <w:rPr>
      <w:color w:val="605E5C"/>
      <w:shd w:val="clear" w:color="auto" w:fill="E1DFDD"/>
    </w:rPr>
  </w:style>
  <w:style w:type="character" w:styleId="PlaceholderText">
    <w:name w:val="Placeholder Text"/>
    <w:basedOn w:val="DefaultParagraphFont"/>
    <w:uiPriority w:val="99"/>
    <w:semiHidden/>
    <w:rsid w:val="002A2A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384762">
      <w:bodyDiv w:val="1"/>
      <w:marLeft w:val="0"/>
      <w:marRight w:val="0"/>
      <w:marTop w:val="0"/>
      <w:marBottom w:val="0"/>
      <w:divBdr>
        <w:top w:val="none" w:sz="0" w:space="0" w:color="auto"/>
        <w:left w:val="none" w:sz="0" w:space="0" w:color="auto"/>
        <w:bottom w:val="none" w:sz="0" w:space="0" w:color="auto"/>
        <w:right w:val="none" w:sz="0" w:space="0" w:color="auto"/>
      </w:divBdr>
    </w:div>
    <w:div w:id="1299996045">
      <w:bodyDiv w:val="1"/>
      <w:marLeft w:val="0"/>
      <w:marRight w:val="0"/>
      <w:marTop w:val="0"/>
      <w:marBottom w:val="0"/>
      <w:divBdr>
        <w:top w:val="none" w:sz="0" w:space="0" w:color="auto"/>
        <w:left w:val="none" w:sz="0" w:space="0" w:color="auto"/>
        <w:bottom w:val="none" w:sz="0" w:space="0" w:color="auto"/>
        <w:right w:val="none" w:sz="0" w:space="0" w:color="auto"/>
      </w:divBdr>
    </w:div>
    <w:div w:id="1349137702">
      <w:bodyDiv w:val="1"/>
      <w:marLeft w:val="0"/>
      <w:marRight w:val="0"/>
      <w:marTop w:val="0"/>
      <w:marBottom w:val="0"/>
      <w:divBdr>
        <w:top w:val="none" w:sz="0" w:space="0" w:color="auto"/>
        <w:left w:val="none" w:sz="0" w:space="0" w:color="auto"/>
        <w:bottom w:val="none" w:sz="0" w:space="0" w:color="auto"/>
        <w:right w:val="none" w:sz="0" w:space="0" w:color="auto"/>
      </w:divBdr>
    </w:div>
    <w:div w:id="1413315855">
      <w:bodyDiv w:val="1"/>
      <w:marLeft w:val="0"/>
      <w:marRight w:val="0"/>
      <w:marTop w:val="0"/>
      <w:marBottom w:val="0"/>
      <w:divBdr>
        <w:top w:val="none" w:sz="0" w:space="0" w:color="auto"/>
        <w:left w:val="none" w:sz="0" w:space="0" w:color="auto"/>
        <w:bottom w:val="none" w:sz="0" w:space="0" w:color="auto"/>
        <w:right w:val="none" w:sz="0" w:space="0" w:color="auto"/>
      </w:divBdr>
    </w:div>
    <w:div w:id="1690445049">
      <w:bodyDiv w:val="1"/>
      <w:marLeft w:val="0"/>
      <w:marRight w:val="0"/>
      <w:marTop w:val="0"/>
      <w:marBottom w:val="0"/>
      <w:divBdr>
        <w:top w:val="none" w:sz="0" w:space="0" w:color="auto"/>
        <w:left w:val="none" w:sz="0" w:space="0" w:color="auto"/>
        <w:bottom w:val="none" w:sz="0" w:space="0" w:color="auto"/>
        <w:right w:val="none" w:sz="0" w:space="0" w:color="auto"/>
      </w:divBdr>
    </w:div>
    <w:div w:id="2008244863">
      <w:bodyDiv w:val="1"/>
      <w:marLeft w:val="0"/>
      <w:marRight w:val="0"/>
      <w:marTop w:val="0"/>
      <w:marBottom w:val="0"/>
      <w:divBdr>
        <w:top w:val="none" w:sz="0" w:space="0" w:color="auto"/>
        <w:left w:val="none" w:sz="0" w:space="0" w:color="auto"/>
        <w:bottom w:val="none" w:sz="0" w:space="0" w:color="auto"/>
        <w:right w:val="none" w:sz="0" w:space="0" w:color="auto"/>
      </w:divBdr>
    </w:div>
    <w:div w:id="20682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1B78C-4068-214D-9502-8AD531574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2811</Words>
  <Characters>16025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18799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 Anna K</dc:creator>
  <cp:keywords/>
  <dc:description/>
  <cp:lastModifiedBy>Poon, Anna K</cp:lastModifiedBy>
  <cp:revision>2</cp:revision>
  <dcterms:created xsi:type="dcterms:W3CDTF">2020-01-20T18:14:00Z</dcterms:created>
  <dcterms:modified xsi:type="dcterms:W3CDTF">2020-01-20T18:14:00Z</dcterms:modified>
</cp:coreProperties>
</file>