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E000" w14:textId="77777777" w:rsidR="00593696" w:rsidRPr="00E37E22" w:rsidRDefault="00593696" w:rsidP="0059369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98093252"/>
      <w:bookmarkStart w:id="1" w:name="_Hlk89092467"/>
      <w:bookmarkEnd w:id="0"/>
      <w:r w:rsidRPr="00E37E22">
        <w:rPr>
          <w:rFonts w:asciiTheme="majorBidi" w:hAnsiTheme="majorBidi" w:cstheme="majorBidi"/>
          <w:b/>
          <w:bCs/>
          <w:sz w:val="24"/>
          <w:szCs w:val="24"/>
          <w:lang w:val="en-US"/>
        </w:rPr>
        <w:t>Epidemiology of the Diabetes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C</w:t>
      </w:r>
      <w:r w:rsidRPr="00E37E22">
        <w:rPr>
          <w:rFonts w:asciiTheme="majorBidi" w:hAnsiTheme="majorBidi" w:cstheme="majorBidi"/>
          <w:b/>
          <w:bCs/>
          <w:sz w:val="24"/>
          <w:szCs w:val="24"/>
          <w:lang w:val="en-US"/>
        </w:rPr>
        <w:t>ardio-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R</w:t>
      </w:r>
      <w:r w:rsidRPr="00E37E22">
        <w:rPr>
          <w:rFonts w:asciiTheme="majorBidi" w:hAnsiTheme="majorBidi" w:cstheme="majorBidi"/>
          <w:b/>
          <w:bCs/>
          <w:sz w:val="24"/>
          <w:szCs w:val="24"/>
          <w:lang w:val="en-US"/>
        </w:rPr>
        <w:t>enal Spectrum: A Cross-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E37E2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ectional Report of 1.4 </w:t>
      </w:r>
      <w:proofErr w:type="gramStart"/>
      <w:r w:rsidRPr="00E37E22">
        <w:rPr>
          <w:rFonts w:asciiTheme="majorBidi" w:hAnsiTheme="majorBidi" w:cstheme="majorBidi"/>
          <w:b/>
          <w:bCs/>
          <w:sz w:val="24"/>
          <w:szCs w:val="24"/>
          <w:lang w:val="en-US"/>
        </w:rPr>
        <w:t>Million</w:t>
      </w:r>
      <w:proofErr w:type="gramEnd"/>
      <w:r w:rsidRPr="00E37E2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Adults</w:t>
      </w:r>
    </w:p>
    <w:bookmarkEnd w:id="1"/>
    <w:p w14:paraId="030A2144" w14:textId="77777777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7E22">
        <w:rPr>
          <w:rFonts w:asciiTheme="majorBidi" w:hAnsiTheme="majorBidi" w:cstheme="majorBidi"/>
          <w:sz w:val="24"/>
          <w:szCs w:val="24"/>
        </w:rPr>
        <w:t xml:space="preserve">Meir Schechter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1,2,3</w:t>
      </w:r>
      <w:r w:rsidRPr="00E37E22">
        <w:rPr>
          <w:rFonts w:asciiTheme="majorBidi" w:hAnsiTheme="majorBidi" w:cstheme="majorBidi"/>
          <w:sz w:val="24"/>
          <w:szCs w:val="24"/>
        </w:rPr>
        <w:t xml:space="preserve"> MD PhD, Cheli Melzer-Cohen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E37E22">
        <w:rPr>
          <w:rFonts w:asciiTheme="majorBidi" w:hAnsiTheme="majorBidi" w:cstheme="majorBidi"/>
          <w:sz w:val="24"/>
          <w:szCs w:val="24"/>
        </w:rPr>
        <w:t xml:space="preserve"> MSc, Ilan Yanuv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 w:rsidRPr="00E37E22">
        <w:rPr>
          <w:rFonts w:asciiTheme="majorBidi" w:hAnsiTheme="majorBidi" w:cstheme="majorBidi"/>
          <w:sz w:val="24"/>
          <w:szCs w:val="24"/>
        </w:rPr>
        <w:t xml:space="preserve"> MSc, Aliza Rozenberg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 w:rsidRPr="00E37E22">
        <w:rPr>
          <w:rFonts w:asciiTheme="majorBidi" w:hAnsiTheme="majorBidi" w:cstheme="majorBidi"/>
          <w:sz w:val="24"/>
          <w:szCs w:val="24"/>
        </w:rPr>
        <w:t xml:space="preserve"> MA, Gabriel Chodick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4,5</w:t>
      </w:r>
      <w:r w:rsidRPr="00E37E22">
        <w:rPr>
          <w:rFonts w:asciiTheme="majorBidi" w:hAnsiTheme="majorBidi" w:cstheme="majorBidi"/>
          <w:sz w:val="24"/>
          <w:szCs w:val="24"/>
        </w:rPr>
        <w:t xml:space="preserve"> PhD MHA, Johan Bodegård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E37E22">
        <w:rPr>
          <w:rFonts w:asciiTheme="majorBidi" w:hAnsiTheme="majorBidi" w:cstheme="majorBidi"/>
          <w:sz w:val="24"/>
          <w:szCs w:val="24"/>
        </w:rPr>
        <w:t xml:space="preserve"> MD PhD, Lawrence A. Leiter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7</w:t>
      </w:r>
      <w:r w:rsidRPr="00E37E22">
        <w:rPr>
          <w:rFonts w:asciiTheme="majorBidi" w:hAnsiTheme="majorBidi" w:cstheme="majorBidi"/>
          <w:sz w:val="24"/>
          <w:szCs w:val="24"/>
        </w:rPr>
        <w:t xml:space="preserve"> MD, Subodh Verma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8</w:t>
      </w:r>
      <w:r w:rsidRPr="00E37E22">
        <w:rPr>
          <w:rFonts w:asciiTheme="majorBidi" w:hAnsiTheme="majorBidi" w:cstheme="majorBidi"/>
          <w:sz w:val="24"/>
          <w:szCs w:val="24"/>
        </w:rPr>
        <w:t xml:space="preserve"> MD PhD, Hiddo J. L. Heerspink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E37E22">
        <w:rPr>
          <w:rFonts w:asciiTheme="majorBidi" w:hAnsiTheme="majorBidi" w:cstheme="majorBidi"/>
          <w:sz w:val="24"/>
          <w:szCs w:val="24"/>
        </w:rPr>
        <w:t xml:space="preserve"> PhD PharmD, Avraham Karasik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4,9</w:t>
      </w:r>
      <w:r w:rsidRPr="00E37E22">
        <w:rPr>
          <w:rFonts w:asciiTheme="majorBidi" w:hAnsiTheme="majorBidi" w:cstheme="majorBidi"/>
          <w:sz w:val="24"/>
          <w:szCs w:val="24"/>
        </w:rPr>
        <w:t xml:space="preserve"> MD, Ofri Mosenzon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E37E22">
        <w:rPr>
          <w:rFonts w:asciiTheme="majorBidi" w:hAnsiTheme="majorBidi" w:cstheme="majorBidi"/>
          <w:sz w:val="24"/>
          <w:szCs w:val="24"/>
        </w:rPr>
        <w:t xml:space="preserve"> </w:t>
      </w:r>
      <w:r w:rsidRPr="00E37E22"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 w:rsidRPr="00E37E22">
        <w:rPr>
          <w:rFonts w:asciiTheme="majorBidi" w:hAnsiTheme="majorBidi" w:cstheme="majorBidi"/>
          <w:sz w:val="24"/>
          <w:szCs w:val="24"/>
        </w:rPr>
        <w:t xml:space="preserve"> MD MSc</w:t>
      </w:r>
    </w:p>
    <w:p w14:paraId="36AAE932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5C1058C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1 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Diabetes Unit, Department of Endocrinology and Metabolism, Hadassah Medical Center, Jerusalem, Israel </w:t>
      </w:r>
    </w:p>
    <w:p w14:paraId="68FEA94B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 Faculty of Medicine, Hebrew University of Jerusalem, Jerusalem, Israel</w:t>
      </w:r>
    </w:p>
    <w:p w14:paraId="0CB18F7F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 Department of Clinical Pharmacy and Pharmacology, University Medical Center Groningen, University of Groningen, Groningen, The Netherlands</w:t>
      </w:r>
      <w:r w:rsidRPr="00E37E22" w:rsidDel="008E337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12DAA82C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 Maccabi Institute for Research and Innovation, Maccabi Healthcare Services, Tel-Aviv, Israel</w:t>
      </w:r>
    </w:p>
    <w:p w14:paraId="697259D4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5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 School of Public Health Sackler, Faculty of Medicine, Tel Aviv University, Tel Aviv, Israel</w:t>
      </w:r>
    </w:p>
    <w:p w14:paraId="62ECFC8B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6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37E22">
        <w:rPr>
          <w:rFonts w:asciiTheme="majorBidi" w:hAnsiTheme="majorBidi" w:cstheme="majorBidi"/>
          <w:sz w:val="24"/>
          <w:szCs w:val="24"/>
        </w:rPr>
        <w:t>Cardiovascular, Renal and Metabolism, Medical Department, BioPharmaceuticals, AstraZeneca, Oslo, Norway</w:t>
      </w:r>
    </w:p>
    <w:p w14:paraId="38A15B3B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7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 Li Ka Shing Knowledge Institute, St. Michael’s Hospital, University of Toronto, Toronto, ON, Canada</w:t>
      </w:r>
    </w:p>
    <w:p w14:paraId="2135AE24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8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 Division of Cardiac Surgery, St. Michael’s Hospital, University of Toronto, Toronto, ON, Canada</w:t>
      </w:r>
    </w:p>
    <w:p w14:paraId="23666E67" w14:textId="77777777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9</w:t>
      </w: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 Tel Aviv University, Tel Aviv, Israel</w:t>
      </w:r>
    </w:p>
    <w:p w14:paraId="2BA6184C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7D082FC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lang w:val="en-US"/>
        </w:rPr>
        <w:t>Ofri Mosenzon</w:t>
      </w:r>
    </w:p>
    <w:p w14:paraId="453DF655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37E22">
        <w:rPr>
          <w:rFonts w:asciiTheme="majorBidi" w:hAnsiTheme="majorBidi" w:cstheme="majorBidi"/>
          <w:sz w:val="24"/>
          <w:szCs w:val="24"/>
          <w:lang w:val="en-US"/>
        </w:rPr>
        <w:t xml:space="preserve">The Diabetes Unit, Department of Endocrinology and Metabolism, </w:t>
      </w:r>
    </w:p>
    <w:p w14:paraId="751FED39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de-DE"/>
        </w:rPr>
      </w:pPr>
      <w:r w:rsidRPr="00E37E22">
        <w:rPr>
          <w:rFonts w:asciiTheme="majorBidi" w:hAnsiTheme="majorBidi" w:cstheme="majorBidi"/>
          <w:sz w:val="24"/>
          <w:szCs w:val="24"/>
          <w:lang w:val="de-DE"/>
        </w:rPr>
        <w:t xml:space="preserve">Hadassah Ein Kerem Medical Center, P.O.B 12000, </w:t>
      </w:r>
    </w:p>
    <w:p w14:paraId="64DC9572" w14:textId="77777777" w:rsidR="00593696" w:rsidRPr="00E37E22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de-DE"/>
        </w:rPr>
      </w:pPr>
      <w:r w:rsidRPr="00E37E22">
        <w:rPr>
          <w:rFonts w:asciiTheme="majorBidi" w:hAnsiTheme="majorBidi" w:cstheme="majorBidi"/>
          <w:sz w:val="24"/>
          <w:szCs w:val="24"/>
          <w:lang w:val="de-DE"/>
        </w:rPr>
        <w:t xml:space="preserve">9112001, Jerusalem, Israel </w:t>
      </w:r>
    </w:p>
    <w:p w14:paraId="7D5E2C6C" w14:textId="77777777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37E22">
        <w:rPr>
          <w:rFonts w:asciiTheme="majorBidi" w:hAnsiTheme="majorBidi" w:cstheme="majorBidi"/>
          <w:sz w:val="24"/>
          <w:szCs w:val="24"/>
          <w:lang w:val="de-DE"/>
        </w:rPr>
        <w:t>OFRIM@hadassah.org.il</w:t>
      </w:r>
      <w:r w:rsidRPr="00E37E22">
        <w:rPr>
          <w:rFonts w:asciiTheme="majorBidi" w:hAnsiTheme="majorBidi" w:cstheme="majorBidi"/>
          <w:sz w:val="24"/>
          <w:szCs w:val="24"/>
        </w:rPr>
        <w:t xml:space="preserve"> </w:t>
      </w:r>
    </w:p>
    <w:p w14:paraId="20DB2EA9" w14:textId="77777777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Phone: +</w:t>
      </w:r>
      <w:r w:rsidRPr="0010719A">
        <w:rPr>
          <w:rFonts w:asciiTheme="majorBidi" w:hAnsiTheme="majorBidi" w:cstheme="majorBidi"/>
          <w:sz w:val="24"/>
          <w:szCs w:val="24"/>
          <w:lang w:val="en-US"/>
        </w:rPr>
        <w:t>972-505172464</w:t>
      </w:r>
    </w:p>
    <w:p w14:paraId="1399D3F4" w14:textId="3E9A2B35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Fax +</w:t>
      </w:r>
      <w:r w:rsidRPr="0010719A">
        <w:rPr>
          <w:rFonts w:asciiTheme="majorBidi" w:hAnsiTheme="majorBidi" w:cstheme="majorBidi"/>
          <w:sz w:val="24"/>
          <w:szCs w:val="24"/>
          <w:lang w:val="en-US"/>
        </w:rPr>
        <w:t>972-26424514</w:t>
      </w:r>
    </w:p>
    <w:p w14:paraId="3B786958" w14:textId="77777777" w:rsidR="00593696" w:rsidRDefault="0059369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2F916CFE" w14:textId="2A9F4052" w:rsidR="00A95BCD" w:rsidRPr="00103614" w:rsidRDefault="00C832D6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lastRenderedPageBreak/>
        <w:t>Additional file 1</w:t>
      </w:r>
      <w:r w:rsidRPr="00103614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</w:t>
      </w:r>
      <w:r w:rsidR="00A95BCD" w:rsidRPr="00103614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methods:</w:t>
      </w:r>
    </w:p>
    <w:p w14:paraId="5504DB84" w14:textId="6BC248C9" w:rsidR="00A95BCD" w:rsidRDefault="00A95BCD">
      <w:pPr>
        <w:rPr>
          <w:rFonts w:asciiTheme="majorBidi" w:hAnsiTheme="majorBidi" w:cstheme="majorBidi"/>
          <w:sz w:val="24"/>
          <w:szCs w:val="24"/>
          <w:lang w:val="en-US"/>
        </w:rPr>
      </w:pPr>
      <w:bookmarkStart w:id="2" w:name="_Hlk98274726"/>
      <w:r w:rsidRPr="00103614">
        <w:rPr>
          <w:rFonts w:asciiTheme="majorBidi" w:hAnsiTheme="majorBidi" w:cstheme="majorBidi"/>
          <w:sz w:val="24"/>
          <w:szCs w:val="24"/>
          <w:lang w:val="en-US"/>
        </w:rPr>
        <w:t>Inclusion in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diabetes registry required at least one of the following five criteria:</w:t>
      </w:r>
    </w:p>
    <w:p w14:paraId="14CEFEEB" w14:textId="192D2536" w:rsidR="00A95BCD" w:rsidRPr="00103614" w:rsidRDefault="00A95BCD" w:rsidP="00A95BC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Diagnoses: </w:t>
      </w:r>
      <w:r w:rsidRPr="00103614">
        <w:rPr>
          <w:rFonts w:asciiTheme="majorBidi" w:hAnsiTheme="majorBidi" w:cstheme="majorBidi"/>
          <w:sz w:val="24"/>
          <w:szCs w:val="24"/>
          <w:lang w:val="en-US"/>
        </w:rPr>
        <w:t xml:space="preserve">Active diagnosis or a visit diagnosis made by a primary care physician, </w:t>
      </w:r>
      <w:r w:rsidR="002C1ED7">
        <w:rPr>
          <w:rFonts w:asciiTheme="majorBidi" w:hAnsiTheme="majorBidi" w:cstheme="majorBidi"/>
          <w:sz w:val="24"/>
          <w:szCs w:val="24"/>
          <w:lang w:val="en-US"/>
        </w:rPr>
        <w:t>a d</w:t>
      </w:r>
      <w:r w:rsidRPr="00103614">
        <w:rPr>
          <w:rFonts w:asciiTheme="majorBidi" w:hAnsiTheme="majorBidi" w:cstheme="majorBidi"/>
          <w:sz w:val="24"/>
          <w:szCs w:val="24"/>
          <w:lang w:val="en-US"/>
        </w:rPr>
        <w:t xml:space="preserve">iabetes expert, an endocrinologist, or an ophthalmologist. This should be accompanied </w:t>
      </w:r>
      <w:r>
        <w:rPr>
          <w:rFonts w:asciiTheme="majorBidi" w:hAnsiTheme="majorBidi" w:cstheme="majorBidi"/>
          <w:sz w:val="24"/>
          <w:szCs w:val="24"/>
          <w:lang w:val="en-US"/>
        </w:rPr>
        <w:t>by</w:t>
      </w:r>
      <w:r w:rsidRPr="00103614">
        <w:rPr>
          <w:rFonts w:asciiTheme="majorBidi" w:hAnsiTheme="majorBidi" w:cstheme="majorBidi"/>
          <w:sz w:val="24"/>
          <w:szCs w:val="24"/>
          <w:lang w:val="en-US"/>
        </w:rPr>
        <w:t xml:space="preserve"> at least one of the following</w:t>
      </w:r>
    </w:p>
    <w:p w14:paraId="733AD070" w14:textId="26A0E88A" w:rsidR="00A95BCD" w:rsidRPr="00103614" w:rsidRDefault="002C1ED7" w:rsidP="00A95BCD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Measurement of </w:t>
      </w:r>
      <w:r w:rsidR="00A95BCD" w:rsidRPr="00103614">
        <w:rPr>
          <w:rFonts w:asciiTheme="majorBidi" w:hAnsiTheme="majorBidi" w:cstheme="majorBidi"/>
          <w:sz w:val="24"/>
          <w:szCs w:val="24"/>
          <w:lang w:val="en-US"/>
        </w:rPr>
        <w:t>HbA1c</w:t>
      </w:r>
      <w:r w:rsidR="00096C13" w:rsidRPr="00103614">
        <w:rPr>
          <w:rFonts w:asciiTheme="majorBidi" w:hAnsiTheme="majorBidi" w:cstheme="majorBidi"/>
          <w:sz w:val="24"/>
          <w:szCs w:val="24"/>
          <w:lang w:val="en-US"/>
        </w:rPr>
        <w:t>≥</w:t>
      </w:r>
      <w:r w:rsidR="00A95BCD" w:rsidRPr="00103614">
        <w:rPr>
          <w:rFonts w:asciiTheme="majorBidi" w:hAnsiTheme="majorBidi" w:cstheme="majorBidi"/>
          <w:sz w:val="24"/>
          <w:szCs w:val="24"/>
          <w:lang w:val="en-US"/>
        </w:rPr>
        <w:t>6.5% within six months before or after receiving the diagnosis</w:t>
      </w:r>
    </w:p>
    <w:p w14:paraId="4C857661" w14:textId="115A5B25" w:rsidR="00A95BCD" w:rsidRPr="00103614" w:rsidRDefault="00A95BCD" w:rsidP="00A95BCD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103614">
        <w:rPr>
          <w:rFonts w:asciiTheme="majorBidi" w:hAnsiTheme="majorBidi" w:cstheme="majorBidi"/>
          <w:sz w:val="24"/>
          <w:szCs w:val="24"/>
          <w:lang w:val="en-US"/>
        </w:rPr>
        <w:t xml:space="preserve">Two fasting plasma glucose tests of </w:t>
      </w:r>
      <w:r w:rsidR="00096C13" w:rsidRPr="00C613BE">
        <w:rPr>
          <w:rFonts w:asciiTheme="majorBidi" w:hAnsiTheme="majorBidi" w:cstheme="majorBidi"/>
          <w:sz w:val="24"/>
          <w:szCs w:val="24"/>
          <w:lang w:val="en-US"/>
        </w:rPr>
        <w:t>≥</w:t>
      </w:r>
      <w:r w:rsidRPr="00103614">
        <w:rPr>
          <w:rFonts w:asciiTheme="majorBidi" w:hAnsiTheme="majorBidi" w:cstheme="majorBidi"/>
          <w:sz w:val="24"/>
          <w:szCs w:val="24"/>
          <w:lang w:val="en-US"/>
        </w:rPr>
        <w:t>126 mg/dL. One within six months before or after receiving the diagnosis, and the other without</w:t>
      </w:r>
      <w:r w:rsidR="002C1ED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03614">
        <w:rPr>
          <w:rFonts w:asciiTheme="majorBidi" w:hAnsiTheme="majorBidi" w:cstheme="majorBidi"/>
          <w:sz w:val="24"/>
          <w:szCs w:val="24"/>
          <w:lang w:val="en-US"/>
        </w:rPr>
        <w:t xml:space="preserve">time constraints. </w:t>
      </w:r>
    </w:p>
    <w:p w14:paraId="0B19DF64" w14:textId="2C1F19EF" w:rsidR="00A95BCD" w:rsidRPr="00103614" w:rsidRDefault="00A95BCD" w:rsidP="00A95BC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Insulin: </w:t>
      </w:r>
      <w:r>
        <w:rPr>
          <w:rFonts w:asciiTheme="majorBidi" w:hAnsiTheme="majorBidi" w:cstheme="majorBidi"/>
          <w:sz w:val="24"/>
          <w:szCs w:val="24"/>
          <w:lang w:val="en-US"/>
        </w:rPr>
        <w:t>Two insulin purchases on two different dates within three months. The registry does not capture females aged 18-55</w:t>
      </w:r>
      <w:r w:rsidR="00096C13">
        <w:rPr>
          <w:rFonts w:asciiTheme="majorBidi" w:hAnsiTheme="majorBidi" w:cstheme="majorBidi"/>
          <w:sz w:val="24"/>
          <w:szCs w:val="24"/>
          <w:lang w:val="en-US"/>
        </w:rPr>
        <w:t xml:space="preserve"> years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without any of the other criteria, with a GTT or GCT test, with insulin purchases within a period shorter than four months. </w:t>
      </w:r>
    </w:p>
    <w:p w14:paraId="53472169" w14:textId="2ECF65A4" w:rsidR="00A95BCD" w:rsidRPr="00103614" w:rsidRDefault="00A95BCD" w:rsidP="00A95BC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Oral glucose-lowering agents: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Two purchases on two different dates within three months, as well as an HbA1c measurement </w:t>
      </w:r>
      <w:r w:rsidR="00096C13" w:rsidRPr="00C613BE">
        <w:rPr>
          <w:rFonts w:asciiTheme="majorBidi" w:hAnsiTheme="majorBidi" w:cstheme="majorBidi"/>
          <w:sz w:val="24"/>
          <w:szCs w:val="24"/>
          <w:lang w:val="en-US"/>
        </w:rPr>
        <w:t>≥</w:t>
      </w:r>
      <w:r w:rsidRPr="00C613BE">
        <w:rPr>
          <w:rFonts w:asciiTheme="majorBidi" w:hAnsiTheme="majorBidi" w:cstheme="majorBidi"/>
          <w:sz w:val="24"/>
          <w:szCs w:val="24"/>
          <w:lang w:val="en-US"/>
        </w:rPr>
        <w:t xml:space="preserve">6.5% </w:t>
      </w:r>
      <w:r>
        <w:rPr>
          <w:rFonts w:asciiTheme="majorBidi" w:hAnsiTheme="majorBidi" w:cstheme="majorBidi"/>
          <w:sz w:val="24"/>
          <w:szCs w:val="24"/>
          <w:lang w:val="en-US"/>
        </w:rPr>
        <w:t>and/or</w:t>
      </w:r>
      <w:r w:rsidR="002C1ED7">
        <w:rPr>
          <w:rFonts w:asciiTheme="majorBidi" w:hAnsiTheme="majorBidi" w:cstheme="majorBidi"/>
          <w:sz w:val="24"/>
          <w:szCs w:val="24"/>
          <w:lang w:val="en-US"/>
        </w:rPr>
        <w:t xml:space="preserve"> 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fasting plasma glucose </w:t>
      </w:r>
      <w:r w:rsidR="00096C13" w:rsidRPr="00C613BE">
        <w:rPr>
          <w:rFonts w:asciiTheme="majorBidi" w:hAnsiTheme="majorBidi" w:cstheme="majorBidi"/>
          <w:sz w:val="24"/>
          <w:szCs w:val="24"/>
          <w:lang w:val="en-US"/>
        </w:rPr>
        <w:t>≥</w:t>
      </w:r>
      <w:r>
        <w:rPr>
          <w:rFonts w:asciiTheme="majorBidi" w:hAnsiTheme="majorBidi" w:cstheme="majorBidi"/>
          <w:sz w:val="24"/>
          <w:szCs w:val="24"/>
          <w:lang w:val="en-US"/>
        </w:rPr>
        <w:t>126</w:t>
      </w:r>
      <w:r w:rsidR="002C1ED7">
        <w:rPr>
          <w:rFonts w:asciiTheme="majorBidi" w:hAnsiTheme="majorBidi" w:cstheme="majorBidi"/>
          <w:sz w:val="24"/>
          <w:szCs w:val="24"/>
          <w:lang w:val="en-US"/>
        </w:rPr>
        <w:t xml:space="preserve"> mg/dL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E2BE6AA" w14:textId="7F81A05C" w:rsidR="00A95BCD" w:rsidRPr="00103614" w:rsidRDefault="00A95BCD" w:rsidP="00A95BC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HbA1c measurement: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Measurement of </w:t>
      </w:r>
      <w:r w:rsidR="00096C13" w:rsidRPr="00C613BE">
        <w:rPr>
          <w:rFonts w:asciiTheme="majorBidi" w:hAnsiTheme="majorBidi" w:cstheme="majorBidi"/>
          <w:sz w:val="24"/>
          <w:szCs w:val="24"/>
          <w:lang w:val="en-US"/>
        </w:rPr>
        <w:t>≥</w:t>
      </w:r>
      <w:r>
        <w:rPr>
          <w:rFonts w:asciiTheme="majorBidi" w:hAnsiTheme="majorBidi" w:cstheme="majorBidi"/>
          <w:sz w:val="24"/>
          <w:szCs w:val="24"/>
          <w:lang w:val="en-US"/>
        </w:rPr>
        <w:t>7.25%.</w:t>
      </w:r>
    </w:p>
    <w:p w14:paraId="52867436" w14:textId="63308AC4" w:rsidR="00A95BCD" w:rsidRPr="00103614" w:rsidRDefault="00A95BCD" w:rsidP="001036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Plasma glucose measurement: </w:t>
      </w:r>
      <w:r w:rsidRPr="00103614">
        <w:rPr>
          <w:rFonts w:asciiTheme="majorBidi" w:hAnsiTheme="majorBidi" w:cstheme="majorBidi"/>
          <w:sz w:val="24"/>
          <w:szCs w:val="24"/>
          <w:lang w:val="en-US"/>
        </w:rPr>
        <w:t xml:space="preserve">at least two measurements of </w:t>
      </w:r>
      <w:r w:rsidR="00096C13" w:rsidRPr="00C613BE">
        <w:rPr>
          <w:rFonts w:asciiTheme="majorBidi" w:hAnsiTheme="majorBidi" w:cstheme="majorBidi"/>
          <w:sz w:val="24"/>
          <w:szCs w:val="24"/>
          <w:lang w:val="en-US"/>
        </w:rPr>
        <w:t>≥</w:t>
      </w:r>
      <w:r w:rsidRPr="00103614">
        <w:rPr>
          <w:rFonts w:asciiTheme="majorBidi" w:hAnsiTheme="majorBidi" w:cstheme="majorBidi"/>
          <w:sz w:val="24"/>
          <w:szCs w:val="24"/>
          <w:lang w:val="en-US"/>
        </w:rPr>
        <w:t>200mg/dL, at least 30 days apart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bookmarkEnd w:id="2"/>
      <w:r w:rsidRPr="00103614">
        <w:rPr>
          <w:rFonts w:asciiTheme="majorBidi" w:hAnsiTheme="majorBidi" w:cstheme="majorBidi"/>
          <w:b/>
          <w:bCs/>
          <w:sz w:val="24"/>
          <w:szCs w:val="24"/>
          <w:lang w:val="en-US"/>
        </w:rPr>
        <w:br w:type="page"/>
      </w:r>
    </w:p>
    <w:p w14:paraId="257D3A45" w14:textId="6A26187D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Figure S1: CONSORT diagram of subjects included in this analysis</w:t>
      </w:r>
    </w:p>
    <w:p w14:paraId="79294071" w14:textId="55ED5F6A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MHS, Maccabi healthcare services</w:t>
      </w:r>
    </w:p>
    <w:p w14:paraId="0E723B3B" w14:textId="4F56F21E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5933EC4" w14:textId="7ADE3F12" w:rsidR="00593696" w:rsidRDefault="0059369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1980CEE" wp14:editId="3E19D786">
            <wp:extent cx="5731510" cy="4013200"/>
            <wp:effectExtent l="0" t="0" r="2540" b="635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462564B2" w14:textId="19C81C64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Figure S2: Distribution by age of </w:t>
      </w:r>
      <w:r w:rsidR="00BE7298"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>T2D</w:t>
      </w:r>
      <w:r w:rsidR="00BE729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r w:rsidR="00D57584">
        <w:rPr>
          <w:rFonts w:asciiTheme="majorBidi" w:hAnsiTheme="majorBidi" w:cstheme="majorBidi"/>
          <w:b/>
          <w:bCs/>
          <w:sz w:val="24"/>
          <w:szCs w:val="24"/>
          <w:lang w:val="en-US"/>
        </w:rPr>
        <w:t>heart failure</w:t>
      </w: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>, and eGFR&lt;60 mL/min/1.73 m</w:t>
      </w:r>
      <w:r w:rsidRPr="00593696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2</w:t>
      </w: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. </w:t>
      </w:r>
    </w:p>
    <w:p w14:paraId="2394D51C" w14:textId="770ACE5F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Numbers indicate the percentage of patients within the specified age group, out of the total number of patients with</w:t>
      </w:r>
      <w:r w:rsidR="00D57584">
        <w:rPr>
          <w:rFonts w:asciiTheme="majorBidi" w:hAnsiTheme="majorBidi" w:cstheme="majorBidi"/>
          <w:sz w:val="24"/>
          <w:szCs w:val="24"/>
          <w:lang w:val="en-US"/>
        </w:rPr>
        <w:t xml:space="preserve"> heart failure,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 T2D</w:t>
      </w:r>
      <w:r w:rsidR="00D575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>or eGFR&lt;60 mL/min/1.73 m</w:t>
      </w:r>
      <w:r w:rsidRPr="0059369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 in the MHS, as specified. </w:t>
      </w:r>
    </w:p>
    <w:p w14:paraId="66289010" w14:textId="30AA356C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T2D, Type-2 diabetes;</w:t>
      </w:r>
      <w:r w:rsidR="00FF60B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F60BE" w:rsidRPr="00593696">
        <w:rPr>
          <w:rFonts w:asciiTheme="majorBidi" w:hAnsiTheme="majorBidi" w:cstheme="majorBidi"/>
          <w:sz w:val="24"/>
          <w:szCs w:val="24"/>
          <w:lang w:val="en-US"/>
        </w:rPr>
        <w:t>HF, heart failure</w:t>
      </w:r>
      <w:r w:rsidR="00FF60BE">
        <w:rPr>
          <w:rFonts w:asciiTheme="majorBidi" w:hAnsiTheme="majorBidi" w:cstheme="majorBidi"/>
          <w:sz w:val="24"/>
          <w:szCs w:val="24"/>
          <w:lang w:val="en-US"/>
        </w:rPr>
        <w:t>;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 eGFR, estimated glomerular filtration rate.</w:t>
      </w:r>
    </w:p>
    <w:p w14:paraId="0CFE81C1" w14:textId="1AC481B0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FAFF5BB" w14:textId="24FFCE0E" w:rsidR="00593696" w:rsidRDefault="0059369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156E37E" wp14:editId="248F142F">
            <wp:extent cx="5731510" cy="3820795"/>
            <wp:effectExtent l="0" t="0" r="2540" b="8255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2470ECAF" w14:textId="6C7CC058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Figure S3: Prevalence of T2D in patients with </w:t>
      </w:r>
      <w:r w:rsidR="00D57584">
        <w:rPr>
          <w:rFonts w:asciiTheme="majorBidi" w:hAnsiTheme="majorBidi" w:cstheme="majorBidi"/>
          <w:b/>
          <w:bCs/>
          <w:sz w:val="24"/>
          <w:szCs w:val="24"/>
          <w:lang w:val="en-US"/>
        </w:rPr>
        <w:t>heart failure</w:t>
      </w: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or eGFR&lt;60 mL/min/1.73 m</w:t>
      </w:r>
      <w:r w:rsidRPr="00593696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2</w:t>
      </w: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overall and at different age groups.</w:t>
      </w:r>
    </w:p>
    <w:p w14:paraId="1B34CB85" w14:textId="4FEC7BE0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Distribution of T2D in patients with </w:t>
      </w:r>
      <w:r w:rsidR="00D57584">
        <w:rPr>
          <w:rFonts w:asciiTheme="majorBidi" w:hAnsiTheme="majorBidi" w:cstheme="majorBidi"/>
          <w:sz w:val="24"/>
          <w:szCs w:val="24"/>
          <w:lang w:val="en-US"/>
        </w:rPr>
        <w:t>heart failure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 (left) or with eGFR&lt;60 mL/min/1.73 m</w:t>
      </w:r>
      <w:r w:rsidRPr="0059369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 (right) overall and at different age groups. In horizontal grey line – prevalence of patients </w:t>
      </w:r>
      <w:r w:rsidRPr="00D57584">
        <w:rPr>
          <w:rFonts w:asciiTheme="majorBidi" w:hAnsiTheme="majorBidi" w:cstheme="majorBidi"/>
          <w:i/>
          <w:iCs/>
          <w:sz w:val="24"/>
          <w:szCs w:val="24"/>
          <w:lang w:val="en-US"/>
        </w:rPr>
        <w:t>without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 T2D in the overall study population. Numbers indicate the percentage of patients </w:t>
      </w:r>
      <w:r w:rsidRPr="00D57584">
        <w:rPr>
          <w:rFonts w:asciiTheme="majorBidi" w:hAnsiTheme="majorBidi" w:cstheme="majorBidi"/>
          <w:i/>
          <w:iCs/>
          <w:sz w:val="24"/>
          <w:szCs w:val="24"/>
          <w:lang w:val="en-US"/>
        </w:rPr>
        <w:t>without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 a T2D diagnosis. </w:t>
      </w:r>
    </w:p>
    <w:p w14:paraId="0213F06B" w14:textId="580AF4CA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T2D, Type-2 diabetes; eGFR, estimated glomerular filtration rate.</w:t>
      </w:r>
    </w:p>
    <w:p w14:paraId="183DF89B" w14:textId="1C7702B7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CAFE6FF" w14:textId="13D23AE3" w:rsidR="00593696" w:rsidRDefault="0059369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FCDEABC" wp14:editId="073FCB8C">
            <wp:extent cx="5731510" cy="3185160"/>
            <wp:effectExtent l="0" t="0" r="254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03FE9860" w14:textId="1F2BBB9D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Figure S4: Prevalence of heart failure by age, presence of T2D and kidney functions</w:t>
      </w:r>
      <w:r w:rsidR="00D5758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– in female and male participants separately</w:t>
      </w: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p w14:paraId="59284E0D" w14:textId="77777777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Numbers indicate the percentage of patients out of the entire sex-/age-/T2D-/eGFR- matched population in the MHS. Greener indicates lower prevalence, redder indicates high prevalence. White (reference) represents the overall prevalence in the study population (0.84%).</w:t>
      </w:r>
    </w:p>
    <w:p w14:paraId="7A4724E2" w14:textId="77777777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eGFR categories are in mL/min/1.73 m</w:t>
      </w:r>
      <w:r w:rsidRPr="0059369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165EDBFA" w14:textId="0BD16457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T2D, Type-2 diabetes; HF, heart failure; eGFR, estimated glomerular filtration rate; MHS, Maccabi Healthcare Services</w:t>
      </w:r>
    </w:p>
    <w:p w14:paraId="7B0310A1" w14:textId="3FA1E514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0DDFC05" w14:textId="668317FE" w:rsidR="00593696" w:rsidRDefault="0059369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CF1DC12" wp14:editId="3D7D4082">
            <wp:extent cx="5731510" cy="4848860"/>
            <wp:effectExtent l="0" t="0" r="2540" b="8890"/>
            <wp:docPr id="5" name="תמונה 5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5" descr="תמונה שמכילה שולח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4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40F7F308" w14:textId="7AF8A742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Figure S5: Distribution of patients within different kidney functions categories by presence of </w:t>
      </w:r>
      <w:r w:rsidR="00BE7298"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>T2D</w:t>
      </w:r>
      <w:r w:rsidR="00BE729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r w:rsidR="00D5758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heart failure, </w:t>
      </w: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>or neither.</w:t>
      </w:r>
    </w:p>
    <w:p w14:paraId="03334E81" w14:textId="2236AD6C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A. 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Distribution of eGFR values in the MHS population by presence of </w:t>
      </w:r>
      <w:r w:rsidR="00D57584">
        <w:rPr>
          <w:rFonts w:asciiTheme="majorBidi" w:hAnsiTheme="majorBidi" w:cstheme="majorBidi"/>
          <w:sz w:val="24"/>
          <w:szCs w:val="24"/>
          <w:lang w:val="en-US"/>
        </w:rPr>
        <w:t xml:space="preserve">heart failure, 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>T2D, or neither, presented as percentage of the entire cohort (all) and of those with an available eGFR value in the past 2 years (</w:t>
      </w:r>
      <w:proofErr w:type="spellStart"/>
      <w:r w:rsidRPr="00593696">
        <w:rPr>
          <w:rFonts w:asciiTheme="majorBidi" w:hAnsiTheme="majorBidi" w:cstheme="majorBidi"/>
          <w:sz w:val="24"/>
          <w:szCs w:val="24"/>
          <w:lang w:val="en-US"/>
        </w:rPr>
        <w:t>avlable</w:t>
      </w:r>
      <w:proofErr w:type="spellEnd"/>
      <w:r w:rsidRPr="00593696">
        <w:rPr>
          <w:rFonts w:asciiTheme="majorBidi" w:hAnsiTheme="majorBidi" w:cstheme="majorBidi"/>
          <w:sz w:val="24"/>
          <w:szCs w:val="24"/>
          <w:lang w:val="en-US"/>
        </w:rPr>
        <w:t>).</w:t>
      </w: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6257611C" w14:textId="68A0F130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369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B. 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 xml:space="preserve">Distribution of eGFR values in the MHS population by presence of </w:t>
      </w:r>
      <w:r w:rsidR="00D57584">
        <w:rPr>
          <w:rFonts w:asciiTheme="majorBidi" w:hAnsiTheme="majorBidi" w:cstheme="majorBidi"/>
          <w:sz w:val="24"/>
          <w:szCs w:val="24"/>
          <w:lang w:val="en-US"/>
        </w:rPr>
        <w:t>heart failure,</w:t>
      </w:r>
      <w:r w:rsidR="00D57584" w:rsidRPr="0059369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>T2D or neither, by age groups, presented as percentage of the entire cohort (all).</w:t>
      </w:r>
    </w:p>
    <w:p w14:paraId="4D355C7E" w14:textId="77777777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eGFR values are presented in mL/min/1.73 m</w:t>
      </w:r>
      <w:r w:rsidRPr="0059369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</w:p>
    <w:p w14:paraId="132A3F25" w14:textId="77777777" w:rsidR="00593696" w:rsidRP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3696">
        <w:rPr>
          <w:rFonts w:asciiTheme="majorBidi" w:hAnsiTheme="majorBidi" w:cstheme="majorBidi"/>
          <w:sz w:val="24"/>
          <w:szCs w:val="24"/>
          <w:lang w:val="en-US"/>
        </w:rPr>
        <w:t>T2D, Type-2 diabetes; HF, heart failure; eGFR, estimated glomerular filtration rate; MHS, Maccabi Healthcare Services.</w:t>
      </w:r>
    </w:p>
    <w:p w14:paraId="470FA7A1" w14:textId="73252713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358FA23" w14:textId="378102D5" w:rsidR="00593696" w:rsidRDefault="00593696" w:rsidP="005936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211574D" w14:textId="2274A1B8" w:rsidR="00EE2B23" w:rsidRDefault="00EE2B23">
      <w:r>
        <w:rPr>
          <w:noProof/>
        </w:rPr>
        <w:drawing>
          <wp:inline distT="0" distB="0" distL="0" distR="0" wp14:anchorId="6F6CC989" wp14:editId="32620029">
            <wp:extent cx="5731510" cy="5731510"/>
            <wp:effectExtent l="0" t="0" r="2540" b="254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669E30E" w14:textId="1564A050" w:rsidR="00EE2B23" w:rsidRPr="00EE2B23" w:rsidRDefault="00EE2B23" w:rsidP="00EE2B2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E2B23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S6</w:t>
      </w:r>
      <w:r w:rsidRPr="00EE2B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Distribution of kidney functions in patients with heart failure by </w:t>
      </w:r>
      <w:r w:rsidR="0033378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the </w:t>
      </w:r>
      <w:r w:rsidRPr="00EE2B23">
        <w:rPr>
          <w:rFonts w:asciiTheme="majorBidi" w:hAnsiTheme="majorBidi" w:cstheme="majorBidi"/>
          <w:b/>
          <w:bCs/>
          <w:sz w:val="24"/>
          <w:szCs w:val="24"/>
          <w:lang w:val="en-US"/>
        </w:rPr>
        <w:t>presence of T2D.</w:t>
      </w:r>
    </w:p>
    <w:p w14:paraId="27383AF2" w14:textId="7802C13E" w:rsidR="00EE2B23" w:rsidRPr="00C939C9" w:rsidRDefault="00EE2B23" w:rsidP="00EE2B23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E2B23"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EE2B23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C939C9">
        <w:rPr>
          <w:rFonts w:asciiTheme="majorBidi" w:hAnsiTheme="majorBidi" w:cstheme="majorBidi"/>
          <w:sz w:val="24"/>
          <w:szCs w:val="24"/>
          <w:lang w:val="en-US"/>
        </w:rPr>
        <w:t xml:space="preserve"> Distribution of eGFR values in patients with heart failure by </w:t>
      </w:r>
      <w:r w:rsidR="00333785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C939C9">
        <w:rPr>
          <w:rFonts w:asciiTheme="majorBidi" w:hAnsiTheme="majorBidi" w:cstheme="majorBidi"/>
          <w:sz w:val="24"/>
          <w:szCs w:val="24"/>
          <w:lang w:val="en-US"/>
        </w:rPr>
        <w:t>presence of T2D, overall</w:t>
      </w:r>
      <w:r w:rsidR="00333785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C939C9">
        <w:rPr>
          <w:rFonts w:asciiTheme="majorBidi" w:hAnsiTheme="majorBidi" w:cstheme="majorBidi"/>
          <w:sz w:val="24"/>
          <w:szCs w:val="24"/>
          <w:lang w:val="en-US"/>
        </w:rPr>
        <w:t xml:space="preserve"> and by sex.</w:t>
      </w:r>
    </w:p>
    <w:p w14:paraId="333A2BDC" w14:textId="3EE7B9A5" w:rsidR="00EE2B23" w:rsidRPr="00C939C9" w:rsidRDefault="00EE2B23" w:rsidP="00EE2B23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E2B23">
        <w:rPr>
          <w:rFonts w:asciiTheme="majorBidi" w:hAnsiTheme="majorBidi" w:cstheme="majorBidi"/>
          <w:b/>
          <w:bCs/>
          <w:sz w:val="24"/>
          <w:szCs w:val="24"/>
          <w:lang w:val="en-US"/>
        </w:rPr>
        <w:t>B.</w:t>
      </w:r>
      <w:r w:rsidRPr="00C939C9">
        <w:rPr>
          <w:rFonts w:asciiTheme="majorBidi" w:hAnsiTheme="majorBidi" w:cstheme="majorBidi"/>
          <w:sz w:val="24"/>
          <w:szCs w:val="24"/>
          <w:lang w:val="en-US"/>
        </w:rPr>
        <w:t xml:space="preserve"> Distribution of eGFR values in patients with heart failure by </w:t>
      </w:r>
      <w:r w:rsidR="00333785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C939C9">
        <w:rPr>
          <w:rFonts w:asciiTheme="majorBidi" w:hAnsiTheme="majorBidi" w:cstheme="majorBidi"/>
          <w:sz w:val="24"/>
          <w:szCs w:val="24"/>
          <w:lang w:val="en-US"/>
        </w:rPr>
        <w:t>presence of T2D across age subgroups.</w:t>
      </w:r>
    </w:p>
    <w:p w14:paraId="59B15782" w14:textId="77777777" w:rsidR="00EE2B23" w:rsidRPr="00C939C9" w:rsidRDefault="00EE2B23" w:rsidP="00EE2B23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939C9">
        <w:rPr>
          <w:rFonts w:asciiTheme="majorBidi" w:hAnsiTheme="majorBidi" w:cstheme="majorBidi"/>
          <w:sz w:val="24"/>
          <w:szCs w:val="24"/>
          <w:lang w:val="en-US"/>
        </w:rPr>
        <w:t>eGFR values are presented in mL/min/1.73 m</w:t>
      </w:r>
      <w:r w:rsidRPr="00EE2B23">
        <w:rPr>
          <w:rFonts w:asciiTheme="majorBidi" w:hAnsiTheme="majorBidi" w:cstheme="majorBidi"/>
          <w:sz w:val="24"/>
          <w:szCs w:val="24"/>
          <w:lang w:val="en-US"/>
        </w:rPr>
        <w:t>2</w:t>
      </w:r>
    </w:p>
    <w:p w14:paraId="03770619" w14:textId="77777777" w:rsidR="00EE2B23" w:rsidRPr="00E37E22" w:rsidRDefault="00EE2B23" w:rsidP="00EE2B23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939C9">
        <w:rPr>
          <w:rFonts w:asciiTheme="majorBidi" w:hAnsiTheme="majorBidi" w:cstheme="majorBidi"/>
          <w:sz w:val="24"/>
          <w:szCs w:val="24"/>
          <w:lang w:val="en-US"/>
        </w:rPr>
        <w:t>T2D, Type-2 diabetes;</w:t>
      </w:r>
      <w:r w:rsidRPr="002E3C1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93696">
        <w:rPr>
          <w:rFonts w:asciiTheme="majorBidi" w:hAnsiTheme="majorBidi" w:cstheme="majorBidi"/>
          <w:sz w:val="24"/>
          <w:szCs w:val="24"/>
          <w:lang w:val="en-US"/>
        </w:rPr>
        <w:t>HF, heart failure</w:t>
      </w:r>
      <w:r>
        <w:rPr>
          <w:rFonts w:asciiTheme="majorBidi" w:hAnsiTheme="majorBidi" w:cstheme="majorBidi"/>
          <w:sz w:val="24"/>
          <w:szCs w:val="24"/>
          <w:lang w:val="en-US"/>
        </w:rPr>
        <w:t>;</w:t>
      </w:r>
      <w:r w:rsidRPr="00C939C9">
        <w:rPr>
          <w:rFonts w:asciiTheme="majorBidi" w:hAnsiTheme="majorBidi" w:cstheme="majorBidi"/>
          <w:sz w:val="24"/>
          <w:szCs w:val="24"/>
          <w:lang w:val="en-US"/>
        </w:rPr>
        <w:t xml:space="preserve"> eGFR, estimated glomerular filtration rate</w:t>
      </w:r>
    </w:p>
    <w:p w14:paraId="7BFFA264" w14:textId="77777777" w:rsidR="00161FB4" w:rsidRDefault="00161FB4">
      <w:pPr>
        <w:rPr>
          <w:lang w:val="en-US"/>
        </w:rPr>
      </w:pPr>
    </w:p>
    <w:p w14:paraId="0C820318" w14:textId="7DE4ED38" w:rsidR="00E752DB" w:rsidRDefault="00161FB4" w:rsidP="00333785">
      <w:r>
        <w:rPr>
          <w:noProof/>
        </w:rPr>
        <w:drawing>
          <wp:inline distT="0" distB="0" distL="0" distR="0" wp14:anchorId="7E5B5DF6" wp14:editId="67E5099A">
            <wp:extent cx="5731510" cy="661289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1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52DB" w:rsidSect="00316C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F6890"/>
    <w:multiLevelType w:val="hybridMultilevel"/>
    <w:tmpl w:val="B51EDFDA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1tTAzNjI2Mjc2t7RQ0lEKTi0uzszPAykwqwUA7YcokiwAAAA="/>
  </w:docVars>
  <w:rsids>
    <w:rsidRoot w:val="00BC6861"/>
    <w:rsid w:val="00096C13"/>
    <w:rsid w:val="00103614"/>
    <w:rsid w:val="00161FB4"/>
    <w:rsid w:val="002C1ED7"/>
    <w:rsid w:val="00316C68"/>
    <w:rsid w:val="00333785"/>
    <w:rsid w:val="003E7DAB"/>
    <w:rsid w:val="00516D09"/>
    <w:rsid w:val="00593696"/>
    <w:rsid w:val="006E4721"/>
    <w:rsid w:val="006F5D2A"/>
    <w:rsid w:val="00967716"/>
    <w:rsid w:val="00A95BCD"/>
    <w:rsid w:val="00BC36C7"/>
    <w:rsid w:val="00BC6861"/>
    <w:rsid w:val="00BE7298"/>
    <w:rsid w:val="00BF791B"/>
    <w:rsid w:val="00C26A73"/>
    <w:rsid w:val="00C832D6"/>
    <w:rsid w:val="00D57584"/>
    <w:rsid w:val="00EC6EAF"/>
    <w:rsid w:val="00EE2B23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B8F18"/>
  <w15:chartTrackingRefBased/>
  <w15:docId w15:val="{C7FB2C31-D640-4667-9BA5-53B117C1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6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696"/>
    <w:rPr>
      <w:sz w:val="20"/>
      <w:szCs w:val="20"/>
    </w:rPr>
  </w:style>
  <w:style w:type="paragraph" w:styleId="Revision">
    <w:name w:val="Revision"/>
    <w:hidden/>
    <w:uiPriority w:val="99"/>
    <w:semiHidden/>
    <w:rsid w:val="00EE2B2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95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 Schechter</dc:creator>
  <cp:keywords/>
  <dc:description/>
  <cp:lastModifiedBy>Indhumathi S Sukumar K</cp:lastModifiedBy>
  <cp:revision>4</cp:revision>
  <dcterms:created xsi:type="dcterms:W3CDTF">2022-03-18T13:16:00Z</dcterms:created>
  <dcterms:modified xsi:type="dcterms:W3CDTF">2022-05-11T07:20:00Z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1765805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