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B4A" w:rsidRDefault="0041785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Additional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materials</w:t>
      </w: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41785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 Univariate and multivariate Cox regression analysis for predicting the primary endpoint</w:t>
      </w:r>
    </w:p>
    <w:tbl>
      <w:tblPr>
        <w:tblW w:w="877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901"/>
        <w:gridCol w:w="1717"/>
        <w:gridCol w:w="926"/>
        <w:gridCol w:w="905"/>
        <w:gridCol w:w="1857"/>
        <w:gridCol w:w="922"/>
      </w:tblGrid>
      <w:tr w:rsidR="00E84B4A">
        <w:trPr>
          <w:trHeight w:val="297"/>
          <w:jc w:val="center"/>
        </w:trPr>
        <w:tc>
          <w:tcPr>
            <w:tcW w:w="15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4B4A" w:rsidRDefault="0041785D">
            <w:pPr>
              <w:pStyle w:val="ListParagraph"/>
              <w:ind w:firstLineChars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Univariate analysis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Multivariate analysis</w:t>
            </w:r>
          </w:p>
        </w:tc>
      </w:tr>
      <w:tr w:rsidR="00E84B4A">
        <w:trPr>
          <w:jc w:val="center"/>
        </w:trPr>
        <w:tc>
          <w:tcPr>
            <w:tcW w:w="15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4B4A" w:rsidRDefault="00E84B4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95%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95%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GRACE score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1.0253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1.0182 to 1.0325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1.0188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1.0103 to 1.0275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&lt;0.0001</w:t>
            </w: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1.5832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1.0334 to 2.4255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0.0348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1.5257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0.9911 to 2.3486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0.0549</w:t>
            </w:r>
          </w:p>
        </w:tc>
      </w:tr>
      <w:tr w:rsidR="00E84B4A">
        <w:trPr>
          <w:trHeight w:val="90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BMI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0.9528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0.8841 to 1.0268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0.2050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moking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0.7895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0.5222 to 1.1936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0.2623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Previous PCI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1.3968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0.7428 to 2.6268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0.2997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1.3202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0.8409 to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2.0728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0.2274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Diabetes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mellitus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1.2838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0.8433 to 1.9544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0.2440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trHeight w:val="51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FBG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1.0843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1.0339 to 1.1372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1.0436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0.9879 to 1.1024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0.1273</w:t>
            </w:r>
          </w:p>
        </w:tc>
      </w:tr>
      <w:tr w:rsidR="00E84B4A">
        <w:trPr>
          <w:trHeight w:val="51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1.0380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0.9043 to 1.1914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0.5961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HDL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0.9716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0.4767 to 1.9805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0.9368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LDL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0.9249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0.7572 to 1.1297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0.4441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1.0537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1.0324 to 1.0755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1.0253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1.0002 to 1.0510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0.0479</w:t>
            </w: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ICR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1.9863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1.2077 to 3.2669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0.0069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1.2997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0.7589 to 2.2258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0.3396</w:t>
            </w: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LVEF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0.9448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0.9269 to 0.9629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0.9763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0.9537 to 0.9995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0.0457</w:t>
            </w: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AMI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1.9438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1.2533 to 3.0148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0.8566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0.5195 to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1.4123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0.5440</w:t>
            </w: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β-blockers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0.9299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0.5975 to 1.4473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0.7475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Diuretics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3.2982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2.1419 to 5.0787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1.3626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0.8179 to 2.2699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0.2348</w:t>
            </w: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CEI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ARB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1.2600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0.8330 to 1.9057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0.2737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84B4A">
        <w:trPr>
          <w:jc w:val="center"/>
        </w:trPr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Insulin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1.4863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0.7696 to 2.8704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0.2380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E84B4A">
            <w:pPr>
              <w:pStyle w:val="ListParagraph"/>
              <w:ind w:firstLineChars="0" w:firstLine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E84B4A" w:rsidRDefault="0041785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primary endpoint was defined </w:t>
      </w:r>
      <w:r>
        <w:rPr>
          <w:rFonts w:ascii="Times New Roman" w:hAnsi="Times New Roman" w:cs="Times New Roman"/>
          <w:sz w:val="24"/>
        </w:rPr>
        <w:t>as a composite of all-cause death and nonfatal myocardial infarction. HR, hazard ratio; CI, confidence interval; GRACE score, Global Registry of Acute Coronary Events score; BMI, body mass index; FBG, fasting blood glucose; TG, triglycerides;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HDL-C, high d</w:t>
      </w:r>
      <w:r>
        <w:rPr>
          <w:rFonts w:ascii="Times New Roman" w:hAnsi="Times New Roman" w:cs="Times New Roman"/>
          <w:sz w:val="24"/>
        </w:rPr>
        <w:t xml:space="preserve">ensity lipoprotein; LDL-C, low density lipoprotein; ICR, incomplete revascularization; LVEF, left ventricular ejection fraction; AMI, acute myocardial infarction; </w:t>
      </w:r>
      <w:proofErr w:type="spellStart"/>
      <w:r>
        <w:rPr>
          <w:rFonts w:ascii="Times New Roman" w:hAnsi="Times New Roman" w:cs="Times New Roman"/>
          <w:sz w:val="24"/>
        </w:rPr>
        <w:t>bSS</w:t>
      </w:r>
      <w:proofErr w:type="spellEnd"/>
      <w:r>
        <w:rPr>
          <w:rFonts w:ascii="Times New Roman" w:hAnsi="Times New Roman" w:cs="Times New Roman"/>
          <w:sz w:val="24"/>
        </w:rPr>
        <w:t>, baseline SYNTAX score; ACEI/ARB, angiotensin converting enzyme inhibitor/angiotensin rec</w:t>
      </w:r>
      <w:r>
        <w:rPr>
          <w:rFonts w:ascii="Times New Roman" w:hAnsi="Times New Roman" w:cs="Times New Roman"/>
          <w:sz w:val="24"/>
        </w:rPr>
        <w:t>eptor blocker.</w:t>
      </w: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41785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S2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The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ROC curve analysis of the GRACE score, the 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TyG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 xml:space="preserve"> index, FBG and TG for MACEs</w:t>
      </w:r>
    </w:p>
    <w:tbl>
      <w:tblPr>
        <w:tblW w:w="837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3"/>
        <w:gridCol w:w="1659"/>
        <w:gridCol w:w="1404"/>
        <w:gridCol w:w="1363"/>
        <w:gridCol w:w="1330"/>
      </w:tblGrid>
      <w:tr w:rsidR="00E84B4A">
        <w:trPr>
          <w:trHeight w:val="347"/>
          <w:jc w:val="center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1" w:name="_Hlk95863732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  <w:bookmarkEnd w:id="1"/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AUC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specificity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sensitivity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value</w:t>
            </w:r>
          </w:p>
        </w:tc>
      </w:tr>
      <w:tr w:rsidR="00E84B4A">
        <w:trPr>
          <w:trHeight w:val="347"/>
          <w:jc w:val="center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TyG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index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0.607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0.576 - 0.638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62.83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58.89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E84B4A">
        <w:trPr>
          <w:trHeight w:val="347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GRACE score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0.694 - 0.750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65.74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73.33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＜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E84B4A">
        <w:trPr>
          <w:trHeight w:val="347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FBG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0.554 - 0.617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57.59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61.11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</w:t>
            </w:r>
          </w:p>
        </w:tc>
      </w:tr>
      <w:tr w:rsidR="00E84B4A">
        <w:trPr>
          <w:trHeight w:val="347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TG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0.532 to 0.594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35.60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77.78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</w:t>
            </w:r>
          </w:p>
        </w:tc>
      </w:tr>
    </w:tbl>
    <w:p w:rsidR="00E84B4A" w:rsidRDefault="0041785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ROC, receiver operating characteristic; MACEs indicates major adverse cardiac events, defined as a composite of all-cause death and nonfatal myocardial </w:t>
      </w:r>
      <w:r>
        <w:rPr>
          <w:rFonts w:ascii="Times New Roman" w:hAnsi="Times New Roman" w:cs="Times New Roman"/>
          <w:sz w:val="24"/>
        </w:rPr>
        <w:t>infarction;</w:t>
      </w:r>
      <w:r>
        <w:t xml:space="preserve"> </w:t>
      </w:r>
      <w:r>
        <w:rPr>
          <w:rFonts w:ascii="Times New Roman" w:hAnsi="Times New Roman" w:cs="Times New Roman"/>
          <w:sz w:val="24"/>
        </w:rPr>
        <w:t xml:space="preserve">GRACE score, Global Registry of Acute Coronary Events score; </w:t>
      </w:r>
      <w:proofErr w:type="spellStart"/>
      <w:r>
        <w:rPr>
          <w:rFonts w:ascii="Times New Roman" w:hAnsi="Times New Roman" w:cs="Times New Roman"/>
          <w:sz w:val="24"/>
        </w:rPr>
        <w:t>TyG</w:t>
      </w:r>
      <w:proofErr w:type="spellEnd"/>
      <w:r>
        <w:rPr>
          <w:rFonts w:ascii="Times New Roman" w:hAnsi="Times New Roman" w:cs="Times New Roman"/>
          <w:sz w:val="24"/>
        </w:rPr>
        <w:t xml:space="preserve"> index, the triglyceride-glucose index; FBG, fasting blood glucose; TG, triglycerides;</w:t>
      </w:r>
      <w:r>
        <w:rPr>
          <w:rFonts w:ascii="Times New Roman Regular" w:hAnsi="Times New Roman Regular" w:cs="Times New Roman Regular"/>
          <w:sz w:val="24"/>
        </w:rPr>
        <w:t xml:space="preserve"> AUC, area under the curve.</w:t>
      </w: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41785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S3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The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comparison of model performance</w:t>
      </w:r>
    </w:p>
    <w:tbl>
      <w:tblPr>
        <w:tblW w:w="829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1102"/>
        <w:gridCol w:w="1985"/>
        <w:gridCol w:w="1485"/>
        <w:gridCol w:w="1276"/>
      </w:tblGrid>
      <w:tr w:rsidR="00E84B4A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E84B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δ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AUC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95% CI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z statistic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 value</w:t>
            </w:r>
          </w:p>
        </w:tc>
      </w:tr>
      <w:tr w:rsidR="00E84B4A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TyG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</w:rPr>
              <w:t xml:space="preserve"> index vs. FBG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0.0364 to 0.0785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0.4725</w:t>
            </w:r>
          </w:p>
        </w:tc>
      </w:tr>
      <w:tr w:rsidR="00E84B4A">
        <w:trPr>
          <w:trHeight w:val="34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TyG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</w:rPr>
              <w:t xml:space="preserve"> index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vs. TG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0.00745 to 0.0802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0.0182</w:t>
            </w:r>
          </w:p>
        </w:tc>
      </w:tr>
    </w:tbl>
    <w:p w:rsidR="00E84B4A" w:rsidRDefault="0041785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δ</w:t>
      </w:r>
      <w:r>
        <w:rPr>
          <w:rFonts w:ascii="Times New Roman Regular" w:hAnsi="Times New Roman Regular" w:cs="Times New Roman Regular"/>
          <w:sz w:val="24"/>
        </w:rPr>
        <w:t>AUC</w:t>
      </w:r>
      <w:proofErr w:type="spellEnd"/>
      <w:r>
        <w:rPr>
          <w:rFonts w:ascii="Times New Roman Regular" w:hAnsi="Times New Roman Regular" w:cs="Times New Roman Regular"/>
          <w:sz w:val="24"/>
        </w:rPr>
        <w:t>, delta-AUC, which indicates</w:t>
      </w:r>
      <w:r>
        <w:rPr>
          <w:rFonts w:ascii="Times New Roman Regular" w:hAnsi="Times New Roman Regular" w:cs="Times New Roman Regular" w:hint="eastAsia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</w:rPr>
        <w:t>the change in area under the curve;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TyG</w:t>
      </w:r>
      <w:proofErr w:type="spellEnd"/>
      <w:r>
        <w:rPr>
          <w:rFonts w:ascii="Times New Roman" w:hAnsi="Times New Roman" w:cs="Times New Roman"/>
          <w:sz w:val="24"/>
        </w:rPr>
        <w:t xml:space="preserve"> index, triglyceride-glucose index; FBG, fasting blood glucose; TG, triglycerides; CI </w:t>
      </w:r>
      <w:r>
        <w:rPr>
          <w:rFonts w:ascii="Times New Roman" w:hAnsi="Times New Roman" w:cs="Times New Roman" w:hint="eastAsia"/>
          <w:sz w:val="24"/>
        </w:rPr>
        <w:t>confidence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interval.</w:t>
      </w: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sz w:val="24"/>
        </w:rPr>
      </w:pPr>
    </w:p>
    <w:p w:rsidR="00E84B4A" w:rsidRDefault="00E84B4A">
      <w:pPr>
        <w:spacing w:line="360" w:lineRule="auto"/>
        <w:rPr>
          <w:rFonts w:ascii="Times New Roman Regular" w:hAnsi="Times New Roman Regular" w:cs="Times New Roman Regular"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E84B4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E84B4A" w:rsidRDefault="0041785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S4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The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model performance estimated by internal bootstrap validation method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1134"/>
      </w:tblGrid>
      <w:tr w:rsidR="00E84B4A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E84B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Bias-corrected C-index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E84B4A">
        <w:trPr>
          <w:trHeight w:val="9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MACEs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E84B4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B4A" w:rsidRDefault="00E84B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GRACE score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0.734 (0.683, 0.787)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GRACE score + FBG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0.732 (0.680, 0.786)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GRACE score +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0.742 (0.688, 0.796)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-cause death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B4A">
        <w:trPr>
          <w:trHeight w:val="16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GRACE score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0.750 (0.692, 0.809)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rPr>
          <w:trHeight w:val="16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GRACE score + FBG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0.749 (0.689, 0.810)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GRACE score +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0.762 (0.703, 0.825)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Cardiac death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GRACE score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0.775 (0.703, 0.837)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GRACE score + FBG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0.771 (0.703, 0.840)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GRACE score +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index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0.781 (0.713, 0.854)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-cause death, MI, or unplanned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revascularization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E84B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GRACE score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0.654 (0.608, 0.700)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GRACE score + FBG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0.656 (0.612, 0.700)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84B4A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GRACE score +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index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0.670 (0.624, 0.717)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B4A" w:rsidRDefault="00417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</w:tbl>
    <w:p w:rsidR="00E84B4A" w:rsidRDefault="0041785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MACEs indicates major adverse cardiac events, defined as a composite of all-cause death and </w:t>
      </w:r>
      <w:r>
        <w:rPr>
          <w:rFonts w:ascii="Times New Roman" w:hAnsi="Times New Roman" w:cs="Times New Roman"/>
          <w:sz w:val="24"/>
        </w:rPr>
        <w:t>nonfatal myocardial infarction. GRACE score,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Global Registry of Acute Coronary Events score;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TyG</w:t>
      </w:r>
      <w:proofErr w:type="spellEnd"/>
      <w:r>
        <w:rPr>
          <w:rFonts w:ascii="Times New Roman" w:hAnsi="Times New Roman" w:cs="Times New Roman"/>
          <w:sz w:val="24"/>
        </w:rPr>
        <w:t xml:space="preserve"> index, the triglyceride-glucose index; MI, myocardial infarction; </w:t>
      </w:r>
      <w:r>
        <w:rPr>
          <w:rFonts w:ascii="Times New Roman" w:hAnsi="Times New Roman" w:cs="Times New Roman" w:hint="eastAsia"/>
          <w:sz w:val="24"/>
        </w:rPr>
        <w:t>CI</w:t>
      </w:r>
      <w:r>
        <w:rPr>
          <w:rFonts w:ascii="Times New Roman" w:hAnsi="Times New Roman" w:cs="Times New Roman"/>
          <w:sz w:val="24"/>
        </w:rPr>
        <w:t>, confidence interval.</w:t>
      </w:r>
      <w:bookmarkEnd w:id="0"/>
    </w:p>
    <w:sectPr w:rsidR="00E84B4A" w:rsidSect="0041785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SimSun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C8"/>
    <w:rsid w:val="FFFFFC73"/>
    <w:rsid w:val="00013941"/>
    <w:rsid w:val="00045177"/>
    <w:rsid w:val="00064568"/>
    <w:rsid w:val="0006714D"/>
    <w:rsid w:val="0008218B"/>
    <w:rsid w:val="000B290E"/>
    <w:rsid w:val="000B31AD"/>
    <w:rsid w:val="000C4084"/>
    <w:rsid w:val="000D33B4"/>
    <w:rsid w:val="000D5DDF"/>
    <w:rsid w:val="000E2011"/>
    <w:rsid w:val="000E574C"/>
    <w:rsid w:val="000E6A64"/>
    <w:rsid w:val="000E706A"/>
    <w:rsid w:val="00122610"/>
    <w:rsid w:val="001255FB"/>
    <w:rsid w:val="001414E4"/>
    <w:rsid w:val="00146469"/>
    <w:rsid w:val="00171FC7"/>
    <w:rsid w:val="00180D74"/>
    <w:rsid w:val="001B0336"/>
    <w:rsid w:val="001C3144"/>
    <w:rsid w:val="002013AB"/>
    <w:rsid w:val="00205318"/>
    <w:rsid w:val="002326A4"/>
    <w:rsid w:val="00234AC7"/>
    <w:rsid w:val="002452C1"/>
    <w:rsid w:val="00254140"/>
    <w:rsid w:val="00272FA8"/>
    <w:rsid w:val="00276C06"/>
    <w:rsid w:val="0029242D"/>
    <w:rsid w:val="002B3C87"/>
    <w:rsid w:val="002D22C8"/>
    <w:rsid w:val="002E7523"/>
    <w:rsid w:val="002F3E2C"/>
    <w:rsid w:val="00300754"/>
    <w:rsid w:val="0030200E"/>
    <w:rsid w:val="00305C69"/>
    <w:rsid w:val="003068B8"/>
    <w:rsid w:val="00306EC5"/>
    <w:rsid w:val="00314678"/>
    <w:rsid w:val="003219E8"/>
    <w:rsid w:val="003378D4"/>
    <w:rsid w:val="00363731"/>
    <w:rsid w:val="00384FEA"/>
    <w:rsid w:val="003879D9"/>
    <w:rsid w:val="003A0363"/>
    <w:rsid w:val="003A2B5D"/>
    <w:rsid w:val="003A4DAB"/>
    <w:rsid w:val="003B0CAB"/>
    <w:rsid w:val="003D5289"/>
    <w:rsid w:val="003D5435"/>
    <w:rsid w:val="003F592D"/>
    <w:rsid w:val="003F5E30"/>
    <w:rsid w:val="003F7C0E"/>
    <w:rsid w:val="00407FBC"/>
    <w:rsid w:val="00412F6F"/>
    <w:rsid w:val="0041785D"/>
    <w:rsid w:val="00450E2E"/>
    <w:rsid w:val="00481EE6"/>
    <w:rsid w:val="00486091"/>
    <w:rsid w:val="0049022B"/>
    <w:rsid w:val="004A0780"/>
    <w:rsid w:val="004A3B9B"/>
    <w:rsid w:val="004B050E"/>
    <w:rsid w:val="004D548C"/>
    <w:rsid w:val="004E034E"/>
    <w:rsid w:val="004F47B3"/>
    <w:rsid w:val="0052366C"/>
    <w:rsid w:val="00535E13"/>
    <w:rsid w:val="00537568"/>
    <w:rsid w:val="005444A2"/>
    <w:rsid w:val="00545A6E"/>
    <w:rsid w:val="005D6E15"/>
    <w:rsid w:val="005D7568"/>
    <w:rsid w:val="005E1FCA"/>
    <w:rsid w:val="005E4B85"/>
    <w:rsid w:val="005F2333"/>
    <w:rsid w:val="005F38E5"/>
    <w:rsid w:val="00601594"/>
    <w:rsid w:val="00611BA7"/>
    <w:rsid w:val="0061324C"/>
    <w:rsid w:val="006375D1"/>
    <w:rsid w:val="006B52BC"/>
    <w:rsid w:val="006C10EB"/>
    <w:rsid w:val="006D44D1"/>
    <w:rsid w:val="006E2F1B"/>
    <w:rsid w:val="006E334D"/>
    <w:rsid w:val="007026B6"/>
    <w:rsid w:val="00736B97"/>
    <w:rsid w:val="007431F6"/>
    <w:rsid w:val="00747EFA"/>
    <w:rsid w:val="007606E3"/>
    <w:rsid w:val="00793A94"/>
    <w:rsid w:val="00796304"/>
    <w:rsid w:val="007C0873"/>
    <w:rsid w:val="007C6474"/>
    <w:rsid w:val="007F4D8B"/>
    <w:rsid w:val="00800982"/>
    <w:rsid w:val="00813A64"/>
    <w:rsid w:val="008274F4"/>
    <w:rsid w:val="0085375D"/>
    <w:rsid w:val="00862331"/>
    <w:rsid w:val="00882D43"/>
    <w:rsid w:val="00884C55"/>
    <w:rsid w:val="008B2149"/>
    <w:rsid w:val="008C7A69"/>
    <w:rsid w:val="008D3E4C"/>
    <w:rsid w:val="008E4F60"/>
    <w:rsid w:val="008F0BC9"/>
    <w:rsid w:val="008F6DBD"/>
    <w:rsid w:val="0090666D"/>
    <w:rsid w:val="00934A2C"/>
    <w:rsid w:val="00942864"/>
    <w:rsid w:val="00946CEC"/>
    <w:rsid w:val="0096163C"/>
    <w:rsid w:val="009D3EC0"/>
    <w:rsid w:val="00A01A15"/>
    <w:rsid w:val="00A02E87"/>
    <w:rsid w:val="00A04F29"/>
    <w:rsid w:val="00A07031"/>
    <w:rsid w:val="00A34635"/>
    <w:rsid w:val="00A3602F"/>
    <w:rsid w:val="00A67724"/>
    <w:rsid w:val="00A72052"/>
    <w:rsid w:val="00AE2AA1"/>
    <w:rsid w:val="00AE7D47"/>
    <w:rsid w:val="00B01441"/>
    <w:rsid w:val="00B05B44"/>
    <w:rsid w:val="00B16EED"/>
    <w:rsid w:val="00B303C1"/>
    <w:rsid w:val="00B33396"/>
    <w:rsid w:val="00B4715B"/>
    <w:rsid w:val="00B74E23"/>
    <w:rsid w:val="00BE787D"/>
    <w:rsid w:val="00C12598"/>
    <w:rsid w:val="00C13BE1"/>
    <w:rsid w:val="00C27F0E"/>
    <w:rsid w:val="00C32648"/>
    <w:rsid w:val="00C344E4"/>
    <w:rsid w:val="00C542A4"/>
    <w:rsid w:val="00C75B91"/>
    <w:rsid w:val="00CD33A1"/>
    <w:rsid w:val="00CE42A7"/>
    <w:rsid w:val="00D024B7"/>
    <w:rsid w:val="00D13D33"/>
    <w:rsid w:val="00D33757"/>
    <w:rsid w:val="00D504D5"/>
    <w:rsid w:val="00D9268A"/>
    <w:rsid w:val="00DA116A"/>
    <w:rsid w:val="00DA23F2"/>
    <w:rsid w:val="00DA4C3C"/>
    <w:rsid w:val="00DF2517"/>
    <w:rsid w:val="00DF2AD1"/>
    <w:rsid w:val="00E00170"/>
    <w:rsid w:val="00E15E31"/>
    <w:rsid w:val="00E1640D"/>
    <w:rsid w:val="00E2692E"/>
    <w:rsid w:val="00E332E1"/>
    <w:rsid w:val="00E36202"/>
    <w:rsid w:val="00E5460D"/>
    <w:rsid w:val="00E55CB1"/>
    <w:rsid w:val="00E721C1"/>
    <w:rsid w:val="00E74F9B"/>
    <w:rsid w:val="00E84B4A"/>
    <w:rsid w:val="00E9475C"/>
    <w:rsid w:val="00EA4D5B"/>
    <w:rsid w:val="00EA506E"/>
    <w:rsid w:val="00EB3EED"/>
    <w:rsid w:val="00EB5DD9"/>
    <w:rsid w:val="00ED4711"/>
    <w:rsid w:val="00ED7C25"/>
    <w:rsid w:val="00EE1C30"/>
    <w:rsid w:val="00F068D8"/>
    <w:rsid w:val="00F07A74"/>
    <w:rsid w:val="00F11130"/>
    <w:rsid w:val="00F203BC"/>
    <w:rsid w:val="00F42C45"/>
    <w:rsid w:val="00F44348"/>
    <w:rsid w:val="00F44D77"/>
    <w:rsid w:val="00F4637E"/>
    <w:rsid w:val="00F71029"/>
    <w:rsid w:val="00F73B94"/>
    <w:rsid w:val="00F926AC"/>
    <w:rsid w:val="00F933E4"/>
    <w:rsid w:val="67F55F5F"/>
    <w:rsid w:val="7B6F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AC1B04-36B5-4A8D-B0AA-6BABDB0E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firstLineChars="200" w:firstLine="420"/>
    </w:pPr>
    <w:rPr>
      <w:rFonts w:ascii="DengXian" w:eastAsia="DengXian" w:hAnsi="DengXian" w:cs="SimSu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 Cai</dc:creator>
  <cp:lastModifiedBy>Priya V.</cp:lastModifiedBy>
  <cp:revision>44</cp:revision>
  <dcterms:created xsi:type="dcterms:W3CDTF">2022-07-22T10:02:00Z</dcterms:created>
  <dcterms:modified xsi:type="dcterms:W3CDTF">2022-07-30T23:56:00Z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2B6CAE8E2BF7C54E4666DA6237BCDC5D</vt:lpwstr>
  </property>
</Properties>
</file>