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4BF5B" w14:textId="28D18030" w:rsidR="008004F4" w:rsidRPr="0080658E" w:rsidRDefault="009A25EF" w:rsidP="008142DD">
      <w:pPr>
        <w:spacing w:line="480" w:lineRule="auto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Additional file 1</w:t>
      </w:r>
      <w:r w:rsidR="008142DD" w:rsidRPr="0080658E">
        <w:rPr>
          <w:rFonts w:ascii="Arial" w:hAnsi="Arial" w:cs="Arial"/>
          <w:b/>
          <w:color w:val="000000" w:themeColor="text1"/>
          <w:sz w:val="22"/>
        </w:rPr>
        <w:t xml:space="preserve">. </w:t>
      </w:r>
      <w:r w:rsidR="00937BDE">
        <w:rPr>
          <w:rFonts w:ascii="Arial" w:hAnsi="Arial" w:cs="Arial"/>
          <w:b/>
          <w:color w:val="000000" w:themeColor="text1"/>
          <w:sz w:val="22"/>
        </w:rPr>
        <w:t>Between-g</w:t>
      </w:r>
      <w:r w:rsidR="003A703B" w:rsidRPr="0080658E">
        <w:rPr>
          <w:rFonts w:ascii="Arial" w:hAnsi="Arial" w:cs="Arial"/>
          <w:b/>
          <w:color w:val="000000" w:themeColor="text1"/>
          <w:sz w:val="22"/>
        </w:rPr>
        <w:t xml:space="preserve">roup differences in changes at week 24 for clinical measures of interest in subgroups stratified by baseline </w:t>
      </w:r>
      <w:r w:rsidR="008922C8">
        <w:rPr>
          <w:rFonts w:ascii="Arial" w:hAnsi="Arial" w:cs="Arial"/>
          <w:b/>
          <w:color w:val="000000" w:themeColor="text1"/>
          <w:sz w:val="22"/>
        </w:rPr>
        <w:t>HOMA-</w:t>
      </w:r>
      <w:r w:rsidR="00FF39E5">
        <w:rPr>
          <w:rFonts w:ascii="Arial" w:hAnsi="Arial" w:cs="Arial"/>
          <w:b/>
          <w:color w:val="000000" w:themeColor="text1"/>
          <w:sz w:val="22"/>
        </w:rPr>
        <w:t>I</w:t>
      </w:r>
      <w:r w:rsidR="008922C8">
        <w:rPr>
          <w:rFonts w:ascii="Arial" w:hAnsi="Arial" w:cs="Arial"/>
          <w:b/>
          <w:color w:val="000000" w:themeColor="text1"/>
          <w:sz w:val="22"/>
        </w:rPr>
        <w:t>R</w:t>
      </w:r>
    </w:p>
    <w:tbl>
      <w:tblPr>
        <w:tblStyle w:val="a7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19"/>
        <w:gridCol w:w="3047"/>
        <w:gridCol w:w="3048"/>
        <w:gridCol w:w="1559"/>
      </w:tblGrid>
      <w:tr w:rsidR="0080658E" w:rsidRPr="0080658E" w14:paraId="530197AE" w14:textId="7EBA6C90" w:rsidTr="005F2976"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BD582" w14:textId="08A8E0B5" w:rsidR="003A703B" w:rsidRPr="0080658E" w:rsidRDefault="002939F1" w:rsidP="005F2976">
            <w:pPr>
              <w:spacing w:line="48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</w:rPr>
              <w:t>Param</w:t>
            </w:r>
            <w:r w:rsidR="00B969C3">
              <w:rPr>
                <w:rFonts w:ascii="Arial" w:hAnsi="Arial" w:cs="Arial"/>
                <w:b/>
                <w:color w:val="000000" w:themeColor="text1"/>
                <w:sz w:val="22"/>
              </w:rPr>
              <w:t>e</w:t>
            </w:r>
            <w:r>
              <w:rPr>
                <w:rFonts w:ascii="Arial" w:hAnsi="Arial" w:cs="Arial"/>
                <w:b/>
                <w:color w:val="000000" w:themeColor="text1"/>
                <w:sz w:val="22"/>
              </w:rPr>
              <w:t>ter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6DB93" w14:textId="51C127B1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Treatment effect </w:t>
            </w:r>
          </w:p>
        </w:tc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DD2ED" w14:textId="082F7C98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Baseline 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HOMA-</w:t>
            </w:r>
            <w:r w:rsidR="00FF39E5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I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R</w:t>
            </w:r>
            <w:r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 &lt;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2.4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68ED2" w14:textId="20CB8DD1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Baseline 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HOMA-</w:t>
            </w:r>
            <w:r w:rsidR="00FF39E5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I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R</w:t>
            </w:r>
            <w:r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 ≥</w:t>
            </w:r>
            <w:r w:rsidR="00E22CE9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2.4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EDCF8" w14:textId="7A1C8405" w:rsidR="003A703B" w:rsidRPr="0080658E" w:rsidRDefault="00937BDE" w:rsidP="00E863B7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</w:rPr>
            </w:pPr>
            <w:r w:rsidRPr="00C5269C">
              <w:rPr>
                <w:rFonts w:ascii="Arial" w:hAnsi="Arial" w:cs="Arial"/>
                <w:b/>
                <w:color w:val="000000" w:themeColor="text1"/>
                <w:sz w:val="22"/>
              </w:rPr>
              <w:t>p</w:t>
            </w:r>
            <w:r w:rsidR="00E863B7"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>-value</w:t>
            </w:r>
            <w:r w:rsidR="003A703B" w:rsidRPr="0080658E">
              <w:rPr>
                <w:rFonts w:ascii="Arial" w:hAnsi="Arial" w:cs="Arial"/>
                <w:b/>
                <w:iCs/>
                <w:color w:val="000000" w:themeColor="text1"/>
                <w:sz w:val="22"/>
              </w:rPr>
              <w:t xml:space="preserve"> for interaction</w:t>
            </w:r>
          </w:p>
        </w:tc>
      </w:tr>
      <w:tr w:rsidR="0080658E" w:rsidRPr="0080658E" w14:paraId="1BD7A05A" w14:textId="04457D1E" w:rsidTr="005F2976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37BBE6" w14:textId="3A926A5C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SBP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mmHg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3047D0" w14:textId="1F4B097C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D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ifference (canagliflozin minus glimepiride)</w:t>
            </w:r>
            <w:r w:rsidR="005F2976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in change</w:t>
            </w: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FC790" w14:textId="04109D2F" w:rsidR="003A703B" w:rsidRPr="0080658E" w:rsidRDefault="000468A2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3.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153</w:t>
            </w:r>
            <w:r w:rsidR="005F2976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(‒2.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336</w:t>
            </w:r>
            <w:r w:rsidR="005F2976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8.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642</w:t>
            </w:r>
            <w:r w:rsidR="005F2976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vAlign w:val="center"/>
          </w:tcPr>
          <w:p w14:paraId="4A697942" w14:textId="00184BD5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346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7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784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3.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091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2596CD1" w14:textId="6D3251EA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163</w:t>
            </w:r>
          </w:p>
        </w:tc>
      </w:tr>
      <w:tr w:rsidR="0080658E" w:rsidRPr="0080658E" w14:paraId="755AB166" w14:textId="6656FDCC" w:rsidTr="005F2976">
        <w:tc>
          <w:tcPr>
            <w:tcW w:w="2410" w:type="dxa"/>
            <w:shd w:val="clear" w:color="auto" w:fill="auto"/>
            <w:vAlign w:val="center"/>
          </w:tcPr>
          <w:p w14:paraId="3A2F69A6" w14:textId="0D24AB7A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BMI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kg/m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  <w:vertAlign w:val="superscript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47F4CDAF" w14:textId="7FFF0883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15839E40" w14:textId="65AC21FB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0.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895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(‒1.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32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‒0.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57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63E9D5DF" w14:textId="5C5EEB39" w:rsidR="003A703B" w:rsidRPr="0080658E" w:rsidRDefault="006B499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‒1.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622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(‒2.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59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‒1.0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86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480E2CF2" w14:textId="6D8BDB90" w:rsidR="003A703B" w:rsidRPr="0080658E" w:rsidRDefault="006B499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0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60</w:t>
            </w:r>
          </w:p>
        </w:tc>
      </w:tr>
      <w:tr w:rsidR="0080658E" w:rsidRPr="0080658E" w14:paraId="7C376328" w14:textId="77777777" w:rsidTr="005F2976">
        <w:tc>
          <w:tcPr>
            <w:tcW w:w="2410" w:type="dxa"/>
            <w:shd w:val="clear" w:color="auto" w:fill="auto"/>
            <w:vAlign w:val="center"/>
          </w:tcPr>
          <w:p w14:paraId="26C37616" w14:textId="2306A749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ePV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%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3395FB37" w14:textId="0D33AC88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1BD342ED" w14:textId="4A665C68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4.919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(‒1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328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490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5DE3F4B4" w14:textId="6BEE78D8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8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552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(‒1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903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‒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202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2BB3EB0" w14:textId="7892483F" w:rsidR="003A703B" w:rsidRPr="0080658E" w:rsidRDefault="005F2976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430</w:t>
            </w:r>
          </w:p>
        </w:tc>
      </w:tr>
      <w:tr w:rsidR="0080658E" w:rsidRPr="0080658E" w14:paraId="2D18AB07" w14:textId="46838B2F" w:rsidTr="005F2976">
        <w:tc>
          <w:tcPr>
            <w:tcW w:w="2410" w:type="dxa"/>
            <w:shd w:val="clear" w:color="auto" w:fill="auto"/>
            <w:vAlign w:val="center"/>
          </w:tcPr>
          <w:p w14:paraId="798A1457" w14:textId="6E53551F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eGFR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</w:t>
            </w:r>
            <w:r w:rsidR="005F2976" w:rsidRPr="0080658E">
              <w:rPr>
                <w:rFonts w:ascii="Arial" w:hAnsi="Arial" w:cs="Arial"/>
                <w:color w:val="000000" w:themeColor="text1"/>
                <w:sz w:val="22"/>
              </w:rPr>
              <w:t>L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/min/1.73m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  <w:vertAlign w:val="superscript"/>
              </w:rPr>
              <w:t>2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413B5633" w14:textId="3491189B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1C66C177" w14:textId="1BD422F3" w:rsidR="003A703B" w:rsidRPr="0080658E" w:rsidRDefault="00E22CE9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211530"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025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58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20</w:t>
            </w:r>
            <w:r w:rsidR="000468A2" w:rsidRPr="0080658E">
              <w:rPr>
                <w:rFonts w:ascii="Arial" w:hAnsi="Arial" w:cs="Arial"/>
                <w:color w:val="000000" w:themeColor="text1"/>
                <w:sz w:val="22"/>
              </w:rPr>
              <w:t>9</w:t>
            </w:r>
            <w:r w:rsidR="00211530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73E9427A" w14:textId="0DC931AD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929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(‒4.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136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277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24E307AA" w14:textId="4BCE50B9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697</w:t>
            </w:r>
          </w:p>
        </w:tc>
      </w:tr>
      <w:tr w:rsidR="0080658E" w:rsidRPr="0080658E" w14:paraId="3BDB25AB" w14:textId="16148F14" w:rsidTr="005F2976">
        <w:tc>
          <w:tcPr>
            <w:tcW w:w="2410" w:type="dxa"/>
            <w:shd w:val="clear" w:color="auto" w:fill="auto"/>
            <w:vAlign w:val="center"/>
          </w:tcPr>
          <w:p w14:paraId="2665F93F" w14:textId="2F183ECB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HbA1c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%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3117A73A" w14:textId="1C907916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73771E87" w14:textId="1D2C3928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.2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47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(‒0.0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38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0.5</w:t>
            </w:r>
            <w:r w:rsidR="005E4E64" w:rsidRPr="0080658E"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10631C8D" w14:textId="599FB735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.4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70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(0.1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91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0.7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49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725D75CE" w14:textId="445CBB32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E22CE9">
              <w:rPr>
                <w:rFonts w:ascii="Arial" w:hAnsi="Arial" w:cs="Arial"/>
                <w:color w:val="000000" w:themeColor="text1"/>
                <w:sz w:val="22"/>
              </w:rPr>
              <w:t>273</w:t>
            </w:r>
          </w:p>
        </w:tc>
      </w:tr>
      <w:tr w:rsidR="0080658E" w:rsidRPr="0080658E" w14:paraId="65A50F4E" w14:textId="7A08AFCB" w:rsidTr="005F2976">
        <w:tc>
          <w:tcPr>
            <w:tcW w:w="2410" w:type="dxa"/>
            <w:shd w:val="clear" w:color="auto" w:fill="auto"/>
            <w:vAlign w:val="center"/>
          </w:tcPr>
          <w:p w14:paraId="6140D814" w14:textId="3BBCD368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Uric acid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mg/dL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0FAE51A2" w14:textId="52FBDC73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2D7E6994" w14:textId="6968B2BD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‒1.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07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(‒1.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72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‒0.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6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70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67ACA19F" w14:textId="1073CE8D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‒0.8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5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(‒1.2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54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‒0.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45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15902B6" w14:textId="7745E379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51</w:t>
            </w:r>
          </w:p>
        </w:tc>
      </w:tr>
      <w:tr w:rsidR="0080658E" w:rsidRPr="0080658E" w14:paraId="5A57250A" w14:textId="3778BB0B" w:rsidTr="005F2976">
        <w:tc>
          <w:tcPr>
            <w:tcW w:w="2410" w:type="dxa"/>
            <w:shd w:val="clear" w:color="auto" w:fill="auto"/>
            <w:vAlign w:val="center"/>
          </w:tcPr>
          <w:p w14:paraId="08491A8D" w14:textId="345F6290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Triglycerides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mg/dL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778C4652" w14:textId="2B168828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5B72B358" w14:textId="3F703390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5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955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99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35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208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62300EA1" w14:textId="11A9396F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834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300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25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632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3E3A5A84" w14:textId="1892BE3C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644</w:t>
            </w:r>
          </w:p>
        </w:tc>
      </w:tr>
      <w:tr w:rsidR="0080658E" w:rsidRPr="0080658E" w14:paraId="69E27F1D" w14:textId="77777777" w:rsidTr="005F2976">
        <w:tc>
          <w:tcPr>
            <w:tcW w:w="2410" w:type="dxa"/>
            <w:shd w:val="clear" w:color="auto" w:fill="auto"/>
            <w:vAlign w:val="center"/>
          </w:tcPr>
          <w:p w14:paraId="1210BD6B" w14:textId="0C0E0D02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lastRenderedPageBreak/>
              <w:t>HDL-C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mg/dL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273F7CA7" w14:textId="28EBF2EA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499DD0C9" w14:textId="4D8E12B3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041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169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251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7CF6A72B" w14:textId="65784EF9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12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064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309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465F78C0" w14:textId="6E29DAC3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972</w:t>
            </w:r>
          </w:p>
        </w:tc>
      </w:tr>
      <w:tr w:rsidR="0080658E" w:rsidRPr="0080658E" w14:paraId="711BEA17" w14:textId="77777777" w:rsidTr="005F2976">
        <w:tc>
          <w:tcPr>
            <w:tcW w:w="2410" w:type="dxa"/>
            <w:shd w:val="clear" w:color="auto" w:fill="auto"/>
            <w:vAlign w:val="center"/>
          </w:tcPr>
          <w:p w14:paraId="0E107841" w14:textId="16FADB8C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lastRenderedPageBreak/>
              <w:t>LDL-C</w:t>
            </w:r>
            <w:r w:rsidR="006B4990" w:rsidRPr="0080658E">
              <w:rPr>
                <w:rFonts w:ascii="Arial" w:hAnsi="Arial" w:cs="Arial"/>
                <w:color w:val="000000" w:themeColor="text1"/>
                <w:sz w:val="22"/>
              </w:rPr>
              <w:t>, mg/dL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28E20DE3" w14:textId="7656BBDE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14:paraId="033B80C1" w14:textId="6123CD27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‒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088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8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62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7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9</w:t>
            </w:r>
            <w:r>
              <w:rPr>
                <w:rFonts w:ascii="Arial" w:hAnsi="Arial" w:cs="Arial"/>
                <w:color w:val="000000" w:themeColor="text1"/>
                <w:sz w:val="22"/>
              </w:rPr>
              <w:t>86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vAlign w:val="center"/>
          </w:tcPr>
          <w:p w14:paraId="258BEA17" w14:textId="7B8F14E8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6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944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(‒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051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940</w:t>
            </w:r>
            <w:r w:rsidR="00697864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CC723F0" w14:textId="3D8D110A" w:rsidR="003A703B" w:rsidRPr="0080658E" w:rsidRDefault="00697864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225</w:t>
            </w:r>
          </w:p>
        </w:tc>
      </w:tr>
      <w:tr w:rsidR="0080658E" w:rsidRPr="0080658E" w14:paraId="5D2E0AC2" w14:textId="19D14E58" w:rsidTr="005F2976">
        <w:trPr>
          <w:trHeight w:val="108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0D91F" w14:textId="3712D515" w:rsidR="003A703B" w:rsidRPr="0080658E" w:rsidRDefault="003A703B" w:rsidP="005F2976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/>
                <w:color w:val="000000" w:themeColor="text1"/>
                <w:sz w:val="22"/>
              </w:rPr>
              <w:t>NT-proBNP</w:t>
            </w:r>
            <w:r w:rsidR="00E863B7" w:rsidRPr="0080658E">
              <w:rPr>
                <w:rFonts w:ascii="Arial" w:hAnsi="Arial" w:cs="Arial" w:hint="eastAsia"/>
                <w:color w:val="000000" w:themeColor="text1"/>
                <w:sz w:val="22"/>
              </w:rPr>
              <w:t>*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659F3" w14:textId="3CD67478" w:rsidR="003A703B" w:rsidRPr="0080658E" w:rsidRDefault="00211530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R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atio (canagliflozin vs. glimepiride) of proportional change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57107" w14:textId="7BC8BA0D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.9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37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(0.7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45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1.1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7</w:t>
            </w:r>
            <w:r w:rsidR="00C524B7" w:rsidRPr="0080658E">
              <w:rPr>
                <w:rFonts w:ascii="Arial" w:hAnsi="Arial" w:cs="Arial"/>
                <w:color w:val="000000" w:themeColor="text1"/>
                <w:sz w:val="22"/>
              </w:rPr>
              <w:t>9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65767227" w14:textId="48C99E35" w:rsidR="003A703B" w:rsidRPr="0080658E" w:rsidRDefault="00B67F38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="003A703B"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002</w:t>
            </w:r>
            <w:r w:rsidR="003A703B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22"/>
              </w:rPr>
              <w:t>800</w:t>
            </w:r>
            <w:r w:rsidR="003A703B" w:rsidRPr="0080658E">
              <w:rPr>
                <w:rFonts w:ascii="Arial" w:hAnsi="Arial" w:cs="Arial"/>
                <w:color w:val="000000" w:themeColor="text1"/>
                <w:sz w:val="22"/>
              </w:rPr>
              <w:t xml:space="preserve"> to 1.2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54</w:t>
            </w:r>
            <w:r w:rsidR="003A703B" w:rsidRPr="0080658E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9A07A6" w14:textId="6B488527" w:rsidR="003A703B" w:rsidRPr="0080658E" w:rsidRDefault="003A703B" w:rsidP="003A703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80658E">
              <w:rPr>
                <w:rFonts w:ascii="Arial" w:hAnsi="Arial" w:cs="Arial" w:hint="eastAsia"/>
                <w:color w:val="000000" w:themeColor="text1"/>
                <w:sz w:val="22"/>
              </w:rPr>
              <w:t>0</w:t>
            </w:r>
            <w:r w:rsidRPr="0080658E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="00B67F38">
              <w:rPr>
                <w:rFonts w:ascii="Arial" w:hAnsi="Arial" w:cs="Arial"/>
                <w:color w:val="000000" w:themeColor="text1"/>
                <w:sz w:val="22"/>
              </w:rPr>
              <w:t>6</w:t>
            </w:r>
            <w:r w:rsidR="006C22C7" w:rsidRPr="0080658E">
              <w:rPr>
                <w:rFonts w:ascii="Arial" w:hAnsi="Arial" w:cs="Arial"/>
                <w:color w:val="000000" w:themeColor="text1"/>
                <w:sz w:val="22"/>
              </w:rPr>
              <w:t>84</w:t>
            </w:r>
          </w:p>
        </w:tc>
      </w:tr>
    </w:tbl>
    <w:p w14:paraId="53AD4FE4" w14:textId="5B0B30A6" w:rsidR="003A703B" w:rsidRPr="0080658E" w:rsidRDefault="00E863B7" w:rsidP="00E863B7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80658E">
        <w:rPr>
          <w:rFonts w:ascii="Arial" w:hAnsi="Arial" w:cs="Arial" w:hint="eastAsia"/>
          <w:color w:val="000000" w:themeColor="text1"/>
          <w:sz w:val="22"/>
        </w:rPr>
        <w:t>*</w:t>
      </w:r>
      <w:r w:rsidRPr="0080658E">
        <w:rPr>
          <w:rFonts w:ascii="Arial" w:hAnsi="Arial" w:cs="Arial"/>
          <w:color w:val="000000" w:themeColor="text1"/>
          <w:sz w:val="22"/>
        </w:rPr>
        <w:t xml:space="preserve"> Log-transformed</w:t>
      </w:r>
      <w:r w:rsidRPr="0080658E">
        <w:rPr>
          <w:rFonts w:ascii="Arial" w:hAnsi="Arial" w:cs="Arial" w:hint="eastAsia"/>
          <w:color w:val="000000" w:themeColor="text1"/>
          <w:sz w:val="22"/>
        </w:rPr>
        <w:t xml:space="preserve">. </w:t>
      </w:r>
      <w:r w:rsidR="003A703B" w:rsidRPr="0080658E">
        <w:rPr>
          <w:rFonts w:ascii="Arial" w:hAnsi="Arial" w:cs="Arial" w:hint="eastAsia"/>
          <w:color w:val="000000" w:themeColor="text1"/>
          <w:sz w:val="22"/>
        </w:rPr>
        <w:t>D</w:t>
      </w:r>
      <w:r w:rsidR="003A703B" w:rsidRPr="0080658E">
        <w:rPr>
          <w:rFonts w:ascii="Arial" w:hAnsi="Arial" w:cs="Arial"/>
          <w:color w:val="000000" w:themeColor="text1"/>
          <w:sz w:val="22"/>
        </w:rPr>
        <w:t xml:space="preserve">ata are shown </w:t>
      </w:r>
      <w:r w:rsidRPr="0080658E">
        <w:rPr>
          <w:rFonts w:ascii="Arial" w:hAnsi="Arial" w:cs="Arial"/>
          <w:color w:val="000000" w:themeColor="text1"/>
          <w:sz w:val="22"/>
        </w:rPr>
        <w:t xml:space="preserve">as </w:t>
      </w:r>
      <w:r w:rsidR="003A703B" w:rsidRPr="0080658E">
        <w:rPr>
          <w:rFonts w:ascii="Arial" w:hAnsi="Arial" w:cs="Arial"/>
          <w:color w:val="000000" w:themeColor="text1"/>
          <w:sz w:val="22"/>
        </w:rPr>
        <w:t>mean (95% confidence interval).</w:t>
      </w:r>
    </w:p>
    <w:p w14:paraId="0AEB2288" w14:textId="3C0C400D" w:rsidR="008142DD" w:rsidRPr="0080658E" w:rsidRDefault="008922C8" w:rsidP="00E050E1">
      <w:pPr>
        <w:spacing w:line="480" w:lineRule="auto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BMI, body mass index; eGFR, estimated glomerular filtration rate; ePV, estimated plasma volume; HDL-C, high-density lipoprotein cholesterol; HOMA-</w:t>
      </w:r>
      <w:r w:rsidR="00FF39E5">
        <w:rPr>
          <w:rFonts w:ascii="Arial" w:hAnsi="Arial" w:cs="Arial"/>
          <w:color w:val="000000" w:themeColor="text1"/>
          <w:sz w:val="22"/>
        </w:rPr>
        <w:t>I</w:t>
      </w:r>
      <w:bookmarkStart w:id="0" w:name="_GoBack"/>
      <w:bookmarkEnd w:id="0"/>
      <w:r>
        <w:rPr>
          <w:rFonts w:ascii="Arial" w:hAnsi="Arial" w:cs="Arial"/>
          <w:color w:val="000000" w:themeColor="text1"/>
          <w:sz w:val="22"/>
        </w:rPr>
        <w:t>R,</w:t>
      </w:r>
      <w:r w:rsidRPr="008922C8">
        <w:rPr>
          <w:rFonts w:ascii="Arial" w:hAnsi="Arial" w:cs="Arial"/>
          <w:color w:val="000000" w:themeColor="text1"/>
          <w:sz w:val="22"/>
        </w:rPr>
        <w:t xml:space="preserve"> </w:t>
      </w:r>
      <w:r w:rsidRPr="0061112F">
        <w:rPr>
          <w:rFonts w:ascii="Arial" w:hAnsi="Arial" w:cs="Arial"/>
          <w:color w:val="000000" w:themeColor="text1"/>
          <w:sz w:val="22"/>
        </w:rPr>
        <w:t>homeostasis model assessment of insulin resistance</w:t>
      </w:r>
      <w:r>
        <w:rPr>
          <w:rFonts w:ascii="Arial" w:hAnsi="Arial" w:cs="Arial"/>
          <w:color w:val="000000" w:themeColor="text1"/>
          <w:sz w:val="22"/>
        </w:rPr>
        <w:t>; LDL</w:t>
      </w:r>
      <w:r>
        <w:rPr>
          <w:rFonts w:ascii="Arial" w:hAnsi="Arial" w:cs="Arial" w:hint="eastAsia"/>
          <w:color w:val="000000" w:themeColor="text1"/>
          <w:sz w:val="22"/>
        </w:rPr>
        <w:t>-</w:t>
      </w:r>
      <w:r>
        <w:rPr>
          <w:rFonts w:ascii="Arial" w:hAnsi="Arial" w:cs="Arial"/>
          <w:color w:val="000000" w:themeColor="text1"/>
          <w:sz w:val="22"/>
        </w:rPr>
        <w:t>C, low-density lipoprotein cholesterol; NT-proBNP,</w:t>
      </w:r>
      <w:r w:rsidRPr="008922C8">
        <w:rPr>
          <w:rFonts w:ascii="Arial" w:hAnsi="Arial" w:cs="Arial"/>
          <w:color w:val="000000" w:themeColor="text1"/>
          <w:sz w:val="22"/>
        </w:rPr>
        <w:t xml:space="preserve"> </w:t>
      </w:r>
      <w:r w:rsidRPr="00063F9B">
        <w:rPr>
          <w:rFonts w:ascii="Arial" w:hAnsi="Arial" w:cs="Arial"/>
          <w:color w:val="000000" w:themeColor="text1"/>
          <w:sz w:val="22"/>
        </w:rPr>
        <w:t>N-terminal pro-brain natriuretic pept</w:t>
      </w:r>
      <w:r>
        <w:rPr>
          <w:rFonts w:ascii="Arial" w:hAnsi="Arial" w:cs="Arial"/>
          <w:color w:val="000000" w:themeColor="text1"/>
          <w:sz w:val="22"/>
        </w:rPr>
        <w:t xml:space="preserve">ide; SBP, systolic blood pressure. </w:t>
      </w:r>
    </w:p>
    <w:sectPr w:rsidR="008142DD" w:rsidRPr="0080658E" w:rsidSect="003A703B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38A38" w14:textId="77777777" w:rsidR="00500F04" w:rsidRDefault="00500F04" w:rsidP="008142DD">
      <w:r>
        <w:separator/>
      </w:r>
    </w:p>
  </w:endnote>
  <w:endnote w:type="continuationSeparator" w:id="0">
    <w:p w14:paraId="54269551" w14:textId="77777777" w:rsidR="00500F04" w:rsidRDefault="00500F04" w:rsidP="0081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BF12A" w14:textId="77777777" w:rsidR="00500F04" w:rsidRDefault="00500F04" w:rsidP="008142DD">
      <w:r>
        <w:separator/>
      </w:r>
    </w:p>
  </w:footnote>
  <w:footnote w:type="continuationSeparator" w:id="0">
    <w:p w14:paraId="44B6876E" w14:textId="77777777" w:rsidR="00500F04" w:rsidRDefault="00500F04" w:rsidP="00814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12"/>
    <w:rsid w:val="000468A2"/>
    <w:rsid w:val="00074668"/>
    <w:rsid w:val="00081890"/>
    <w:rsid w:val="000B197F"/>
    <w:rsid w:val="000C4DA2"/>
    <w:rsid w:val="000E1D48"/>
    <w:rsid w:val="000E6EAF"/>
    <w:rsid w:val="000F4177"/>
    <w:rsid w:val="001034C0"/>
    <w:rsid w:val="00124EF9"/>
    <w:rsid w:val="00141D8B"/>
    <w:rsid w:val="001C19A9"/>
    <w:rsid w:val="00211530"/>
    <w:rsid w:val="00212907"/>
    <w:rsid w:val="0024577D"/>
    <w:rsid w:val="00287A90"/>
    <w:rsid w:val="002939F1"/>
    <w:rsid w:val="002A27B6"/>
    <w:rsid w:val="002D7511"/>
    <w:rsid w:val="00372F54"/>
    <w:rsid w:val="003751AA"/>
    <w:rsid w:val="003A703B"/>
    <w:rsid w:val="003E2591"/>
    <w:rsid w:val="003F7819"/>
    <w:rsid w:val="004017CF"/>
    <w:rsid w:val="00405178"/>
    <w:rsid w:val="0041690D"/>
    <w:rsid w:val="0042070F"/>
    <w:rsid w:val="004256AC"/>
    <w:rsid w:val="004B2155"/>
    <w:rsid w:val="004B264C"/>
    <w:rsid w:val="004D2FFA"/>
    <w:rsid w:val="00500F04"/>
    <w:rsid w:val="00523A23"/>
    <w:rsid w:val="005C4781"/>
    <w:rsid w:val="005E4E64"/>
    <w:rsid w:val="005F2976"/>
    <w:rsid w:val="00626A07"/>
    <w:rsid w:val="006345C3"/>
    <w:rsid w:val="006405E4"/>
    <w:rsid w:val="00645617"/>
    <w:rsid w:val="006931A6"/>
    <w:rsid w:val="00697864"/>
    <w:rsid w:val="006B4990"/>
    <w:rsid w:val="006B5D44"/>
    <w:rsid w:val="006C22C7"/>
    <w:rsid w:val="006C682F"/>
    <w:rsid w:val="006C7EDB"/>
    <w:rsid w:val="007141C4"/>
    <w:rsid w:val="00724276"/>
    <w:rsid w:val="00743E94"/>
    <w:rsid w:val="00744693"/>
    <w:rsid w:val="007D571E"/>
    <w:rsid w:val="008004F4"/>
    <w:rsid w:val="00803FCB"/>
    <w:rsid w:val="0080658E"/>
    <w:rsid w:val="008142DD"/>
    <w:rsid w:val="00861CF8"/>
    <w:rsid w:val="00875C2D"/>
    <w:rsid w:val="008853DF"/>
    <w:rsid w:val="008922C8"/>
    <w:rsid w:val="008A06E8"/>
    <w:rsid w:val="008A2967"/>
    <w:rsid w:val="009027C8"/>
    <w:rsid w:val="00937BDE"/>
    <w:rsid w:val="00956C38"/>
    <w:rsid w:val="009A1764"/>
    <w:rsid w:val="009A25EF"/>
    <w:rsid w:val="009D0E5D"/>
    <w:rsid w:val="00A046CD"/>
    <w:rsid w:val="00A326E5"/>
    <w:rsid w:val="00AF1CAF"/>
    <w:rsid w:val="00B21622"/>
    <w:rsid w:val="00B40549"/>
    <w:rsid w:val="00B654AB"/>
    <w:rsid w:val="00B67F38"/>
    <w:rsid w:val="00B969C3"/>
    <w:rsid w:val="00BC00E7"/>
    <w:rsid w:val="00C024FB"/>
    <w:rsid w:val="00C17880"/>
    <w:rsid w:val="00C36B4C"/>
    <w:rsid w:val="00C524B7"/>
    <w:rsid w:val="00C5269C"/>
    <w:rsid w:val="00C81D4B"/>
    <w:rsid w:val="00C86504"/>
    <w:rsid w:val="00C91695"/>
    <w:rsid w:val="00CE42F4"/>
    <w:rsid w:val="00CF0C02"/>
    <w:rsid w:val="00D4048E"/>
    <w:rsid w:val="00D55726"/>
    <w:rsid w:val="00D738D6"/>
    <w:rsid w:val="00D824EC"/>
    <w:rsid w:val="00DA7E1D"/>
    <w:rsid w:val="00DB2023"/>
    <w:rsid w:val="00E050E1"/>
    <w:rsid w:val="00E22CE9"/>
    <w:rsid w:val="00E863B7"/>
    <w:rsid w:val="00E9779F"/>
    <w:rsid w:val="00EC6EB0"/>
    <w:rsid w:val="00ED5E75"/>
    <w:rsid w:val="00F17F12"/>
    <w:rsid w:val="00F831F2"/>
    <w:rsid w:val="00FB4F66"/>
    <w:rsid w:val="00F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44C8CA"/>
  <w15:chartTrackingRefBased/>
  <w15:docId w15:val="{53D54BA3-E185-4422-8348-EC7739FB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2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2DD"/>
  </w:style>
  <w:style w:type="paragraph" w:styleId="a5">
    <w:name w:val="footer"/>
    <w:basedOn w:val="a"/>
    <w:link w:val="a6"/>
    <w:uiPriority w:val="99"/>
    <w:unhideWhenUsed/>
    <w:rsid w:val="008142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2DD"/>
  </w:style>
  <w:style w:type="table" w:styleId="a7">
    <w:name w:val="Table Grid"/>
    <w:basedOn w:val="a1"/>
    <w:uiPriority w:val="39"/>
    <w:rsid w:val="0081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B202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B202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B2023"/>
  </w:style>
  <w:style w:type="paragraph" w:styleId="ab">
    <w:name w:val="annotation subject"/>
    <w:basedOn w:val="a9"/>
    <w:next w:val="a9"/>
    <w:link w:val="ac"/>
    <w:uiPriority w:val="99"/>
    <w:semiHidden/>
    <w:unhideWhenUsed/>
    <w:rsid w:val="00DB202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B202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B20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02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2D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FA63F-36B2-4EEC-A171-6EAEC0E1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</dc:creator>
  <cp:keywords/>
  <dc:description/>
  <cp:lastModifiedBy>Tanaka</cp:lastModifiedBy>
  <cp:revision>2</cp:revision>
  <dcterms:created xsi:type="dcterms:W3CDTF">2022-07-30T08:08:00Z</dcterms:created>
  <dcterms:modified xsi:type="dcterms:W3CDTF">2022-07-30T08:08:00Z</dcterms:modified>
</cp:coreProperties>
</file>