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674" w:rsidRPr="004F54FF" w:rsidRDefault="00930975">
      <w:pPr>
        <w:spacing w:line="480" w:lineRule="auto"/>
        <w:rPr>
          <w:rFonts w:cs="Arial"/>
          <w:b/>
          <w:bCs/>
          <w:szCs w:val="21"/>
        </w:rPr>
      </w:pPr>
      <w:r w:rsidRPr="004F54FF">
        <w:rPr>
          <w:rFonts w:cs="Arial"/>
          <w:b/>
          <w:bCs/>
          <w:szCs w:val="21"/>
        </w:rPr>
        <w:t>S</w:t>
      </w:r>
      <w:r w:rsidRPr="004F54FF">
        <w:rPr>
          <w:rFonts w:cs="Arial" w:hint="eastAsia"/>
          <w:b/>
          <w:bCs/>
          <w:szCs w:val="21"/>
        </w:rPr>
        <w:t>upplemental</w:t>
      </w:r>
      <w:r w:rsidRPr="004F54FF">
        <w:rPr>
          <w:rFonts w:cs="Arial"/>
          <w:b/>
          <w:bCs/>
          <w:szCs w:val="21"/>
        </w:rPr>
        <w:t xml:space="preserve"> material </w:t>
      </w:r>
    </w:p>
    <w:p w:rsidR="00852674" w:rsidRPr="004F54FF" w:rsidRDefault="00930975">
      <w:pPr>
        <w:spacing w:line="480" w:lineRule="auto"/>
        <w:rPr>
          <w:rFonts w:cs="Arial"/>
          <w:b/>
          <w:bCs/>
          <w:szCs w:val="21"/>
        </w:rPr>
      </w:pPr>
      <w:r w:rsidRPr="004F54FF">
        <w:rPr>
          <w:rFonts w:cs="Arial"/>
          <w:b/>
          <w:bCs/>
          <w:szCs w:val="21"/>
        </w:rPr>
        <w:t xml:space="preserve">CCTA image analysis </w:t>
      </w:r>
    </w:p>
    <w:p w:rsidR="00852674" w:rsidRPr="004F54FF" w:rsidRDefault="00930975">
      <w:pPr>
        <w:spacing w:line="480" w:lineRule="auto"/>
        <w:rPr>
          <w:rFonts w:cs="Arial"/>
          <w:szCs w:val="21"/>
        </w:rPr>
      </w:pPr>
      <w:r w:rsidRPr="004F54FF">
        <w:rPr>
          <w:rFonts w:cs="Arial"/>
          <w:szCs w:val="21"/>
        </w:rPr>
        <w:t xml:space="preserve">High-risk plaque features, including low-attenuation plaque, positive remodeling, spotty calcification and napkin-ring sign were measured. Detailed definitions of the above parameters were given as the </w:t>
      </w:r>
      <w:bookmarkStart w:id="0" w:name="_GoBack"/>
      <w:bookmarkEnd w:id="0"/>
      <w:r w:rsidRPr="004F54FF">
        <w:rPr>
          <w:rFonts w:cs="Arial"/>
          <w:szCs w:val="21"/>
        </w:rPr>
        <w:t xml:space="preserve">following: 1) Low-attenuation plaque was defined as any voxel &lt;30 HU within a coronary plaque, using a dedicated plaque analysis software (Coronary Plaque Analysis, version 5.0.2, Siemens </w:t>
      </w:r>
      <w:proofErr w:type="spellStart"/>
      <w:r w:rsidRPr="004F54FF">
        <w:rPr>
          <w:rFonts w:cs="Arial"/>
          <w:szCs w:val="21"/>
        </w:rPr>
        <w:t>Healthineers</w:t>
      </w:r>
      <w:proofErr w:type="spellEnd"/>
      <w:r w:rsidRPr="004F54FF">
        <w:rPr>
          <w:rFonts w:cs="Arial"/>
          <w:szCs w:val="21"/>
        </w:rPr>
        <w:t>); 2) Remodeling index was defined as a maximal lesion vessel diameter divided by proximal reference vessel diameter, with PR defined as a remodeling index ≥ 1.1; 3) Spotty calcification was defined by an intra-lesion calcific plaque &lt; 3 mm in length that comprised &lt; 90 degrees of the lesion circumference; 4) Napkin-ring sign was characterized by a plaque core with low attenuation areas on CT surrounded by a rim-like area of higher attenuation.</w:t>
      </w:r>
    </w:p>
    <w:p w:rsidR="00852674" w:rsidRPr="004F54FF" w:rsidRDefault="00930975">
      <w:pPr>
        <w:spacing w:line="480" w:lineRule="auto"/>
        <w:rPr>
          <w:rFonts w:cs="Arial"/>
          <w:szCs w:val="21"/>
        </w:rPr>
      </w:pPr>
      <w:r w:rsidRPr="004F54FF">
        <w:rPr>
          <w:rFonts w:cs="Arial"/>
          <w:szCs w:val="21"/>
        </w:rPr>
        <w:t xml:space="preserve">    Subtype plaque volumes were calculated based on the Hounsfield units (HU) values: necrotic volume (&lt; 30 HU), noncalcified plaque (30–130HU), and calcified plaque (&gt; 130 HU).</w:t>
      </w:r>
    </w:p>
    <w:p w:rsidR="00852674" w:rsidRPr="004F54FF" w:rsidRDefault="00930975">
      <w:pPr>
        <w:widowControl/>
        <w:jc w:val="left"/>
        <w:rPr>
          <w:rFonts w:cs="Arial"/>
          <w:szCs w:val="21"/>
        </w:rPr>
      </w:pPr>
      <w:r w:rsidRPr="004F54FF">
        <w:rPr>
          <w:rFonts w:cs="Arial"/>
          <w:szCs w:val="21"/>
        </w:rPr>
        <w:br w:type="page"/>
      </w:r>
    </w:p>
    <w:p w:rsidR="00852674" w:rsidRPr="004F54FF" w:rsidRDefault="00930975">
      <w:pPr>
        <w:spacing w:line="480" w:lineRule="auto"/>
        <w:rPr>
          <w:rFonts w:cs="Arial"/>
          <w:b/>
          <w:bCs/>
          <w:color w:val="000000"/>
        </w:rPr>
      </w:pPr>
      <w:r w:rsidRPr="004F54FF">
        <w:rPr>
          <w:rFonts w:cs="Arial"/>
          <w:b/>
          <w:bCs/>
          <w:color w:val="000000"/>
        </w:rPr>
        <w:t xml:space="preserve">Statistical analysis </w:t>
      </w:r>
    </w:p>
    <w:p w:rsidR="00852674" w:rsidRPr="004F54FF" w:rsidRDefault="00930975">
      <w:pPr>
        <w:spacing w:line="480" w:lineRule="auto"/>
        <w:rPr>
          <w:rFonts w:cs="Arial"/>
          <w:color w:val="000000"/>
        </w:rPr>
      </w:pPr>
      <w:r w:rsidRPr="004F54FF">
        <w:rPr>
          <w:rFonts w:cs="Arial"/>
          <w:color w:val="000000"/>
        </w:rPr>
        <w:t xml:space="preserve">To balance the baseline characteristics of the evolocumab group versus control group, we utilized 1:1 nearest-neighbor propensity score matching (PSM) with a multivariable logistic regression model. The following characteristics: age, sex, body mass index, hypertension, </w:t>
      </w:r>
      <w:r w:rsidRPr="004F54FF">
        <w:rPr>
          <w:rFonts w:cs="Arial"/>
          <w:szCs w:val="21"/>
        </w:rPr>
        <w:t>hyperlipidemia</w:t>
      </w:r>
      <w:r w:rsidRPr="004F54FF">
        <w:rPr>
          <w:rFonts w:cs="Arial"/>
          <w:color w:val="000000"/>
        </w:rPr>
        <w:t xml:space="preserve">, current or past tobacco use, clinical presentation, baseline medication in use (including statin, </w:t>
      </w:r>
      <w:r w:rsidRPr="004F54FF">
        <w:rPr>
          <w:rFonts w:cs="Arial"/>
          <w:szCs w:val="21"/>
        </w:rPr>
        <w:t>insulin, ACEI/ARB, β-Blocker, and nitrates</w:t>
      </w:r>
      <w:r w:rsidRPr="004F54FF">
        <w:rPr>
          <w:rFonts w:cs="Arial"/>
          <w:color w:val="000000"/>
        </w:rPr>
        <w:t xml:space="preserve">), LDL-C, TC, HDL-C, TG, Lp(a), CRP, HbA1c, total plaque </w:t>
      </w:r>
      <w:r w:rsidRPr="004F54FF">
        <w:rPr>
          <w:rFonts w:cs="Arial"/>
          <w:szCs w:val="21"/>
        </w:rPr>
        <w:t>volume</w:t>
      </w:r>
      <w:r w:rsidRPr="004F54FF">
        <w:rPr>
          <w:rFonts w:cs="Arial"/>
          <w:color w:val="000000"/>
        </w:rPr>
        <w:t xml:space="preserve">, PCAT density and </w:t>
      </w:r>
      <w:r w:rsidRPr="004F54FF">
        <w:rPr>
          <w:rFonts w:cs="Arial"/>
          <w:szCs w:val="21"/>
        </w:rPr>
        <w:t>high-risk plaque</w:t>
      </w:r>
      <w:r w:rsidRPr="004F54FF">
        <w:rPr>
          <w:rFonts w:cs="Arial"/>
          <w:color w:val="000000"/>
        </w:rPr>
        <w:t xml:space="preserve"> features were included into the PSM analysis. The Caliper, which represents the maximum standardized difference between matched subjects, was set to 0.02.</w:t>
      </w:r>
    </w:p>
    <w:p w:rsidR="00852674" w:rsidRPr="004F54FF" w:rsidRDefault="00816953">
      <w:pPr>
        <w:spacing w:line="480" w:lineRule="auto"/>
        <w:rPr>
          <w:rFonts w:cs="Arial"/>
          <w:szCs w:val="21"/>
        </w:rPr>
      </w:pPr>
      <w:r w:rsidRPr="004F54FF">
        <w:rPr>
          <w:rFonts w:cs="Arial"/>
          <w:szCs w:val="21"/>
        </w:rPr>
        <w:t xml:space="preserve">The sample size was estimated using PASS (Power Analysis and Sample Size) (PASS version 11.0, UT, USA). Because there was no published literature on the change of PCATRCA at 48-week follow-up after evolocumab </w:t>
      </w:r>
      <w:r w:rsidRPr="004F54FF">
        <w:rPr>
          <w:rFonts w:cs="Arial" w:hint="eastAsia"/>
          <w:szCs w:val="21"/>
        </w:rPr>
        <w:t>trea</w:t>
      </w:r>
      <w:r w:rsidRPr="004F54FF">
        <w:rPr>
          <w:rFonts w:cs="Arial"/>
          <w:szCs w:val="21"/>
        </w:rPr>
        <w:t>tment. We determined the sample size based on our preliminary results of our own data. Before the enrollment of the current study, we have retrospectively reviewed 92 patients (not the current study) who underwent baseline and follow-up CCTA. Amon</w:t>
      </w:r>
      <w:r w:rsidRPr="004F54FF">
        <w:rPr>
          <w:rFonts w:cs="Arial" w:hint="eastAsia"/>
          <w:szCs w:val="21"/>
        </w:rPr>
        <w:t>g</w:t>
      </w:r>
      <w:r w:rsidRPr="004F54FF">
        <w:rPr>
          <w:rFonts w:cs="Arial"/>
          <w:szCs w:val="21"/>
        </w:rPr>
        <w:t xml:space="preserve"> those patients, 31 patients were </w:t>
      </w:r>
      <w:r w:rsidRPr="004F54FF">
        <w:rPr>
          <w:rFonts w:cs="Arial" w:hint="eastAsia"/>
          <w:szCs w:val="21"/>
        </w:rPr>
        <w:t>taking</w:t>
      </w:r>
      <w:r w:rsidRPr="004F54FF">
        <w:rPr>
          <w:rFonts w:cs="Arial"/>
          <w:szCs w:val="21"/>
        </w:rPr>
        <w:t xml:space="preserve"> evolocumab and 61 patients only taking stain treatment. The interval between baseline and follow-up CCTA were 48 weeks. According to our preliminary results, the change of PCATRCA were -6.4 ± 7.4 </w:t>
      </w:r>
      <w:r w:rsidR="009D1353" w:rsidRPr="004F54FF">
        <w:rPr>
          <w:rFonts w:cs="Arial"/>
          <w:szCs w:val="21"/>
        </w:rPr>
        <w:t xml:space="preserve">HU </w:t>
      </w:r>
      <w:r w:rsidRPr="004F54FF">
        <w:rPr>
          <w:rFonts w:cs="Arial"/>
          <w:szCs w:val="21"/>
        </w:rPr>
        <w:t>and -2.3 ± 6.1</w:t>
      </w:r>
      <w:r w:rsidR="009D1353" w:rsidRPr="004F54FF">
        <w:rPr>
          <w:rFonts w:cs="Arial"/>
          <w:szCs w:val="21"/>
        </w:rPr>
        <w:t xml:space="preserve"> HU</w:t>
      </w:r>
      <w:r w:rsidRPr="004F54FF">
        <w:rPr>
          <w:rFonts w:cs="Arial"/>
          <w:szCs w:val="21"/>
        </w:rPr>
        <w:t xml:space="preserve"> in patients taking evolocumab and in patients only taking stain treatment respectively. Thus, a necessary and sufficient sample size of 58 patients in each group can achieve 90% power to detect a difference between the groups. Considering a 10% drop-out rate, we needed sample sizes of 64 in each group, respectively. </w:t>
      </w:r>
      <w:r w:rsidR="00A22DC1" w:rsidRPr="004F54FF">
        <w:rPr>
          <w:rFonts w:cs="Arial"/>
          <w:szCs w:val="21"/>
        </w:rPr>
        <w:t>Then</w:t>
      </w:r>
      <w:r w:rsidR="00A22DC1" w:rsidRPr="004F54FF">
        <w:rPr>
          <w:rFonts w:cs="Arial" w:hint="eastAsia"/>
          <w:szCs w:val="21"/>
        </w:rPr>
        <w:t>,</w:t>
      </w:r>
      <w:r w:rsidR="00A22DC1" w:rsidRPr="004F54FF">
        <w:rPr>
          <w:rFonts w:cs="Arial"/>
          <w:szCs w:val="21"/>
        </w:rPr>
        <w:t xml:space="preserve"> a total of 170 patients were prospectively enrolled and followed up for 48-weeks. This sample size achieved &gt;90% power to detect a difference between the groups.</w:t>
      </w:r>
    </w:p>
    <w:p w:rsidR="00852674" w:rsidRPr="004F54FF" w:rsidRDefault="00852674">
      <w:pPr>
        <w:widowControl/>
        <w:jc w:val="center"/>
        <w:rPr>
          <w:rFonts w:cs="Arial"/>
          <w:b/>
          <w:bCs/>
          <w:szCs w:val="21"/>
        </w:rPr>
      </w:pPr>
    </w:p>
    <w:p w:rsidR="00852674" w:rsidRPr="004F54FF" w:rsidRDefault="00930975">
      <w:pPr>
        <w:widowControl/>
        <w:jc w:val="left"/>
        <w:rPr>
          <w:rFonts w:cs="Arial"/>
          <w:szCs w:val="21"/>
        </w:rPr>
      </w:pPr>
      <w:r w:rsidRPr="004F54FF">
        <w:rPr>
          <w:rFonts w:cs="Arial"/>
          <w:szCs w:val="21"/>
        </w:rPr>
        <w:br w:type="page"/>
      </w:r>
    </w:p>
    <w:p w:rsidR="00852674" w:rsidRPr="004F54FF" w:rsidRDefault="00930975">
      <w:pPr>
        <w:jc w:val="center"/>
        <w:rPr>
          <w:rFonts w:cs="Arial"/>
          <w:b/>
          <w:bCs/>
          <w:szCs w:val="21"/>
        </w:rPr>
      </w:pPr>
      <w:r w:rsidRPr="004F54FF">
        <w:rPr>
          <w:rFonts w:cs="Arial"/>
          <w:b/>
          <w:bCs/>
          <w:szCs w:val="21"/>
        </w:rPr>
        <w:t xml:space="preserve">Online Table 1. Clinical characteristics </w:t>
      </w:r>
    </w:p>
    <w:tbl>
      <w:tblPr>
        <w:tblStyle w:val="61"/>
        <w:tblW w:w="7938" w:type="dxa"/>
        <w:jc w:val="center"/>
        <w:tblLook w:val="04A0" w:firstRow="1" w:lastRow="0" w:firstColumn="1" w:lastColumn="0" w:noHBand="0" w:noVBand="1"/>
      </w:tblPr>
      <w:tblGrid>
        <w:gridCol w:w="2552"/>
        <w:gridCol w:w="2126"/>
        <w:gridCol w:w="2126"/>
        <w:gridCol w:w="1134"/>
      </w:tblGrid>
      <w:tr w:rsidR="00852674" w:rsidRPr="004F54FF" w:rsidTr="00852674">
        <w:trPr>
          <w:cnfStyle w:val="100000000000" w:firstRow="1" w:lastRow="0" w:firstColumn="0" w:lastColumn="0" w:oddVBand="0" w:evenVBand="0" w:oddHBand="0" w:evenHBand="0" w:firstRowFirstColumn="0" w:firstRowLastColumn="0" w:lastRowFirstColumn="0" w:lastRowLastColumn="0"/>
          <w:trHeight w:val="373"/>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spacing w:line="480" w:lineRule="auto"/>
              <w:rPr>
                <w:rFonts w:cs="Arial"/>
                <w:color w:val="auto"/>
                <w:kern w:val="0"/>
                <w:szCs w:val="21"/>
              </w:rPr>
            </w:pPr>
            <w:r w:rsidRPr="004F54FF">
              <w:rPr>
                <w:rFonts w:cs="Arial"/>
                <w:b w:val="0"/>
                <w:bCs w:val="0"/>
                <w:color w:val="auto"/>
                <w:kern w:val="0"/>
                <w:szCs w:val="21"/>
              </w:rPr>
              <w:t>Characteristic</w:t>
            </w:r>
          </w:p>
        </w:tc>
        <w:tc>
          <w:tcPr>
            <w:tcW w:w="2126" w:type="dxa"/>
          </w:tcPr>
          <w:p w:rsidR="00852674" w:rsidRPr="004F54FF" w:rsidRDefault="00930975">
            <w:pPr>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kern w:val="0"/>
                <w:szCs w:val="21"/>
              </w:rPr>
            </w:pPr>
            <w:r w:rsidRPr="004F54FF">
              <w:rPr>
                <w:rFonts w:cs="Arial"/>
                <w:b w:val="0"/>
                <w:bCs w:val="0"/>
                <w:color w:val="auto"/>
                <w:kern w:val="0"/>
                <w:szCs w:val="21"/>
              </w:rPr>
              <w:t>Evolocumab</w:t>
            </w:r>
          </w:p>
          <w:p w:rsidR="00852674" w:rsidRPr="004F54FF" w:rsidRDefault="00930975">
            <w:pPr>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kern w:val="0"/>
                <w:szCs w:val="21"/>
              </w:rPr>
            </w:pPr>
            <w:r w:rsidRPr="004F54FF">
              <w:rPr>
                <w:rFonts w:cs="Arial"/>
                <w:b w:val="0"/>
                <w:bCs w:val="0"/>
                <w:color w:val="auto"/>
                <w:kern w:val="0"/>
                <w:szCs w:val="21"/>
              </w:rPr>
              <w:t>n= 85</w:t>
            </w:r>
          </w:p>
        </w:tc>
        <w:tc>
          <w:tcPr>
            <w:tcW w:w="2126" w:type="dxa"/>
          </w:tcPr>
          <w:p w:rsidR="00852674" w:rsidRPr="004F54FF" w:rsidRDefault="00930975">
            <w:pPr>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kern w:val="0"/>
                <w:szCs w:val="21"/>
              </w:rPr>
            </w:pPr>
            <w:r w:rsidRPr="004F54FF">
              <w:rPr>
                <w:rFonts w:cs="Arial"/>
                <w:b w:val="0"/>
                <w:bCs w:val="0"/>
                <w:color w:val="auto"/>
                <w:kern w:val="0"/>
                <w:szCs w:val="21"/>
              </w:rPr>
              <w:t>Control</w:t>
            </w:r>
          </w:p>
          <w:p w:rsidR="00852674" w:rsidRPr="004F54FF" w:rsidRDefault="00930975">
            <w:pPr>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kern w:val="0"/>
                <w:szCs w:val="21"/>
              </w:rPr>
            </w:pPr>
            <w:r w:rsidRPr="004F54FF">
              <w:rPr>
                <w:rFonts w:cs="Arial"/>
                <w:b w:val="0"/>
                <w:bCs w:val="0"/>
                <w:color w:val="auto"/>
                <w:kern w:val="0"/>
                <w:szCs w:val="21"/>
              </w:rPr>
              <w:t>n= 372</w:t>
            </w:r>
          </w:p>
        </w:tc>
        <w:tc>
          <w:tcPr>
            <w:tcW w:w="1134" w:type="dxa"/>
          </w:tcPr>
          <w:p w:rsidR="00852674" w:rsidRPr="004F54FF" w:rsidRDefault="00930975">
            <w:pPr>
              <w:spacing w:line="360" w:lineRule="auto"/>
              <w:jc w:val="center"/>
              <w:cnfStyle w:val="100000000000" w:firstRow="1"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b w:val="0"/>
                <w:bCs w:val="0"/>
                <w:i/>
                <w:iCs/>
                <w:color w:val="auto"/>
                <w:kern w:val="0"/>
                <w:szCs w:val="21"/>
              </w:rPr>
              <w:t>P</w:t>
            </w:r>
            <w:r w:rsidRPr="004F54FF">
              <w:rPr>
                <w:rFonts w:cs="Arial"/>
                <w:b w:val="0"/>
                <w:bCs w:val="0"/>
                <w:color w:val="auto"/>
                <w:kern w:val="0"/>
                <w:szCs w:val="21"/>
              </w:rPr>
              <w:t xml:space="preserve"> Value</w:t>
            </w:r>
          </w:p>
        </w:tc>
      </w:tr>
      <w:tr w:rsidR="00852674" w:rsidRPr="004F54FF" w:rsidTr="00852674">
        <w:trPr>
          <w:trHeight w:val="6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jc w:val="left"/>
              <w:rPr>
                <w:rFonts w:cs="Arial"/>
                <w:color w:val="auto"/>
                <w:kern w:val="0"/>
                <w:szCs w:val="21"/>
              </w:rPr>
            </w:pPr>
            <w:r w:rsidRPr="004F54FF">
              <w:rPr>
                <w:rFonts w:cs="Arial"/>
                <w:b w:val="0"/>
                <w:bCs w:val="0"/>
                <w:color w:val="auto"/>
                <w:kern w:val="0"/>
                <w:szCs w:val="21"/>
              </w:rPr>
              <w:t>Age (y)*</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64.2 ± 8.3</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56.6 ± 12.4</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&lt;0.001</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jc w:val="left"/>
              <w:rPr>
                <w:rFonts w:cs="Arial"/>
                <w:color w:val="auto"/>
                <w:kern w:val="0"/>
                <w:szCs w:val="21"/>
              </w:rPr>
            </w:pPr>
            <w:r w:rsidRPr="004F54FF">
              <w:rPr>
                <w:rFonts w:cs="Arial"/>
                <w:b w:val="0"/>
                <w:bCs w:val="0"/>
                <w:color w:val="auto"/>
                <w:kern w:val="0"/>
                <w:szCs w:val="21"/>
              </w:rPr>
              <w:t>Men, n(%)</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67(78.8)</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232(62.3)</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0.006</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jc w:val="left"/>
              <w:rPr>
                <w:rFonts w:cs="Arial"/>
                <w:color w:val="auto"/>
                <w:kern w:val="0"/>
                <w:szCs w:val="21"/>
              </w:rPr>
            </w:pPr>
            <w:r w:rsidRPr="004F54FF">
              <w:rPr>
                <w:rFonts w:cs="Arial"/>
                <w:b w:val="0"/>
                <w:bCs w:val="0"/>
                <w:color w:val="auto"/>
                <w:kern w:val="0"/>
                <w:szCs w:val="21"/>
              </w:rPr>
              <w:t>BMI (kg/m</w:t>
            </w:r>
            <w:r w:rsidRPr="004F54FF">
              <w:rPr>
                <w:rFonts w:cs="Arial"/>
                <w:b w:val="0"/>
                <w:bCs w:val="0"/>
                <w:color w:val="auto"/>
                <w:kern w:val="0"/>
                <w:szCs w:val="21"/>
                <w:vertAlign w:val="superscript"/>
              </w:rPr>
              <w:t>2</w:t>
            </w:r>
            <w:r w:rsidRPr="004F54FF">
              <w:rPr>
                <w:rFonts w:cs="Arial"/>
                <w:b w:val="0"/>
                <w:bCs w:val="0"/>
                <w:color w:val="auto"/>
                <w:kern w:val="0"/>
                <w:szCs w:val="21"/>
              </w:rPr>
              <w:t>) *</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24.2 ± 3.3</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23.3 ± 3.7</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0.041</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jc w:val="left"/>
              <w:rPr>
                <w:rFonts w:cs="Arial"/>
                <w:color w:val="auto"/>
                <w:kern w:val="0"/>
                <w:szCs w:val="21"/>
              </w:rPr>
            </w:pPr>
            <w:r w:rsidRPr="004F54FF">
              <w:rPr>
                <w:rFonts w:cs="Arial"/>
                <w:b w:val="0"/>
                <w:bCs w:val="0"/>
                <w:color w:val="auto"/>
                <w:kern w:val="0"/>
                <w:szCs w:val="21"/>
              </w:rPr>
              <w:t>Risk factors, n(%)</w:t>
            </w:r>
          </w:p>
        </w:tc>
        <w:tc>
          <w:tcPr>
            <w:tcW w:w="2126"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p>
        </w:tc>
        <w:tc>
          <w:tcPr>
            <w:tcW w:w="2126"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p>
        </w:tc>
        <w:tc>
          <w:tcPr>
            <w:tcW w:w="1134"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ind w:firstLineChars="50" w:firstLine="105"/>
              <w:jc w:val="left"/>
              <w:rPr>
                <w:rFonts w:cs="Arial"/>
                <w:color w:val="auto"/>
                <w:kern w:val="0"/>
                <w:szCs w:val="21"/>
              </w:rPr>
            </w:pPr>
            <w:r w:rsidRPr="004F54FF">
              <w:rPr>
                <w:rFonts w:cs="Arial"/>
                <w:b w:val="0"/>
                <w:bCs w:val="0"/>
                <w:color w:val="auto"/>
                <w:kern w:val="0"/>
                <w:szCs w:val="21"/>
              </w:rPr>
              <w:t>Hypertension</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62(72.9)</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189(50.8)</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&lt;0.001</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ind w:firstLineChars="50" w:firstLine="105"/>
              <w:jc w:val="left"/>
              <w:rPr>
                <w:rFonts w:cs="Arial"/>
                <w:color w:val="auto"/>
                <w:kern w:val="0"/>
                <w:szCs w:val="21"/>
              </w:rPr>
            </w:pPr>
            <w:r w:rsidRPr="004F54FF">
              <w:rPr>
                <w:rFonts w:cs="Arial"/>
                <w:b w:val="0"/>
                <w:bCs w:val="0"/>
                <w:color w:val="auto"/>
                <w:kern w:val="0"/>
                <w:szCs w:val="21"/>
              </w:rPr>
              <w:t>Hyperlipidemia</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29(34.1)</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92(24.7)</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0.102</w:t>
            </w:r>
          </w:p>
        </w:tc>
      </w:tr>
      <w:tr w:rsidR="00852674" w:rsidRPr="004F54FF" w:rsidTr="00852674">
        <w:trPr>
          <w:trHeight w:val="373"/>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ind w:leftChars="50" w:left="105"/>
              <w:jc w:val="left"/>
              <w:rPr>
                <w:rFonts w:cs="Arial"/>
                <w:color w:val="auto"/>
                <w:kern w:val="0"/>
                <w:szCs w:val="21"/>
              </w:rPr>
            </w:pPr>
            <w:r w:rsidRPr="004F54FF">
              <w:rPr>
                <w:rFonts w:cs="Arial"/>
                <w:b w:val="0"/>
                <w:bCs w:val="0"/>
                <w:color w:val="auto"/>
                <w:kern w:val="0"/>
                <w:szCs w:val="21"/>
              </w:rPr>
              <w:t>Current or past tobacco use</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15(17.6)</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71(19.0)</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0.878</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jc w:val="left"/>
              <w:rPr>
                <w:rFonts w:cs="Arial"/>
                <w:color w:val="auto"/>
                <w:kern w:val="0"/>
                <w:szCs w:val="21"/>
              </w:rPr>
            </w:pPr>
            <w:r w:rsidRPr="004F54FF">
              <w:rPr>
                <w:rFonts w:cs="Arial"/>
                <w:b w:val="0"/>
                <w:bCs w:val="0"/>
                <w:color w:val="auto"/>
                <w:kern w:val="0"/>
                <w:szCs w:val="21"/>
              </w:rPr>
              <w:t>Clinical presentation, n(%)</w:t>
            </w:r>
          </w:p>
        </w:tc>
        <w:tc>
          <w:tcPr>
            <w:tcW w:w="2126"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p>
        </w:tc>
        <w:tc>
          <w:tcPr>
            <w:tcW w:w="2126"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0.432</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jc w:val="left"/>
              <w:rPr>
                <w:rFonts w:cs="Arial"/>
                <w:color w:val="auto"/>
                <w:kern w:val="0"/>
                <w:szCs w:val="21"/>
              </w:rPr>
            </w:pPr>
            <w:r w:rsidRPr="004F54FF">
              <w:rPr>
                <w:rFonts w:cs="Arial"/>
                <w:b w:val="0"/>
                <w:bCs w:val="0"/>
                <w:color w:val="auto"/>
                <w:kern w:val="0"/>
                <w:szCs w:val="21"/>
              </w:rPr>
              <w:t xml:space="preserve"> Typical angina </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22(25.9)</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79(21.2)</w:t>
            </w:r>
          </w:p>
        </w:tc>
        <w:tc>
          <w:tcPr>
            <w:tcW w:w="1134"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jc w:val="left"/>
              <w:rPr>
                <w:rFonts w:cs="Arial"/>
                <w:color w:val="auto"/>
                <w:kern w:val="0"/>
                <w:szCs w:val="21"/>
              </w:rPr>
            </w:pPr>
            <w:r w:rsidRPr="004F54FF">
              <w:rPr>
                <w:rFonts w:cs="Arial"/>
                <w:b w:val="0"/>
                <w:bCs w:val="0"/>
                <w:color w:val="auto"/>
                <w:kern w:val="0"/>
                <w:szCs w:val="21"/>
              </w:rPr>
              <w:t xml:space="preserve"> Atypical angina </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28(32.9)</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112(30.1)</w:t>
            </w:r>
          </w:p>
        </w:tc>
        <w:tc>
          <w:tcPr>
            <w:tcW w:w="1134"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jc w:val="left"/>
              <w:rPr>
                <w:rFonts w:cs="Arial"/>
                <w:color w:val="auto"/>
                <w:kern w:val="0"/>
                <w:szCs w:val="21"/>
              </w:rPr>
            </w:pPr>
            <w:r w:rsidRPr="004F54FF">
              <w:rPr>
                <w:rFonts w:cs="Arial"/>
                <w:b w:val="0"/>
                <w:bCs w:val="0"/>
                <w:color w:val="auto"/>
                <w:kern w:val="0"/>
                <w:szCs w:val="21"/>
              </w:rPr>
              <w:t xml:space="preserve"> Non-anginal pain</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35(41.1)</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181(48.6)</w:t>
            </w:r>
          </w:p>
        </w:tc>
        <w:tc>
          <w:tcPr>
            <w:tcW w:w="1134"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jc w:val="left"/>
              <w:rPr>
                <w:rFonts w:cs="Arial"/>
                <w:b w:val="0"/>
                <w:bCs w:val="0"/>
                <w:color w:val="auto"/>
                <w:kern w:val="0"/>
                <w:szCs w:val="21"/>
              </w:rPr>
            </w:pPr>
            <w:r w:rsidRPr="004F54FF">
              <w:rPr>
                <w:rFonts w:cs="Arial"/>
                <w:b w:val="0"/>
                <w:bCs w:val="0"/>
                <w:color w:val="auto"/>
                <w:kern w:val="0"/>
                <w:szCs w:val="21"/>
              </w:rPr>
              <w:t>Baseline statin use</w:t>
            </w:r>
            <w:r w:rsidRPr="004F54FF">
              <w:rPr>
                <w:rFonts w:cs="Arial"/>
                <w:b w:val="0"/>
                <w:bCs w:val="0"/>
                <w:color w:val="auto"/>
                <w:kern w:val="0"/>
                <w:szCs w:val="21"/>
                <w:vertAlign w:val="superscript"/>
              </w:rPr>
              <w:t>#</w:t>
            </w:r>
            <w:r w:rsidRPr="004F54FF">
              <w:rPr>
                <w:rFonts w:cs="Arial"/>
                <w:b w:val="0"/>
                <w:bCs w:val="0"/>
                <w:color w:val="auto"/>
                <w:kern w:val="0"/>
                <w:szCs w:val="21"/>
              </w:rPr>
              <w:t>, n(%)</w:t>
            </w:r>
          </w:p>
        </w:tc>
        <w:tc>
          <w:tcPr>
            <w:tcW w:w="2126"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p>
        </w:tc>
        <w:tc>
          <w:tcPr>
            <w:tcW w:w="2126"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0.961</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jc w:val="left"/>
              <w:rPr>
                <w:rFonts w:cs="Arial"/>
                <w:b w:val="0"/>
                <w:bCs w:val="0"/>
                <w:color w:val="auto"/>
                <w:kern w:val="0"/>
                <w:szCs w:val="21"/>
              </w:rPr>
            </w:pPr>
            <w:r w:rsidRPr="004F54FF">
              <w:rPr>
                <w:rFonts w:cs="Arial"/>
                <w:b w:val="0"/>
                <w:bCs w:val="0"/>
                <w:color w:val="auto"/>
                <w:kern w:val="0"/>
                <w:szCs w:val="21"/>
              </w:rPr>
              <w:t xml:space="preserve"> High intensity </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10(11.8)</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45(12.0)</w:t>
            </w:r>
          </w:p>
        </w:tc>
        <w:tc>
          <w:tcPr>
            <w:tcW w:w="1134"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jc w:val="left"/>
              <w:rPr>
                <w:rFonts w:cs="Arial"/>
                <w:b w:val="0"/>
                <w:bCs w:val="0"/>
                <w:color w:val="auto"/>
                <w:kern w:val="0"/>
                <w:szCs w:val="21"/>
              </w:rPr>
            </w:pPr>
            <w:r w:rsidRPr="004F54FF">
              <w:rPr>
                <w:rFonts w:cs="Arial"/>
                <w:b w:val="0"/>
                <w:bCs w:val="0"/>
                <w:color w:val="auto"/>
                <w:kern w:val="0"/>
                <w:szCs w:val="21"/>
              </w:rPr>
              <w:t xml:space="preserve"> Moderate intensity </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56(65.9)</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249(66.9)</w:t>
            </w:r>
          </w:p>
        </w:tc>
        <w:tc>
          <w:tcPr>
            <w:tcW w:w="1134"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jc w:val="left"/>
              <w:rPr>
                <w:rFonts w:cs="Arial"/>
                <w:b w:val="0"/>
                <w:bCs w:val="0"/>
                <w:color w:val="auto"/>
                <w:kern w:val="0"/>
                <w:szCs w:val="21"/>
              </w:rPr>
            </w:pPr>
            <w:r w:rsidRPr="004F54FF">
              <w:rPr>
                <w:rFonts w:cs="Arial"/>
                <w:b w:val="0"/>
                <w:bCs w:val="0"/>
                <w:color w:val="auto"/>
                <w:kern w:val="0"/>
                <w:szCs w:val="21"/>
              </w:rPr>
              <w:t xml:space="preserve"> Low intensity </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19(22.3)</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78(20.9)</w:t>
            </w:r>
          </w:p>
        </w:tc>
        <w:tc>
          <w:tcPr>
            <w:tcW w:w="1134"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jc w:val="left"/>
              <w:rPr>
                <w:rFonts w:cs="Arial"/>
                <w:b w:val="0"/>
                <w:bCs w:val="0"/>
                <w:color w:val="auto"/>
                <w:kern w:val="0"/>
                <w:sz w:val="20"/>
                <w:szCs w:val="21"/>
              </w:rPr>
            </w:pPr>
            <w:r w:rsidRPr="004F54FF">
              <w:rPr>
                <w:rFonts w:cs="Arial"/>
                <w:b w:val="0"/>
                <w:bCs w:val="0"/>
                <w:color w:val="auto"/>
                <w:kern w:val="0"/>
                <w:sz w:val="20"/>
                <w:szCs w:val="21"/>
              </w:rPr>
              <w:t xml:space="preserve">Baseline insulin in use, </w:t>
            </w:r>
            <w:r w:rsidRPr="004F54FF">
              <w:rPr>
                <w:rFonts w:cs="Arial"/>
                <w:b w:val="0"/>
                <w:bCs w:val="0"/>
                <w:color w:val="auto"/>
                <w:kern w:val="0"/>
                <w:szCs w:val="21"/>
              </w:rPr>
              <w:t>n(%)</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19(22.3)</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58(15.6)</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0.179</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jc w:val="left"/>
              <w:rPr>
                <w:rFonts w:cs="Arial"/>
                <w:b w:val="0"/>
                <w:bCs w:val="0"/>
                <w:color w:val="auto"/>
                <w:kern w:val="0"/>
                <w:sz w:val="20"/>
                <w:szCs w:val="21"/>
              </w:rPr>
            </w:pPr>
            <w:r w:rsidRPr="004F54FF">
              <w:rPr>
                <w:rFonts w:cs="Arial"/>
                <w:b w:val="0"/>
                <w:bCs w:val="0"/>
                <w:color w:val="auto"/>
                <w:kern w:val="0"/>
                <w:sz w:val="20"/>
                <w:szCs w:val="21"/>
              </w:rPr>
              <w:t>History of myocardial infarction</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18</w:t>
            </w:r>
            <w:r w:rsidRPr="004F54FF">
              <w:rPr>
                <w:rFonts w:cs="Arial" w:hint="eastAsia"/>
                <w:color w:val="auto"/>
                <w:kern w:val="0"/>
                <w:sz w:val="20"/>
                <w:szCs w:val="21"/>
              </w:rPr>
              <w:t>(</w:t>
            </w:r>
            <w:r w:rsidRPr="004F54FF">
              <w:rPr>
                <w:rFonts w:cs="Arial"/>
                <w:color w:val="auto"/>
                <w:kern w:val="0"/>
                <w:sz w:val="20"/>
                <w:szCs w:val="21"/>
              </w:rPr>
              <w:t>21.1)</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51</w:t>
            </w:r>
            <w:r w:rsidRPr="004F54FF">
              <w:rPr>
                <w:rFonts w:cs="Arial" w:hint="eastAsia"/>
                <w:color w:val="auto"/>
                <w:kern w:val="0"/>
                <w:sz w:val="20"/>
                <w:szCs w:val="21"/>
              </w:rPr>
              <w:t>(</w:t>
            </w:r>
            <w:r w:rsidRPr="004F54FF">
              <w:rPr>
                <w:rFonts w:cs="Arial"/>
                <w:color w:val="auto"/>
                <w:kern w:val="0"/>
                <w:sz w:val="20"/>
                <w:szCs w:val="21"/>
              </w:rPr>
              <w:t>13.7)</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hint="eastAsia"/>
                <w:color w:val="auto"/>
                <w:kern w:val="0"/>
                <w:sz w:val="20"/>
                <w:szCs w:val="21"/>
              </w:rPr>
              <w:t>0</w:t>
            </w:r>
            <w:r w:rsidRPr="004F54FF">
              <w:rPr>
                <w:rFonts w:cs="Arial"/>
                <w:color w:val="auto"/>
                <w:kern w:val="0"/>
                <w:sz w:val="20"/>
                <w:szCs w:val="21"/>
              </w:rPr>
              <w:t>.117</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jc w:val="left"/>
              <w:rPr>
                <w:rFonts w:cs="Arial"/>
                <w:b w:val="0"/>
                <w:bCs w:val="0"/>
                <w:color w:val="auto"/>
                <w:kern w:val="0"/>
                <w:sz w:val="20"/>
                <w:szCs w:val="21"/>
              </w:rPr>
            </w:pPr>
            <w:r w:rsidRPr="004F54FF">
              <w:rPr>
                <w:rFonts w:cs="Arial"/>
                <w:b w:val="0"/>
                <w:bCs w:val="0"/>
                <w:color w:val="auto"/>
                <w:kern w:val="0"/>
                <w:sz w:val="20"/>
                <w:szCs w:val="21"/>
              </w:rPr>
              <w:t>History of revascularization</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20</w:t>
            </w:r>
            <w:r w:rsidRPr="004F54FF">
              <w:rPr>
                <w:rFonts w:cs="Arial" w:hint="eastAsia"/>
                <w:color w:val="auto"/>
                <w:kern w:val="0"/>
                <w:sz w:val="20"/>
                <w:szCs w:val="21"/>
              </w:rPr>
              <w:t>(</w:t>
            </w:r>
            <w:r w:rsidRPr="004F54FF">
              <w:rPr>
                <w:rFonts w:cs="Arial"/>
                <w:color w:val="auto"/>
                <w:kern w:val="0"/>
                <w:sz w:val="20"/>
                <w:szCs w:val="21"/>
              </w:rPr>
              <w:t>23</w:t>
            </w:r>
            <w:r w:rsidRPr="004F54FF">
              <w:rPr>
                <w:rFonts w:cs="Arial" w:hint="eastAsia"/>
                <w:color w:val="auto"/>
                <w:kern w:val="0"/>
                <w:sz w:val="20"/>
                <w:szCs w:val="21"/>
              </w:rPr>
              <w:t>.</w:t>
            </w:r>
            <w:r w:rsidRPr="004F54FF">
              <w:rPr>
                <w:rFonts w:cs="Arial"/>
                <w:color w:val="auto"/>
                <w:kern w:val="0"/>
                <w:sz w:val="20"/>
                <w:szCs w:val="21"/>
              </w:rPr>
              <w:t>5)</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68</w:t>
            </w:r>
            <w:r w:rsidRPr="004F54FF">
              <w:rPr>
                <w:rFonts w:cs="Arial" w:hint="eastAsia"/>
                <w:color w:val="auto"/>
                <w:kern w:val="0"/>
                <w:sz w:val="20"/>
                <w:szCs w:val="21"/>
              </w:rPr>
              <w:t>(</w:t>
            </w:r>
            <w:r w:rsidRPr="004F54FF">
              <w:rPr>
                <w:rFonts w:cs="Arial"/>
                <w:color w:val="auto"/>
                <w:kern w:val="0"/>
                <w:sz w:val="20"/>
                <w:szCs w:val="21"/>
              </w:rPr>
              <w:t>18.2)</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hint="eastAsia"/>
                <w:color w:val="auto"/>
                <w:kern w:val="0"/>
                <w:sz w:val="20"/>
                <w:szCs w:val="21"/>
              </w:rPr>
              <w:t>0</w:t>
            </w:r>
            <w:r w:rsidRPr="004F54FF">
              <w:rPr>
                <w:rFonts w:cs="Arial"/>
                <w:color w:val="auto"/>
                <w:kern w:val="0"/>
                <w:sz w:val="20"/>
                <w:szCs w:val="21"/>
              </w:rPr>
              <w:t>.339</w:t>
            </w:r>
          </w:p>
        </w:tc>
      </w:tr>
      <w:tr w:rsidR="00852674" w:rsidRPr="004F54FF" w:rsidTr="00852674">
        <w:trPr>
          <w:trHeight w:val="373"/>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rPr>
                <w:rFonts w:cs="Arial"/>
                <w:b w:val="0"/>
                <w:bCs w:val="0"/>
                <w:color w:val="auto"/>
                <w:kern w:val="0"/>
                <w:szCs w:val="21"/>
              </w:rPr>
            </w:pPr>
            <w:r w:rsidRPr="004F54FF">
              <w:rPr>
                <w:rFonts w:cs="Arial"/>
                <w:b w:val="0"/>
                <w:bCs w:val="0"/>
                <w:color w:val="auto"/>
                <w:kern w:val="0"/>
                <w:szCs w:val="21"/>
                <w:lang w:bidi="ar"/>
              </w:rPr>
              <w:t>Baseline laboratory findings</w:t>
            </w:r>
            <w:r w:rsidRPr="004F54FF">
              <w:rPr>
                <w:rFonts w:cs="Arial"/>
                <w:b w:val="0"/>
                <w:bCs w:val="0"/>
                <w:color w:val="auto"/>
                <w:kern w:val="0"/>
                <w:szCs w:val="21"/>
                <w:vertAlign w:val="superscript"/>
                <w:lang w:bidi="ar"/>
              </w:rPr>
              <w:t>$</w:t>
            </w:r>
            <w:r w:rsidRPr="004F54FF">
              <w:rPr>
                <w:rFonts w:cs="Arial"/>
                <w:b w:val="0"/>
                <w:bCs w:val="0"/>
                <w:color w:val="auto"/>
                <w:kern w:val="0"/>
                <w:szCs w:val="21"/>
              </w:rPr>
              <w:t xml:space="preserve"> </w:t>
            </w:r>
          </w:p>
        </w:tc>
        <w:tc>
          <w:tcPr>
            <w:tcW w:w="2126"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p>
        </w:tc>
        <w:tc>
          <w:tcPr>
            <w:tcW w:w="2126"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p>
        </w:tc>
        <w:tc>
          <w:tcPr>
            <w:tcW w:w="1134"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ind w:firstLineChars="50" w:firstLine="105"/>
              <w:rPr>
                <w:rFonts w:cs="Arial"/>
                <w:b w:val="0"/>
                <w:bCs w:val="0"/>
                <w:color w:val="auto"/>
                <w:kern w:val="0"/>
                <w:szCs w:val="21"/>
              </w:rPr>
            </w:pPr>
            <w:r w:rsidRPr="004F54FF">
              <w:rPr>
                <w:rFonts w:cs="Arial"/>
                <w:b w:val="0"/>
                <w:bCs w:val="0"/>
                <w:color w:val="auto"/>
                <w:kern w:val="0"/>
                <w:szCs w:val="21"/>
              </w:rPr>
              <w:t>TC (mmol/L)</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000000"/>
                <w:kern w:val="0"/>
                <w:szCs w:val="21"/>
              </w:rPr>
            </w:pPr>
            <w:r w:rsidRPr="004F54FF">
              <w:rPr>
                <w:rFonts w:cs="Arial"/>
                <w:color w:val="000000"/>
                <w:kern w:val="0"/>
                <w:szCs w:val="21"/>
              </w:rPr>
              <w:t>4.56[2.78, 6.89]</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3.81[2.73, 5.82]</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0.016</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ind w:firstLineChars="50" w:firstLine="105"/>
              <w:rPr>
                <w:rFonts w:cs="Arial"/>
                <w:b w:val="0"/>
                <w:bCs w:val="0"/>
                <w:color w:val="000000"/>
                <w:kern w:val="0"/>
                <w:szCs w:val="21"/>
              </w:rPr>
            </w:pPr>
            <w:r w:rsidRPr="004F54FF">
              <w:rPr>
                <w:rFonts w:cs="Arial"/>
                <w:b w:val="0"/>
                <w:bCs w:val="0"/>
                <w:color w:val="auto"/>
                <w:kern w:val="0"/>
                <w:szCs w:val="21"/>
              </w:rPr>
              <w:t>HDL-C (mmol/L)</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000000"/>
                <w:kern w:val="0"/>
                <w:szCs w:val="21"/>
              </w:rPr>
            </w:pPr>
            <w:r w:rsidRPr="004F54FF">
              <w:rPr>
                <w:rFonts w:cs="Arial"/>
                <w:color w:val="000000"/>
                <w:kern w:val="0"/>
                <w:szCs w:val="21"/>
              </w:rPr>
              <w:t>1.38[1.23, 1.65]</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1.34[1.21, 1.64]</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0.636</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ind w:firstLineChars="50" w:firstLine="105"/>
              <w:rPr>
                <w:rFonts w:cs="Arial"/>
                <w:b w:val="0"/>
                <w:bCs w:val="0"/>
                <w:color w:val="000000"/>
                <w:kern w:val="0"/>
                <w:szCs w:val="21"/>
              </w:rPr>
            </w:pPr>
            <w:r w:rsidRPr="004F54FF">
              <w:rPr>
                <w:rFonts w:cs="Arial"/>
                <w:b w:val="0"/>
                <w:bCs w:val="0"/>
                <w:color w:val="auto"/>
                <w:kern w:val="0"/>
                <w:szCs w:val="21"/>
              </w:rPr>
              <w:t>LDL-C</w:t>
            </w:r>
            <w:r w:rsidRPr="004F54FF">
              <w:rPr>
                <w:rFonts w:cs="Arial"/>
                <w:color w:val="auto"/>
                <w:kern w:val="0"/>
                <w:szCs w:val="21"/>
              </w:rPr>
              <w:t xml:space="preserve"> </w:t>
            </w:r>
            <w:r w:rsidRPr="004F54FF">
              <w:rPr>
                <w:rFonts w:cs="Arial"/>
                <w:b w:val="0"/>
                <w:bCs w:val="0"/>
                <w:color w:val="auto"/>
                <w:kern w:val="0"/>
                <w:szCs w:val="21"/>
              </w:rPr>
              <w:t>(mmol/L)</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000000"/>
                <w:kern w:val="0"/>
                <w:szCs w:val="21"/>
              </w:rPr>
            </w:pPr>
            <w:r w:rsidRPr="004F54FF">
              <w:rPr>
                <w:rFonts w:cs="Arial"/>
                <w:color w:val="000000"/>
                <w:kern w:val="0"/>
                <w:szCs w:val="21"/>
              </w:rPr>
              <w:t>3.34[2.53, 4.14]</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2.92[2.30, 3.66]</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0.005</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ind w:firstLineChars="50" w:firstLine="105"/>
              <w:rPr>
                <w:rFonts w:cs="Arial"/>
                <w:b w:val="0"/>
                <w:bCs w:val="0"/>
                <w:color w:val="000000"/>
                <w:kern w:val="0"/>
                <w:szCs w:val="21"/>
              </w:rPr>
            </w:pPr>
            <w:r w:rsidRPr="004F54FF">
              <w:rPr>
                <w:rFonts w:cs="Arial"/>
                <w:b w:val="0"/>
                <w:bCs w:val="0"/>
                <w:color w:val="auto"/>
                <w:kern w:val="0"/>
                <w:szCs w:val="21"/>
              </w:rPr>
              <w:t>TG (mmol/L)</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000000"/>
                <w:kern w:val="0"/>
                <w:szCs w:val="21"/>
              </w:rPr>
            </w:pPr>
            <w:r w:rsidRPr="004F54FF">
              <w:rPr>
                <w:rFonts w:cs="Arial"/>
                <w:color w:val="000000"/>
                <w:kern w:val="0"/>
                <w:szCs w:val="21"/>
              </w:rPr>
              <w:t>1.56[1.23, 2.11]</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1.22[0.83, 1.85]</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0.001</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ind w:firstLineChars="50" w:firstLine="105"/>
              <w:rPr>
                <w:rFonts w:cs="Arial"/>
                <w:b w:val="0"/>
                <w:bCs w:val="0"/>
                <w:color w:val="auto"/>
                <w:kern w:val="0"/>
                <w:szCs w:val="21"/>
              </w:rPr>
            </w:pPr>
            <w:r w:rsidRPr="004F54FF">
              <w:rPr>
                <w:rFonts w:cs="Arial"/>
                <w:b w:val="0"/>
                <w:bCs w:val="0"/>
                <w:color w:val="auto"/>
                <w:kern w:val="0"/>
                <w:szCs w:val="21"/>
              </w:rPr>
              <w:t>Lp(a) (mg/dl)</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18.9[13.2, 27.2]</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17.7[10.8, 27.2]</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0.408</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ind w:firstLineChars="50" w:firstLine="105"/>
              <w:rPr>
                <w:rFonts w:cs="Arial"/>
                <w:b w:val="0"/>
                <w:bCs w:val="0"/>
                <w:color w:val="auto"/>
                <w:kern w:val="0"/>
                <w:szCs w:val="21"/>
              </w:rPr>
            </w:pPr>
            <w:r w:rsidRPr="004F54FF">
              <w:rPr>
                <w:rFonts w:cs="Arial"/>
                <w:b w:val="0"/>
                <w:bCs w:val="0"/>
                <w:color w:val="auto"/>
                <w:kern w:val="0"/>
                <w:szCs w:val="21"/>
              </w:rPr>
              <w:t>HbA1c (%)</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6.6[5.90, 7.30]</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6.30[5.80, 7.00]</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0.055</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ind w:firstLineChars="50" w:firstLine="105"/>
              <w:rPr>
                <w:rFonts w:cs="Arial"/>
                <w:b w:val="0"/>
                <w:bCs w:val="0"/>
                <w:color w:val="auto"/>
                <w:kern w:val="0"/>
                <w:szCs w:val="21"/>
              </w:rPr>
            </w:pPr>
            <w:r w:rsidRPr="004F54FF">
              <w:rPr>
                <w:rFonts w:cs="Arial"/>
                <w:b w:val="0"/>
                <w:bCs w:val="0"/>
                <w:color w:val="auto"/>
                <w:kern w:val="0"/>
                <w:szCs w:val="21"/>
              </w:rPr>
              <w:t>CRP (mg/L)</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000000"/>
                <w:kern w:val="0"/>
                <w:szCs w:val="21"/>
              </w:rPr>
            </w:pPr>
            <w:r w:rsidRPr="004F54FF">
              <w:rPr>
                <w:rFonts w:cs="Arial"/>
                <w:color w:val="000000"/>
                <w:kern w:val="0"/>
                <w:szCs w:val="21"/>
              </w:rPr>
              <w:t>3.1[1.90, 3.90]</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2.90[2.40. 3.45]</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0.540</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rPr>
                <w:rFonts w:cs="Arial"/>
                <w:b w:val="0"/>
                <w:bCs w:val="0"/>
                <w:color w:val="auto"/>
                <w:kern w:val="0"/>
                <w:szCs w:val="21"/>
              </w:rPr>
            </w:pPr>
            <w:r w:rsidRPr="004F54FF">
              <w:rPr>
                <w:rFonts w:cs="Arial"/>
                <w:b w:val="0"/>
                <w:bCs w:val="0"/>
                <w:color w:val="auto"/>
                <w:kern w:val="0"/>
                <w:szCs w:val="21"/>
              </w:rPr>
              <w:t>Medication in use, n (%)</w:t>
            </w:r>
          </w:p>
        </w:tc>
        <w:tc>
          <w:tcPr>
            <w:tcW w:w="2126"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p>
        </w:tc>
        <w:tc>
          <w:tcPr>
            <w:tcW w:w="2126"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p>
        </w:tc>
        <w:tc>
          <w:tcPr>
            <w:tcW w:w="1134" w:type="dxa"/>
          </w:tcPr>
          <w:p w:rsidR="00852674" w:rsidRPr="004F54FF" w:rsidRDefault="00852674">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rPr>
                <w:rFonts w:cs="Arial"/>
                <w:b w:val="0"/>
                <w:bCs w:val="0"/>
                <w:color w:val="auto"/>
                <w:kern w:val="0"/>
                <w:szCs w:val="21"/>
              </w:rPr>
            </w:pPr>
            <w:r w:rsidRPr="004F54FF">
              <w:rPr>
                <w:rFonts w:cs="Arial"/>
                <w:b w:val="0"/>
                <w:bCs w:val="0"/>
                <w:color w:val="auto"/>
                <w:kern w:val="0"/>
                <w:szCs w:val="21"/>
              </w:rPr>
              <w:t xml:space="preserve"> ACEI/ARB</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49(57.6)</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165(44.3)</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0.036</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ind w:firstLineChars="50" w:firstLine="105"/>
              <w:rPr>
                <w:rFonts w:cs="Arial"/>
                <w:b w:val="0"/>
                <w:bCs w:val="0"/>
                <w:color w:val="auto"/>
                <w:kern w:val="0"/>
                <w:szCs w:val="21"/>
              </w:rPr>
            </w:pPr>
            <w:r w:rsidRPr="004F54FF">
              <w:rPr>
                <w:rFonts w:cs="Arial"/>
                <w:b w:val="0"/>
                <w:bCs w:val="0"/>
                <w:color w:val="auto"/>
                <w:kern w:val="0"/>
                <w:szCs w:val="21"/>
              </w:rPr>
              <w:t>β-Blocker</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33(38.8)</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140(37.6)</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0.936</w:t>
            </w:r>
          </w:p>
        </w:tc>
      </w:tr>
      <w:tr w:rsidR="00852674" w:rsidRPr="004F54FF" w:rsidTr="00852674">
        <w:trPr>
          <w:trHeight w:val="91"/>
          <w:jc w:val="center"/>
        </w:trPr>
        <w:tc>
          <w:tcPr>
            <w:cnfStyle w:val="001000000000" w:firstRow="0" w:lastRow="0" w:firstColumn="1" w:lastColumn="0" w:oddVBand="0" w:evenVBand="0" w:oddHBand="0" w:evenHBand="0" w:firstRowFirstColumn="0" w:firstRowLastColumn="0" w:lastRowFirstColumn="0" w:lastRowLastColumn="0"/>
            <w:tcW w:w="2552" w:type="dxa"/>
          </w:tcPr>
          <w:p w:rsidR="00852674" w:rsidRPr="004F54FF" w:rsidRDefault="00930975">
            <w:pPr>
              <w:rPr>
                <w:rFonts w:cs="Arial"/>
                <w:b w:val="0"/>
                <w:bCs w:val="0"/>
                <w:color w:val="auto"/>
                <w:kern w:val="0"/>
                <w:szCs w:val="21"/>
              </w:rPr>
            </w:pPr>
            <w:r w:rsidRPr="004F54FF">
              <w:rPr>
                <w:rFonts w:cs="Arial"/>
                <w:b w:val="0"/>
                <w:bCs w:val="0"/>
                <w:color w:val="auto"/>
                <w:kern w:val="0"/>
                <w:szCs w:val="21"/>
              </w:rPr>
              <w:t xml:space="preserve"> Nitrates</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Cs w:val="21"/>
              </w:rPr>
            </w:pPr>
            <w:r w:rsidRPr="004F54FF">
              <w:rPr>
                <w:rFonts w:cs="Arial"/>
                <w:color w:val="auto"/>
                <w:kern w:val="0"/>
                <w:szCs w:val="21"/>
              </w:rPr>
              <w:t>29(34.1)</w:t>
            </w:r>
          </w:p>
        </w:tc>
        <w:tc>
          <w:tcPr>
            <w:tcW w:w="2126"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134(36.0)</w:t>
            </w:r>
          </w:p>
        </w:tc>
        <w:tc>
          <w:tcPr>
            <w:tcW w:w="1134" w:type="dxa"/>
          </w:tcPr>
          <w:p w:rsidR="00852674" w:rsidRPr="004F54FF" w:rsidRDefault="00930975">
            <w:pPr>
              <w:jc w:val="center"/>
              <w:cnfStyle w:val="000000000000" w:firstRow="0" w:lastRow="0" w:firstColumn="0" w:lastColumn="0" w:oddVBand="0" w:evenVBand="0" w:oddHBand="0" w:evenHBand="0" w:firstRowFirstColumn="0" w:firstRowLastColumn="0" w:lastRowFirstColumn="0" w:lastRowLastColumn="0"/>
              <w:rPr>
                <w:rFonts w:cs="Arial"/>
                <w:color w:val="auto"/>
                <w:kern w:val="0"/>
                <w:sz w:val="20"/>
                <w:szCs w:val="21"/>
              </w:rPr>
            </w:pPr>
            <w:r w:rsidRPr="004F54FF">
              <w:rPr>
                <w:rFonts w:cs="Arial"/>
                <w:color w:val="auto"/>
                <w:kern w:val="0"/>
                <w:sz w:val="20"/>
                <w:szCs w:val="21"/>
              </w:rPr>
              <w:t>0.838</w:t>
            </w:r>
          </w:p>
        </w:tc>
      </w:tr>
    </w:tbl>
    <w:p w:rsidR="00852674" w:rsidRPr="004F54FF" w:rsidRDefault="00930975">
      <w:pPr>
        <w:rPr>
          <w:rFonts w:cs="Arial"/>
          <w:szCs w:val="21"/>
        </w:rPr>
      </w:pPr>
      <w:r w:rsidRPr="004F54FF">
        <w:rPr>
          <w:rFonts w:cs="Arial"/>
          <w:szCs w:val="21"/>
        </w:rPr>
        <w:t>Note.—Unless otherwise specified, data are numbers of patients, with percentages in parentheses.</w:t>
      </w:r>
    </w:p>
    <w:p w:rsidR="00852674" w:rsidRPr="004F54FF" w:rsidRDefault="00930975">
      <w:pPr>
        <w:rPr>
          <w:rFonts w:cs="Arial"/>
          <w:szCs w:val="21"/>
          <w:lang w:bidi="ar"/>
        </w:rPr>
      </w:pPr>
      <w:r w:rsidRPr="004F54FF">
        <w:rPr>
          <w:rFonts w:cs="Arial"/>
          <w:szCs w:val="21"/>
        </w:rPr>
        <w:t>Abbreviations: ACEI= Angiotensin-converting enzyme inhibitor; ARB =Angiotensin receptor blocker;</w:t>
      </w:r>
      <w:r w:rsidRPr="004F54FF">
        <w:rPr>
          <w:rFonts w:cs="Arial"/>
          <w:szCs w:val="21"/>
          <w:lang w:bidi="ar"/>
        </w:rPr>
        <w:t xml:space="preserve"> </w:t>
      </w:r>
      <w:r w:rsidRPr="004F54FF">
        <w:rPr>
          <w:rFonts w:cs="Arial"/>
          <w:szCs w:val="21"/>
        </w:rPr>
        <w:t xml:space="preserve">BMI= body mass index; </w:t>
      </w:r>
      <w:r w:rsidRPr="004F54FF">
        <w:rPr>
          <w:rFonts w:cs="Arial"/>
          <w:szCs w:val="21"/>
          <w:lang w:bidi="ar"/>
        </w:rPr>
        <w:t xml:space="preserve">CRP= C-reactive protein; </w:t>
      </w:r>
      <w:r w:rsidRPr="004F54FF">
        <w:rPr>
          <w:rFonts w:eastAsia="DengXian Light" w:cs="Arial"/>
          <w:szCs w:val="21"/>
          <w:lang w:bidi="ar"/>
        </w:rPr>
        <w:t>HbA1c</w:t>
      </w:r>
      <w:r w:rsidRPr="004F54FF">
        <w:rPr>
          <w:rFonts w:cs="Arial"/>
          <w:szCs w:val="21"/>
          <w:lang w:bidi="ar"/>
        </w:rPr>
        <w:t xml:space="preserve"> = Hemoglobin A1c</w:t>
      </w:r>
      <w:r w:rsidRPr="004F54FF">
        <w:rPr>
          <w:rFonts w:eastAsia="DengXian Light" w:cs="Arial"/>
          <w:szCs w:val="21"/>
          <w:lang w:bidi="ar"/>
        </w:rPr>
        <w:t>; HDL-C= High density lipoprotein cholesterol; LDL-C= Low density lipoprotein cholesterol;</w:t>
      </w:r>
      <w:r w:rsidRPr="004F54FF">
        <w:rPr>
          <w:rFonts w:cs="Arial"/>
          <w:szCs w:val="21"/>
        </w:rPr>
        <w:t xml:space="preserve"> Lp (a)=</w:t>
      </w:r>
      <w:r w:rsidRPr="004F54FF">
        <w:rPr>
          <w:rFonts w:eastAsia="DengXian Light" w:cs="Arial"/>
          <w:szCs w:val="21"/>
          <w:lang w:bidi="ar"/>
        </w:rPr>
        <w:t xml:space="preserve"> Lipoprotein(a); TC= Total cholesterol;</w:t>
      </w:r>
      <w:r w:rsidRPr="004F54FF">
        <w:rPr>
          <w:rFonts w:cs="Arial"/>
          <w:szCs w:val="21"/>
          <w:lang w:bidi="ar"/>
        </w:rPr>
        <w:t xml:space="preserve"> TG= Triglyceride. </w:t>
      </w:r>
    </w:p>
    <w:p w:rsidR="00852674" w:rsidRPr="004F54FF" w:rsidRDefault="00930975">
      <w:pPr>
        <w:rPr>
          <w:rFonts w:cs="Arial"/>
          <w:szCs w:val="21"/>
        </w:rPr>
      </w:pPr>
      <w:r w:rsidRPr="004F54FF">
        <w:rPr>
          <w:rFonts w:cs="Arial"/>
          <w:b/>
          <w:bCs/>
          <w:szCs w:val="21"/>
          <w:vertAlign w:val="superscript"/>
          <w:lang w:bidi="ar"/>
        </w:rPr>
        <w:t>*</w:t>
      </w:r>
      <w:r w:rsidRPr="004F54FF">
        <w:rPr>
          <w:rFonts w:cs="Arial"/>
          <w:szCs w:val="21"/>
        </w:rPr>
        <w:t xml:space="preserve"> Numbers are means ± standard deviations.</w:t>
      </w:r>
    </w:p>
    <w:p w:rsidR="00852674" w:rsidRPr="004F54FF" w:rsidRDefault="00930975">
      <w:pPr>
        <w:rPr>
          <w:rFonts w:cs="Arial"/>
          <w:szCs w:val="21"/>
        </w:rPr>
      </w:pPr>
      <w:r w:rsidRPr="004F54FF">
        <w:rPr>
          <w:rFonts w:cs="Arial"/>
          <w:b/>
          <w:bCs/>
          <w:szCs w:val="21"/>
          <w:vertAlign w:val="superscript"/>
          <w:lang w:bidi="ar"/>
        </w:rPr>
        <w:t>$</w:t>
      </w:r>
      <w:r w:rsidRPr="004F54FF">
        <w:rPr>
          <w:rFonts w:cs="Arial"/>
          <w:szCs w:val="21"/>
        </w:rPr>
        <w:t>Numbers are medians, with interquartile ranges in parentheses.</w:t>
      </w:r>
    </w:p>
    <w:p w:rsidR="00852674" w:rsidRPr="004F54FF" w:rsidRDefault="00930975">
      <w:pPr>
        <w:rPr>
          <w:rFonts w:cs="Arial"/>
          <w:szCs w:val="21"/>
        </w:rPr>
      </w:pPr>
      <w:r w:rsidRPr="004F54FF">
        <w:rPr>
          <w:rFonts w:cs="Arial"/>
          <w:b/>
          <w:bCs/>
          <w:szCs w:val="21"/>
          <w:vertAlign w:val="superscript"/>
        </w:rPr>
        <w:t xml:space="preserve"># </w:t>
      </w:r>
      <w:r w:rsidRPr="004F54FF">
        <w:rPr>
          <w:rFonts w:cs="Arial"/>
          <w:szCs w:val="21"/>
        </w:rPr>
        <w:t>Baseline statin use was defined as defined as subject treated with statin therapy at the time of screening. High-intensity statins: atorvastatin ≥40 mg, rosuvastatin ≥20 mg, simvastatin ≥80 mg daily. Moderate-intensity statins: atorvastatin 10 to &lt;40 mg, rosuvastatin 5 to &lt;20 mg, simvastatin 20 to &lt;80 mg daily. Low-intensity statins: atorvastatin &lt;10 mg, rosuvastatin &lt;5 mg, simvastatin &lt;20 mg daily.</w:t>
      </w:r>
    </w:p>
    <w:p w:rsidR="00852674" w:rsidRPr="004F54FF" w:rsidRDefault="00930975">
      <w:pPr>
        <w:rPr>
          <w:rFonts w:cs="Arial"/>
          <w:szCs w:val="21"/>
        </w:rPr>
      </w:pPr>
      <w:r w:rsidRPr="004F54FF">
        <w:rPr>
          <w:rFonts w:cs="Arial"/>
          <w:szCs w:val="21"/>
        </w:rPr>
        <w:t>*Numbers are means ± standard deviations.</w:t>
      </w:r>
    </w:p>
    <w:p w:rsidR="00852674" w:rsidRPr="004F54FF" w:rsidRDefault="00852674">
      <w:pPr>
        <w:widowControl/>
        <w:jc w:val="center"/>
        <w:rPr>
          <w:rFonts w:cs="Arial"/>
          <w:b/>
          <w:bCs/>
          <w:szCs w:val="21"/>
        </w:rPr>
      </w:pPr>
    </w:p>
    <w:p w:rsidR="00852674" w:rsidRPr="004F54FF" w:rsidRDefault="00930975">
      <w:pPr>
        <w:widowControl/>
        <w:jc w:val="center"/>
        <w:rPr>
          <w:rFonts w:cs="Arial"/>
          <w:b/>
          <w:bCs/>
          <w:szCs w:val="21"/>
        </w:rPr>
      </w:pPr>
      <w:r w:rsidRPr="004F54FF">
        <w:rPr>
          <w:rFonts w:cs="Arial"/>
          <w:b/>
          <w:bCs/>
          <w:szCs w:val="21"/>
        </w:rPr>
        <w:br w:type="page"/>
        <w:t>Online Table 2. Inter-observer Reproducibility</w:t>
      </w:r>
    </w:p>
    <w:tbl>
      <w:tblPr>
        <w:tblW w:w="6096" w:type="dxa"/>
        <w:jc w:val="center"/>
        <w:tblBorders>
          <w:top w:val="single" w:sz="4" w:space="0" w:color="000000"/>
          <w:bottom w:val="single" w:sz="4" w:space="0" w:color="000000"/>
        </w:tblBorders>
        <w:tblLook w:val="04A0" w:firstRow="1" w:lastRow="0" w:firstColumn="1" w:lastColumn="0" w:noHBand="0" w:noVBand="1"/>
      </w:tblPr>
      <w:tblGrid>
        <w:gridCol w:w="2552"/>
        <w:gridCol w:w="992"/>
        <w:gridCol w:w="1326"/>
        <w:gridCol w:w="1226"/>
      </w:tblGrid>
      <w:tr w:rsidR="00852674" w:rsidRPr="004F54FF">
        <w:trPr>
          <w:trHeight w:val="170"/>
          <w:jc w:val="center"/>
        </w:trPr>
        <w:tc>
          <w:tcPr>
            <w:tcW w:w="2552" w:type="dxa"/>
            <w:tcBorders>
              <w:top w:val="single" w:sz="4" w:space="0" w:color="000000"/>
              <w:bottom w:val="single" w:sz="4" w:space="0" w:color="auto"/>
            </w:tcBorders>
            <w:shd w:val="clear" w:color="auto" w:fill="auto"/>
          </w:tcPr>
          <w:p w:rsidR="00852674" w:rsidRPr="004F54FF" w:rsidRDefault="00930975">
            <w:pPr>
              <w:widowControl/>
              <w:spacing w:line="360" w:lineRule="auto"/>
              <w:ind w:firstLineChars="50" w:firstLine="105"/>
              <w:jc w:val="left"/>
              <w:rPr>
                <w:rFonts w:cs="Arial"/>
                <w:b/>
                <w:bCs/>
                <w:szCs w:val="21"/>
              </w:rPr>
            </w:pPr>
            <w:r w:rsidRPr="004F54FF">
              <w:rPr>
                <w:rFonts w:cs="Arial"/>
                <w:b/>
                <w:bCs/>
                <w:szCs w:val="21"/>
              </w:rPr>
              <w:t>Variables</w:t>
            </w:r>
          </w:p>
        </w:tc>
        <w:tc>
          <w:tcPr>
            <w:tcW w:w="992" w:type="dxa"/>
            <w:tcBorders>
              <w:top w:val="single" w:sz="4" w:space="0" w:color="000000"/>
              <w:bottom w:val="single" w:sz="4" w:space="0" w:color="auto"/>
            </w:tcBorders>
            <w:shd w:val="clear" w:color="auto" w:fill="auto"/>
          </w:tcPr>
          <w:p w:rsidR="00852674" w:rsidRPr="004F54FF" w:rsidRDefault="00930975">
            <w:pPr>
              <w:spacing w:line="360" w:lineRule="auto"/>
              <w:jc w:val="center"/>
              <w:rPr>
                <w:rFonts w:eastAsia="Times New Roman" w:cs="Arial"/>
                <w:b/>
                <w:bCs/>
                <w:szCs w:val="21"/>
              </w:rPr>
            </w:pPr>
            <w:r w:rsidRPr="004F54FF">
              <w:rPr>
                <w:rFonts w:eastAsia="Times New Roman" w:cs="Arial"/>
                <w:b/>
                <w:bCs/>
                <w:szCs w:val="21"/>
              </w:rPr>
              <w:t xml:space="preserve">ICC </w:t>
            </w:r>
          </w:p>
        </w:tc>
        <w:tc>
          <w:tcPr>
            <w:tcW w:w="1326" w:type="dxa"/>
            <w:tcBorders>
              <w:top w:val="single" w:sz="4" w:space="0" w:color="000000"/>
              <w:bottom w:val="single" w:sz="4" w:space="0" w:color="auto"/>
            </w:tcBorders>
          </w:tcPr>
          <w:p w:rsidR="00852674" w:rsidRPr="004F54FF" w:rsidRDefault="00930975">
            <w:pPr>
              <w:spacing w:line="360" w:lineRule="auto"/>
              <w:jc w:val="center"/>
              <w:rPr>
                <w:rStyle w:val="result"/>
                <w:rFonts w:eastAsia="Times New Roman" w:cs="Arial"/>
                <w:b/>
                <w:bCs/>
                <w:szCs w:val="21"/>
              </w:rPr>
            </w:pPr>
            <w:r w:rsidRPr="004F54FF">
              <w:rPr>
                <w:rStyle w:val="result"/>
                <w:rFonts w:eastAsia="Times New Roman" w:cs="Arial"/>
                <w:b/>
                <w:bCs/>
                <w:szCs w:val="21"/>
              </w:rPr>
              <w:t>9</w:t>
            </w:r>
            <w:r w:rsidRPr="004F54FF">
              <w:rPr>
                <w:rStyle w:val="result"/>
                <w:rFonts w:eastAsia="Times New Roman" w:cs="Arial"/>
                <w:b/>
                <w:bCs/>
              </w:rPr>
              <w:t>5%CI</w:t>
            </w:r>
          </w:p>
        </w:tc>
        <w:tc>
          <w:tcPr>
            <w:tcW w:w="1226" w:type="dxa"/>
            <w:tcBorders>
              <w:top w:val="single" w:sz="4" w:space="0" w:color="000000"/>
              <w:bottom w:val="single" w:sz="4" w:space="0" w:color="auto"/>
            </w:tcBorders>
          </w:tcPr>
          <w:p w:rsidR="00852674" w:rsidRPr="004F54FF" w:rsidRDefault="00930975">
            <w:pPr>
              <w:spacing w:line="360" w:lineRule="auto"/>
              <w:jc w:val="center"/>
              <w:rPr>
                <w:rFonts w:cs="Arial"/>
                <w:b/>
                <w:bCs/>
                <w:color w:val="000000"/>
                <w:szCs w:val="21"/>
              </w:rPr>
            </w:pPr>
            <w:r w:rsidRPr="004F54FF">
              <w:rPr>
                <w:rFonts w:cs="Arial"/>
                <w:b/>
                <w:bCs/>
                <w:szCs w:val="21"/>
              </w:rPr>
              <w:t>p</w:t>
            </w:r>
            <w:r w:rsidRPr="004F54FF">
              <w:rPr>
                <w:rFonts w:cs="Arial"/>
                <w:b/>
                <w:bCs/>
                <w:color w:val="000000"/>
                <w:szCs w:val="21"/>
              </w:rPr>
              <w:t xml:space="preserve"> value</w:t>
            </w:r>
          </w:p>
        </w:tc>
      </w:tr>
      <w:tr w:rsidR="00852674" w:rsidRPr="004F54FF">
        <w:trPr>
          <w:trHeight w:val="170"/>
          <w:jc w:val="center"/>
        </w:trPr>
        <w:tc>
          <w:tcPr>
            <w:tcW w:w="2552" w:type="dxa"/>
            <w:tcBorders>
              <w:top w:val="single" w:sz="4" w:space="0" w:color="auto"/>
            </w:tcBorders>
            <w:shd w:val="clear" w:color="auto" w:fill="auto"/>
          </w:tcPr>
          <w:p w:rsidR="00852674" w:rsidRPr="004F54FF" w:rsidRDefault="00930975">
            <w:pPr>
              <w:widowControl/>
              <w:spacing w:line="360" w:lineRule="auto"/>
              <w:ind w:firstLineChars="50" w:firstLine="105"/>
              <w:jc w:val="left"/>
              <w:rPr>
                <w:rFonts w:cs="Arial"/>
                <w:szCs w:val="21"/>
              </w:rPr>
            </w:pPr>
            <w:r w:rsidRPr="004F54FF">
              <w:rPr>
                <w:rFonts w:cs="Arial"/>
                <w:szCs w:val="21"/>
              </w:rPr>
              <w:t>Total Agatston score</w:t>
            </w:r>
          </w:p>
        </w:tc>
        <w:tc>
          <w:tcPr>
            <w:tcW w:w="992" w:type="dxa"/>
            <w:tcBorders>
              <w:top w:val="single" w:sz="4" w:space="0" w:color="auto"/>
            </w:tcBorders>
            <w:shd w:val="clear" w:color="auto" w:fill="auto"/>
          </w:tcPr>
          <w:p w:rsidR="00852674" w:rsidRPr="004F54FF" w:rsidRDefault="00930975">
            <w:pPr>
              <w:spacing w:line="360" w:lineRule="auto"/>
              <w:jc w:val="center"/>
              <w:rPr>
                <w:rFonts w:cs="Arial"/>
                <w:color w:val="000000"/>
                <w:szCs w:val="21"/>
              </w:rPr>
            </w:pPr>
            <w:r w:rsidRPr="004F54FF">
              <w:rPr>
                <w:rFonts w:eastAsia="Times New Roman" w:cs="Arial"/>
                <w:szCs w:val="21"/>
              </w:rPr>
              <w:t>0.98</w:t>
            </w:r>
          </w:p>
        </w:tc>
        <w:tc>
          <w:tcPr>
            <w:tcW w:w="1326" w:type="dxa"/>
            <w:tcBorders>
              <w:top w:val="single" w:sz="4" w:space="0" w:color="auto"/>
            </w:tcBorders>
          </w:tcPr>
          <w:p w:rsidR="00852674" w:rsidRPr="004F54FF" w:rsidRDefault="00930975">
            <w:pPr>
              <w:spacing w:line="360" w:lineRule="auto"/>
              <w:jc w:val="center"/>
              <w:rPr>
                <w:rFonts w:cs="Arial"/>
                <w:color w:val="000000"/>
                <w:szCs w:val="21"/>
              </w:rPr>
            </w:pPr>
            <w:r w:rsidRPr="004F54FF">
              <w:rPr>
                <w:rStyle w:val="result"/>
                <w:rFonts w:eastAsia="Times New Roman" w:cs="Arial"/>
                <w:bCs/>
                <w:szCs w:val="21"/>
              </w:rPr>
              <w:t>0.97</w:t>
            </w:r>
            <w:r w:rsidRPr="004F54FF">
              <w:rPr>
                <w:rStyle w:val="1"/>
                <w:rFonts w:eastAsia="Times New Roman" w:cs="Arial"/>
                <w:bCs/>
                <w:szCs w:val="21"/>
              </w:rPr>
              <w:t> to 1</w:t>
            </w:r>
            <w:r w:rsidRPr="004F54FF">
              <w:rPr>
                <w:rStyle w:val="1"/>
                <w:rFonts w:cs="Arial"/>
                <w:szCs w:val="21"/>
              </w:rPr>
              <w:t>.00</w:t>
            </w:r>
          </w:p>
        </w:tc>
        <w:tc>
          <w:tcPr>
            <w:tcW w:w="1226" w:type="dxa"/>
            <w:tcBorders>
              <w:top w:val="single" w:sz="4" w:space="0" w:color="auto"/>
            </w:tcBorders>
          </w:tcPr>
          <w:p w:rsidR="00852674" w:rsidRPr="004F54FF" w:rsidRDefault="00930975">
            <w:pPr>
              <w:spacing w:line="360" w:lineRule="auto"/>
              <w:jc w:val="center"/>
              <w:rPr>
                <w:rFonts w:cs="Arial"/>
                <w:color w:val="000000"/>
                <w:szCs w:val="21"/>
              </w:rPr>
            </w:pPr>
            <w:r w:rsidRPr="004F54FF">
              <w:rPr>
                <w:rFonts w:cs="Arial"/>
                <w:color w:val="000000"/>
                <w:szCs w:val="21"/>
              </w:rPr>
              <w:t>&lt;0.001</w:t>
            </w:r>
          </w:p>
        </w:tc>
      </w:tr>
      <w:tr w:rsidR="00852674" w:rsidRPr="004F54FF">
        <w:trPr>
          <w:trHeight w:val="170"/>
          <w:jc w:val="center"/>
        </w:trPr>
        <w:tc>
          <w:tcPr>
            <w:tcW w:w="2552" w:type="dxa"/>
            <w:shd w:val="clear" w:color="auto" w:fill="auto"/>
          </w:tcPr>
          <w:p w:rsidR="00852674" w:rsidRPr="004F54FF" w:rsidRDefault="00930975">
            <w:pPr>
              <w:spacing w:line="360" w:lineRule="auto"/>
              <w:ind w:firstLineChars="50" w:firstLine="105"/>
              <w:rPr>
                <w:rFonts w:cs="Arial"/>
                <w:szCs w:val="21"/>
              </w:rPr>
            </w:pPr>
            <w:r w:rsidRPr="004F54FF">
              <w:rPr>
                <w:rFonts w:cs="Arial"/>
                <w:szCs w:val="21"/>
              </w:rPr>
              <w:t xml:space="preserve">Low attenuation plaque </w:t>
            </w:r>
          </w:p>
        </w:tc>
        <w:tc>
          <w:tcPr>
            <w:tcW w:w="992" w:type="dxa"/>
            <w:shd w:val="clear" w:color="auto" w:fill="auto"/>
          </w:tcPr>
          <w:p w:rsidR="00852674" w:rsidRPr="004F54FF" w:rsidRDefault="00930975">
            <w:pPr>
              <w:spacing w:line="360" w:lineRule="auto"/>
              <w:jc w:val="center"/>
              <w:rPr>
                <w:rFonts w:eastAsia="Times New Roman" w:cs="Arial"/>
                <w:szCs w:val="21"/>
              </w:rPr>
            </w:pPr>
            <w:r w:rsidRPr="004F54FF">
              <w:rPr>
                <w:rStyle w:val="result"/>
                <w:rFonts w:eastAsia="Times New Roman" w:cs="Arial"/>
                <w:szCs w:val="21"/>
              </w:rPr>
              <w:t>0.94</w:t>
            </w:r>
          </w:p>
        </w:tc>
        <w:tc>
          <w:tcPr>
            <w:tcW w:w="1326" w:type="dxa"/>
          </w:tcPr>
          <w:p w:rsidR="00852674" w:rsidRPr="004F54FF" w:rsidRDefault="00930975">
            <w:pPr>
              <w:spacing w:line="360" w:lineRule="auto"/>
              <w:jc w:val="center"/>
              <w:rPr>
                <w:rFonts w:eastAsia="Times New Roman" w:cs="Arial"/>
                <w:bCs/>
                <w:szCs w:val="21"/>
              </w:rPr>
            </w:pPr>
            <w:r w:rsidRPr="004F54FF">
              <w:rPr>
                <w:rStyle w:val="result"/>
                <w:rFonts w:eastAsia="Times New Roman" w:cs="Arial"/>
                <w:bCs/>
                <w:szCs w:val="21"/>
              </w:rPr>
              <w:t>0.90</w:t>
            </w:r>
            <w:r w:rsidRPr="004F54FF">
              <w:rPr>
                <w:rStyle w:val="2"/>
                <w:rFonts w:eastAsia="Times New Roman" w:cs="Arial"/>
                <w:bCs/>
                <w:szCs w:val="21"/>
              </w:rPr>
              <w:t> to </w:t>
            </w:r>
            <w:r w:rsidRPr="004F54FF">
              <w:rPr>
                <w:rStyle w:val="result"/>
                <w:rFonts w:eastAsia="Times New Roman" w:cs="Arial"/>
                <w:bCs/>
                <w:szCs w:val="21"/>
              </w:rPr>
              <w:t>0.94</w:t>
            </w:r>
          </w:p>
        </w:tc>
        <w:tc>
          <w:tcPr>
            <w:tcW w:w="1226" w:type="dxa"/>
          </w:tcPr>
          <w:p w:rsidR="00852674" w:rsidRPr="004F54FF" w:rsidRDefault="00930975">
            <w:pPr>
              <w:spacing w:line="360" w:lineRule="auto"/>
              <w:jc w:val="center"/>
              <w:rPr>
                <w:rFonts w:cs="Arial"/>
                <w:color w:val="000000"/>
                <w:szCs w:val="21"/>
              </w:rPr>
            </w:pPr>
            <w:r w:rsidRPr="004F54FF">
              <w:rPr>
                <w:rFonts w:cs="Arial"/>
                <w:color w:val="000000"/>
                <w:szCs w:val="21"/>
              </w:rPr>
              <w:t>&lt;0.001</w:t>
            </w:r>
          </w:p>
        </w:tc>
      </w:tr>
      <w:tr w:rsidR="00852674" w:rsidRPr="004F54FF">
        <w:trPr>
          <w:trHeight w:val="94"/>
          <w:jc w:val="center"/>
        </w:trPr>
        <w:tc>
          <w:tcPr>
            <w:tcW w:w="2552" w:type="dxa"/>
            <w:shd w:val="clear" w:color="auto" w:fill="auto"/>
          </w:tcPr>
          <w:p w:rsidR="00852674" w:rsidRPr="004F54FF" w:rsidRDefault="00930975">
            <w:pPr>
              <w:spacing w:line="360" w:lineRule="auto"/>
              <w:ind w:firstLineChars="50" w:firstLine="105"/>
              <w:rPr>
                <w:rFonts w:cs="Arial"/>
                <w:szCs w:val="21"/>
              </w:rPr>
            </w:pPr>
            <w:r w:rsidRPr="004F54FF">
              <w:rPr>
                <w:rFonts w:cs="Arial"/>
                <w:szCs w:val="21"/>
              </w:rPr>
              <w:t>Positive remodeling</w:t>
            </w:r>
          </w:p>
        </w:tc>
        <w:tc>
          <w:tcPr>
            <w:tcW w:w="992" w:type="dxa"/>
            <w:shd w:val="clear" w:color="auto" w:fill="auto"/>
          </w:tcPr>
          <w:p w:rsidR="00852674" w:rsidRPr="004F54FF" w:rsidRDefault="00930975">
            <w:pPr>
              <w:spacing w:line="360" w:lineRule="auto"/>
              <w:jc w:val="center"/>
              <w:rPr>
                <w:rFonts w:cs="Arial"/>
                <w:color w:val="000000"/>
                <w:szCs w:val="21"/>
              </w:rPr>
            </w:pPr>
            <w:r w:rsidRPr="004F54FF">
              <w:rPr>
                <w:rStyle w:val="result"/>
                <w:rFonts w:eastAsia="Times New Roman" w:cs="Arial"/>
                <w:szCs w:val="21"/>
              </w:rPr>
              <w:t>0.92</w:t>
            </w:r>
          </w:p>
        </w:tc>
        <w:tc>
          <w:tcPr>
            <w:tcW w:w="1326" w:type="dxa"/>
          </w:tcPr>
          <w:p w:rsidR="00852674" w:rsidRPr="004F54FF" w:rsidRDefault="00930975">
            <w:pPr>
              <w:spacing w:line="360" w:lineRule="auto"/>
              <w:jc w:val="center"/>
              <w:rPr>
                <w:rFonts w:cs="Arial"/>
                <w:color w:val="000000"/>
                <w:szCs w:val="21"/>
              </w:rPr>
            </w:pPr>
            <w:r w:rsidRPr="004F54FF">
              <w:rPr>
                <w:rStyle w:val="result"/>
                <w:rFonts w:eastAsia="Times New Roman" w:cs="Arial"/>
                <w:bCs/>
                <w:szCs w:val="21"/>
              </w:rPr>
              <w:t>0.90</w:t>
            </w:r>
            <w:r w:rsidRPr="004F54FF">
              <w:rPr>
                <w:rStyle w:val="2"/>
                <w:rFonts w:eastAsia="Times New Roman" w:cs="Arial"/>
                <w:bCs/>
                <w:szCs w:val="21"/>
              </w:rPr>
              <w:t> to </w:t>
            </w:r>
            <w:r w:rsidRPr="004F54FF">
              <w:rPr>
                <w:rStyle w:val="result"/>
                <w:rFonts w:eastAsia="Times New Roman" w:cs="Arial"/>
                <w:bCs/>
                <w:szCs w:val="21"/>
              </w:rPr>
              <w:t>0.94</w:t>
            </w:r>
          </w:p>
        </w:tc>
        <w:tc>
          <w:tcPr>
            <w:tcW w:w="1226" w:type="dxa"/>
          </w:tcPr>
          <w:p w:rsidR="00852674" w:rsidRPr="004F54FF" w:rsidRDefault="00930975">
            <w:pPr>
              <w:spacing w:line="360" w:lineRule="auto"/>
              <w:jc w:val="center"/>
              <w:rPr>
                <w:rFonts w:cs="Arial"/>
                <w:color w:val="000000"/>
                <w:szCs w:val="21"/>
              </w:rPr>
            </w:pPr>
            <w:r w:rsidRPr="004F54FF">
              <w:rPr>
                <w:rFonts w:cs="Arial"/>
                <w:color w:val="000000"/>
                <w:szCs w:val="21"/>
              </w:rPr>
              <w:t>&lt;0.001</w:t>
            </w:r>
          </w:p>
        </w:tc>
      </w:tr>
      <w:tr w:rsidR="00852674" w:rsidRPr="004F54FF">
        <w:trPr>
          <w:trHeight w:val="170"/>
          <w:jc w:val="center"/>
        </w:trPr>
        <w:tc>
          <w:tcPr>
            <w:tcW w:w="2552" w:type="dxa"/>
            <w:shd w:val="clear" w:color="auto" w:fill="auto"/>
          </w:tcPr>
          <w:p w:rsidR="00852674" w:rsidRPr="004F54FF" w:rsidRDefault="00930975">
            <w:pPr>
              <w:spacing w:line="360" w:lineRule="auto"/>
              <w:ind w:firstLineChars="50" w:firstLine="105"/>
              <w:rPr>
                <w:rFonts w:cs="Arial"/>
                <w:color w:val="000000"/>
                <w:szCs w:val="21"/>
              </w:rPr>
            </w:pPr>
            <w:r w:rsidRPr="004F54FF">
              <w:rPr>
                <w:rFonts w:cs="Arial"/>
                <w:szCs w:val="21"/>
              </w:rPr>
              <w:t>Spotty calcification</w:t>
            </w:r>
          </w:p>
        </w:tc>
        <w:tc>
          <w:tcPr>
            <w:tcW w:w="992" w:type="dxa"/>
            <w:shd w:val="clear" w:color="auto" w:fill="auto"/>
          </w:tcPr>
          <w:p w:rsidR="00852674" w:rsidRPr="004F54FF" w:rsidRDefault="00930975">
            <w:pPr>
              <w:spacing w:line="360" w:lineRule="auto"/>
              <w:jc w:val="center"/>
              <w:rPr>
                <w:rFonts w:cs="Arial"/>
                <w:color w:val="000000"/>
                <w:szCs w:val="21"/>
              </w:rPr>
            </w:pPr>
            <w:r w:rsidRPr="004F54FF">
              <w:rPr>
                <w:rFonts w:eastAsia="Times New Roman" w:cs="Arial"/>
                <w:szCs w:val="21"/>
              </w:rPr>
              <w:t>0.94</w:t>
            </w:r>
          </w:p>
        </w:tc>
        <w:tc>
          <w:tcPr>
            <w:tcW w:w="1326" w:type="dxa"/>
          </w:tcPr>
          <w:p w:rsidR="00852674" w:rsidRPr="004F54FF" w:rsidRDefault="00930975">
            <w:pPr>
              <w:spacing w:line="360" w:lineRule="auto"/>
              <w:jc w:val="center"/>
              <w:rPr>
                <w:rFonts w:cs="Arial"/>
                <w:color w:val="000000"/>
                <w:szCs w:val="21"/>
              </w:rPr>
            </w:pPr>
            <w:r w:rsidRPr="004F54FF">
              <w:rPr>
                <w:rFonts w:cs="Arial"/>
                <w:color w:val="000000"/>
                <w:szCs w:val="21"/>
              </w:rPr>
              <w:t>0.90 to 0.96</w:t>
            </w:r>
          </w:p>
        </w:tc>
        <w:tc>
          <w:tcPr>
            <w:tcW w:w="1226" w:type="dxa"/>
          </w:tcPr>
          <w:p w:rsidR="00852674" w:rsidRPr="004F54FF" w:rsidRDefault="00930975">
            <w:pPr>
              <w:spacing w:line="360" w:lineRule="auto"/>
              <w:jc w:val="center"/>
              <w:rPr>
                <w:rFonts w:cs="Arial"/>
                <w:color w:val="000000"/>
                <w:szCs w:val="21"/>
              </w:rPr>
            </w:pPr>
            <w:r w:rsidRPr="004F54FF">
              <w:rPr>
                <w:rFonts w:cs="Arial"/>
                <w:color w:val="000000"/>
                <w:szCs w:val="21"/>
              </w:rPr>
              <w:t>&lt;0.001</w:t>
            </w:r>
          </w:p>
        </w:tc>
      </w:tr>
      <w:tr w:rsidR="00852674" w:rsidRPr="004F54FF">
        <w:trPr>
          <w:trHeight w:val="170"/>
          <w:jc w:val="center"/>
        </w:trPr>
        <w:tc>
          <w:tcPr>
            <w:tcW w:w="2552" w:type="dxa"/>
            <w:shd w:val="clear" w:color="auto" w:fill="auto"/>
          </w:tcPr>
          <w:p w:rsidR="00852674" w:rsidRPr="004F54FF" w:rsidRDefault="00930975">
            <w:pPr>
              <w:spacing w:line="360" w:lineRule="auto"/>
              <w:ind w:firstLineChars="50" w:firstLine="105"/>
              <w:rPr>
                <w:rFonts w:cs="Arial"/>
                <w:color w:val="000000"/>
                <w:szCs w:val="21"/>
              </w:rPr>
            </w:pPr>
            <w:r w:rsidRPr="004F54FF">
              <w:rPr>
                <w:rFonts w:cs="Arial"/>
                <w:szCs w:val="21"/>
              </w:rPr>
              <w:t>Napkin-ring sign</w:t>
            </w:r>
          </w:p>
        </w:tc>
        <w:tc>
          <w:tcPr>
            <w:tcW w:w="992" w:type="dxa"/>
            <w:shd w:val="clear" w:color="auto" w:fill="auto"/>
          </w:tcPr>
          <w:p w:rsidR="00852674" w:rsidRPr="004F54FF" w:rsidRDefault="00930975">
            <w:pPr>
              <w:spacing w:line="360" w:lineRule="auto"/>
              <w:jc w:val="center"/>
              <w:rPr>
                <w:rFonts w:eastAsia="Times New Roman" w:cs="Arial"/>
                <w:szCs w:val="21"/>
              </w:rPr>
            </w:pPr>
            <w:r w:rsidRPr="004F54FF">
              <w:rPr>
                <w:rStyle w:val="result"/>
                <w:rFonts w:eastAsia="Times New Roman" w:cs="Arial"/>
                <w:szCs w:val="21"/>
              </w:rPr>
              <w:t>0.94</w:t>
            </w:r>
          </w:p>
        </w:tc>
        <w:tc>
          <w:tcPr>
            <w:tcW w:w="1326" w:type="dxa"/>
          </w:tcPr>
          <w:p w:rsidR="00852674" w:rsidRPr="004F54FF" w:rsidRDefault="00930975">
            <w:pPr>
              <w:spacing w:line="360" w:lineRule="auto"/>
              <w:jc w:val="center"/>
              <w:rPr>
                <w:rFonts w:cs="Arial"/>
                <w:color w:val="000000"/>
                <w:szCs w:val="21"/>
              </w:rPr>
            </w:pPr>
            <w:r w:rsidRPr="004F54FF">
              <w:rPr>
                <w:rStyle w:val="result"/>
                <w:rFonts w:eastAsia="Times New Roman" w:cs="Arial"/>
                <w:bCs/>
                <w:szCs w:val="21"/>
              </w:rPr>
              <w:t>0.92</w:t>
            </w:r>
            <w:r w:rsidRPr="004F54FF">
              <w:rPr>
                <w:rStyle w:val="2"/>
                <w:rFonts w:eastAsia="Times New Roman" w:cs="Arial"/>
                <w:bCs/>
                <w:szCs w:val="21"/>
              </w:rPr>
              <w:t> to </w:t>
            </w:r>
            <w:r w:rsidRPr="004F54FF">
              <w:rPr>
                <w:rStyle w:val="result"/>
                <w:rFonts w:eastAsia="Times New Roman" w:cs="Arial"/>
                <w:bCs/>
                <w:szCs w:val="21"/>
              </w:rPr>
              <w:t>0.95</w:t>
            </w:r>
          </w:p>
        </w:tc>
        <w:tc>
          <w:tcPr>
            <w:tcW w:w="1226" w:type="dxa"/>
          </w:tcPr>
          <w:p w:rsidR="00852674" w:rsidRPr="004F54FF" w:rsidRDefault="00930975">
            <w:pPr>
              <w:spacing w:line="360" w:lineRule="auto"/>
              <w:jc w:val="center"/>
              <w:rPr>
                <w:rFonts w:cs="Arial"/>
                <w:color w:val="000000"/>
                <w:szCs w:val="21"/>
              </w:rPr>
            </w:pPr>
            <w:r w:rsidRPr="004F54FF">
              <w:rPr>
                <w:rFonts w:cs="Arial"/>
                <w:color w:val="000000"/>
                <w:szCs w:val="21"/>
              </w:rPr>
              <w:t>&lt;0.001</w:t>
            </w:r>
          </w:p>
        </w:tc>
      </w:tr>
      <w:tr w:rsidR="00852674" w:rsidRPr="004F54FF">
        <w:trPr>
          <w:trHeight w:val="94"/>
          <w:jc w:val="center"/>
        </w:trPr>
        <w:tc>
          <w:tcPr>
            <w:tcW w:w="2552" w:type="dxa"/>
            <w:shd w:val="clear" w:color="auto" w:fill="auto"/>
          </w:tcPr>
          <w:p w:rsidR="00852674" w:rsidRPr="004F54FF" w:rsidRDefault="00930975">
            <w:pPr>
              <w:spacing w:line="360" w:lineRule="auto"/>
              <w:ind w:firstLineChars="50" w:firstLine="105"/>
              <w:rPr>
                <w:rFonts w:cs="Arial"/>
                <w:szCs w:val="21"/>
              </w:rPr>
            </w:pPr>
            <w:r w:rsidRPr="004F54FF">
              <w:rPr>
                <w:rFonts w:cs="Arial"/>
                <w:szCs w:val="21"/>
              </w:rPr>
              <w:t>Total plaque volume</w:t>
            </w:r>
          </w:p>
        </w:tc>
        <w:tc>
          <w:tcPr>
            <w:tcW w:w="992" w:type="dxa"/>
            <w:shd w:val="clear" w:color="auto" w:fill="auto"/>
          </w:tcPr>
          <w:p w:rsidR="00852674" w:rsidRPr="004F54FF" w:rsidRDefault="00930975">
            <w:pPr>
              <w:spacing w:line="360" w:lineRule="auto"/>
              <w:jc w:val="center"/>
              <w:rPr>
                <w:rFonts w:eastAsia="Times New Roman" w:cs="Arial"/>
                <w:szCs w:val="21"/>
              </w:rPr>
            </w:pPr>
            <w:r w:rsidRPr="004F54FF">
              <w:rPr>
                <w:rStyle w:val="result"/>
                <w:rFonts w:eastAsia="Times New Roman" w:cs="Arial"/>
                <w:szCs w:val="21"/>
              </w:rPr>
              <w:t>0.92</w:t>
            </w:r>
          </w:p>
        </w:tc>
        <w:tc>
          <w:tcPr>
            <w:tcW w:w="1326" w:type="dxa"/>
          </w:tcPr>
          <w:p w:rsidR="00852674" w:rsidRPr="004F54FF" w:rsidRDefault="00930975">
            <w:pPr>
              <w:spacing w:line="360" w:lineRule="auto"/>
              <w:jc w:val="center"/>
              <w:rPr>
                <w:rFonts w:eastAsia="Times New Roman" w:cs="Arial"/>
                <w:bCs/>
                <w:szCs w:val="21"/>
              </w:rPr>
            </w:pPr>
            <w:r w:rsidRPr="004F54FF">
              <w:rPr>
                <w:rStyle w:val="result"/>
                <w:rFonts w:eastAsia="Times New Roman" w:cs="Arial"/>
                <w:bCs/>
                <w:szCs w:val="21"/>
              </w:rPr>
              <w:t>0.90</w:t>
            </w:r>
            <w:r w:rsidRPr="004F54FF">
              <w:rPr>
                <w:rStyle w:val="2"/>
                <w:rFonts w:eastAsia="Times New Roman" w:cs="Arial"/>
                <w:bCs/>
                <w:szCs w:val="21"/>
              </w:rPr>
              <w:t> to </w:t>
            </w:r>
            <w:r w:rsidRPr="004F54FF">
              <w:rPr>
                <w:rStyle w:val="result"/>
                <w:rFonts w:eastAsia="Times New Roman" w:cs="Arial"/>
                <w:bCs/>
                <w:szCs w:val="21"/>
              </w:rPr>
              <w:t>0.94</w:t>
            </w:r>
          </w:p>
        </w:tc>
        <w:tc>
          <w:tcPr>
            <w:tcW w:w="1226" w:type="dxa"/>
          </w:tcPr>
          <w:p w:rsidR="00852674" w:rsidRPr="004F54FF" w:rsidRDefault="00930975">
            <w:pPr>
              <w:spacing w:line="360" w:lineRule="auto"/>
              <w:jc w:val="center"/>
              <w:rPr>
                <w:rFonts w:cs="Arial"/>
                <w:color w:val="000000"/>
                <w:szCs w:val="21"/>
              </w:rPr>
            </w:pPr>
            <w:r w:rsidRPr="004F54FF">
              <w:rPr>
                <w:rFonts w:cs="Arial"/>
                <w:color w:val="000000"/>
                <w:szCs w:val="21"/>
              </w:rPr>
              <w:t>&lt;0.001</w:t>
            </w:r>
          </w:p>
        </w:tc>
      </w:tr>
      <w:tr w:rsidR="00852674" w:rsidRPr="004F54FF">
        <w:trPr>
          <w:trHeight w:val="170"/>
          <w:jc w:val="center"/>
        </w:trPr>
        <w:tc>
          <w:tcPr>
            <w:tcW w:w="2552" w:type="dxa"/>
            <w:shd w:val="clear" w:color="auto" w:fill="auto"/>
          </w:tcPr>
          <w:p w:rsidR="00852674" w:rsidRPr="004F54FF" w:rsidRDefault="00930975">
            <w:pPr>
              <w:spacing w:line="360" w:lineRule="auto"/>
              <w:ind w:firstLineChars="50" w:firstLine="105"/>
              <w:rPr>
                <w:rFonts w:cs="Arial"/>
                <w:color w:val="000000"/>
                <w:szCs w:val="21"/>
              </w:rPr>
            </w:pPr>
            <w:r w:rsidRPr="004F54FF">
              <w:rPr>
                <w:rFonts w:cs="Arial"/>
                <w:color w:val="000000"/>
                <w:szCs w:val="21"/>
              </w:rPr>
              <w:t>Calcified plaque volume</w:t>
            </w:r>
          </w:p>
        </w:tc>
        <w:tc>
          <w:tcPr>
            <w:tcW w:w="992" w:type="dxa"/>
            <w:shd w:val="clear" w:color="auto" w:fill="auto"/>
          </w:tcPr>
          <w:p w:rsidR="00852674" w:rsidRPr="004F54FF" w:rsidRDefault="00930975">
            <w:pPr>
              <w:spacing w:line="360" w:lineRule="auto"/>
              <w:jc w:val="center"/>
              <w:rPr>
                <w:rFonts w:cs="Arial"/>
                <w:color w:val="000000"/>
                <w:szCs w:val="21"/>
              </w:rPr>
            </w:pPr>
            <w:r w:rsidRPr="004F54FF">
              <w:rPr>
                <w:rFonts w:cs="Arial"/>
                <w:color w:val="000000"/>
                <w:szCs w:val="21"/>
              </w:rPr>
              <w:t>0.97</w:t>
            </w:r>
          </w:p>
        </w:tc>
        <w:tc>
          <w:tcPr>
            <w:tcW w:w="1326" w:type="dxa"/>
          </w:tcPr>
          <w:p w:rsidR="00852674" w:rsidRPr="004F54FF" w:rsidRDefault="00930975">
            <w:pPr>
              <w:spacing w:line="360" w:lineRule="auto"/>
              <w:jc w:val="center"/>
              <w:rPr>
                <w:rFonts w:cs="Arial"/>
                <w:color w:val="000000"/>
                <w:szCs w:val="21"/>
              </w:rPr>
            </w:pPr>
            <w:r w:rsidRPr="004F54FF">
              <w:rPr>
                <w:rFonts w:cs="Arial"/>
                <w:color w:val="000000"/>
                <w:szCs w:val="21"/>
              </w:rPr>
              <w:t>0.95 to 0.98</w:t>
            </w:r>
          </w:p>
        </w:tc>
        <w:tc>
          <w:tcPr>
            <w:tcW w:w="1226" w:type="dxa"/>
          </w:tcPr>
          <w:p w:rsidR="00852674" w:rsidRPr="004F54FF" w:rsidRDefault="00930975">
            <w:pPr>
              <w:spacing w:line="360" w:lineRule="auto"/>
              <w:jc w:val="center"/>
              <w:rPr>
                <w:rFonts w:cs="Arial"/>
                <w:color w:val="000000"/>
                <w:szCs w:val="21"/>
              </w:rPr>
            </w:pPr>
            <w:r w:rsidRPr="004F54FF">
              <w:rPr>
                <w:rFonts w:cs="Arial"/>
                <w:color w:val="000000"/>
                <w:szCs w:val="21"/>
              </w:rPr>
              <w:t>&lt;0.001</w:t>
            </w:r>
          </w:p>
        </w:tc>
      </w:tr>
      <w:tr w:rsidR="00852674" w:rsidRPr="004F54FF">
        <w:trPr>
          <w:trHeight w:val="170"/>
          <w:jc w:val="center"/>
        </w:trPr>
        <w:tc>
          <w:tcPr>
            <w:tcW w:w="2552" w:type="dxa"/>
            <w:tcBorders>
              <w:bottom w:val="nil"/>
            </w:tcBorders>
            <w:shd w:val="clear" w:color="auto" w:fill="auto"/>
          </w:tcPr>
          <w:p w:rsidR="00852674" w:rsidRPr="004F54FF" w:rsidRDefault="00930975">
            <w:pPr>
              <w:spacing w:line="360" w:lineRule="auto"/>
              <w:ind w:leftChars="50" w:left="105"/>
              <w:rPr>
                <w:rFonts w:cs="Arial"/>
                <w:szCs w:val="21"/>
              </w:rPr>
            </w:pPr>
            <w:r w:rsidRPr="004F54FF">
              <w:rPr>
                <w:rFonts w:cs="Arial"/>
                <w:szCs w:val="21"/>
              </w:rPr>
              <w:t>Noncalcified plaque volume</w:t>
            </w:r>
          </w:p>
        </w:tc>
        <w:tc>
          <w:tcPr>
            <w:tcW w:w="992" w:type="dxa"/>
            <w:tcBorders>
              <w:bottom w:val="nil"/>
            </w:tcBorders>
            <w:shd w:val="clear" w:color="auto" w:fill="auto"/>
          </w:tcPr>
          <w:p w:rsidR="00852674" w:rsidRPr="004F54FF" w:rsidRDefault="00930975">
            <w:pPr>
              <w:spacing w:line="360" w:lineRule="auto"/>
              <w:jc w:val="center"/>
              <w:rPr>
                <w:rFonts w:cs="Arial"/>
                <w:color w:val="000000"/>
                <w:szCs w:val="21"/>
              </w:rPr>
            </w:pPr>
            <w:r w:rsidRPr="004F54FF">
              <w:rPr>
                <w:rStyle w:val="result"/>
                <w:rFonts w:eastAsia="Times New Roman" w:cs="Arial"/>
                <w:szCs w:val="21"/>
              </w:rPr>
              <w:t>0.93</w:t>
            </w:r>
          </w:p>
        </w:tc>
        <w:tc>
          <w:tcPr>
            <w:tcW w:w="1326" w:type="dxa"/>
            <w:tcBorders>
              <w:bottom w:val="nil"/>
            </w:tcBorders>
          </w:tcPr>
          <w:p w:rsidR="00852674" w:rsidRPr="004F54FF" w:rsidRDefault="00930975">
            <w:pPr>
              <w:spacing w:line="360" w:lineRule="auto"/>
              <w:jc w:val="center"/>
              <w:rPr>
                <w:rFonts w:eastAsia="Times New Roman" w:cs="Arial"/>
                <w:bCs/>
                <w:szCs w:val="21"/>
              </w:rPr>
            </w:pPr>
            <w:r w:rsidRPr="004F54FF">
              <w:rPr>
                <w:rStyle w:val="result"/>
                <w:rFonts w:eastAsia="Times New Roman" w:cs="Arial"/>
                <w:bCs/>
                <w:szCs w:val="21"/>
              </w:rPr>
              <w:t xml:space="preserve">0.90 </w:t>
            </w:r>
            <w:r w:rsidRPr="004F54FF">
              <w:rPr>
                <w:rStyle w:val="2"/>
                <w:rFonts w:eastAsia="Times New Roman" w:cs="Arial"/>
                <w:bCs/>
                <w:szCs w:val="21"/>
              </w:rPr>
              <w:t>to </w:t>
            </w:r>
            <w:r w:rsidRPr="004F54FF">
              <w:rPr>
                <w:rStyle w:val="result"/>
                <w:rFonts w:eastAsia="Times New Roman" w:cs="Arial"/>
                <w:bCs/>
                <w:szCs w:val="21"/>
              </w:rPr>
              <w:t>0.94</w:t>
            </w:r>
          </w:p>
        </w:tc>
        <w:tc>
          <w:tcPr>
            <w:tcW w:w="1226" w:type="dxa"/>
            <w:tcBorders>
              <w:bottom w:val="nil"/>
            </w:tcBorders>
          </w:tcPr>
          <w:p w:rsidR="00852674" w:rsidRPr="004F54FF" w:rsidRDefault="00930975">
            <w:pPr>
              <w:spacing w:line="360" w:lineRule="auto"/>
              <w:jc w:val="center"/>
              <w:rPr>
                <w:rFonts w:cs="Arial"/>
                <w:color w:val="000000"/>
                <w:szCs w:val="21"/>
              </w:rPr>
            </w:pPr>
            <w:r w:rsidRPr="004F54FF">
              <w:rPr>
                <w:rFonts w:cs="Arial"/>
                <w:color w:val="000000"/>
                <w:szCs w:val="21"/>
              </w:rPr>
              <w:t>&lt;0.001</w:t>
            </w:r>
          </w:p>
        </w:tc>
      </w:tr>
      <w:tr w:rsidR="00852674" w:rsidRPr="004F54FF">
        <w:trPr>
          <w:trHeight w:val="170"/>
          <w:jc w:val="center"/>
        </w:trPr>
        <w:tc>
          <w:tcPr>
            <w:tcW w:w="2552" w:type="dxa"/>
            <w:tcBorders>
              <w:top w:val="nil"/>
              <w:bottom w:val="nil"/>
            </w:tcBorders>
            <w:shd w:val="clear" w:color="auto" w:fill="auto"/>
          </w:tcPr>
          <w:p w:rsidR="00852674" w:rsidRPr="004F54FF" w:rsidRDefault="00930975">
            <w:pPr>
              <w:spacing w:line="360" w:lineRule="auto"/>
              <w:ind w:firstLineChars="50" w:firstLine="105"/>
              <w:rPr>
                <w:rFonts w:cs="Arial"/>
                <w:szCs w:val="21"/>
              </w:rPr>
            </w:pPr>
            <w:r w:rsidRPr="004F54FF">
              <w:rPr>
                <w:rFonts w:cs="Arial"/>
                <w:szCs w:val="21"/>
              </w:rPr>
              <w:t xml:space="preserve">Necrotic volume </w:t>
            </w:r>
          </w:p>
        </w:tc>
        <w:tc>
          <w:tcPr>
            <w:tcW w:w="992" w:type="dxa"/>
            <w:tcBorders>
              <w:top w:val="nil"/>
              <w:bottom w:val="nil"/>
            </w:tcBorders>
            <w:shd w:val="clear" w:color="auto" w:fill="auto"/>
          </w:tcPr>
          <w:p w:rsidR="00852674" w:rsidRPr="004F54FF" w:rsidRDefault="00930975">
            <w:pPr>
              <w:spacing w:line="360" w:lineRule="auto"/>
              <w:jc w:val="center"/>
              <w:rPr>
                <w:rStyle w:val="result"/>
                <w:rFonts w:eastAsia="Times New Roman" w:cs="Arial"/>
                <w:szCs w:val="21"/>
              </w:rPr>
            </w:pPr>
            <w:r w:rsidRPr="004F54FF">
              <w:rPr>
                <w:rStyle w:val="result"/>
                <w:rFonts w:eastAsia="Times New Roman" w:cs="Arial"/>
                <w:szCs w:val="21"/>
              </w:rPr>
              <w:t>0.95</w:t>
            </w:r>
          </w:p>
        </w:tc>
        <w:tc>
          <w:tcPr>
            <w:tcW w:w="1326" w:type="dxa"/>
            <w:tcBorders>
              <w:top w:val="nil"/>
              <w:bottom w:val="nil"/>
            </w:tcBorders>
          </w:tcPr>
          <w:p w:rsidR="00852674" w:rsidRPr="004F54FF" w:rsidRDefault="00930975">
            <w:pPr>
              <w:spacing w:line="360" w:lineRule="auto"/>
              <w:jc w:val="center"/>
              <w:rPr>
                <w:rStyle w:val="result"/>
                <w:rFonts w:eastAsia="Times New Roman" w:cs="Arial"/>
                <w:bCs/>
                <w:szCs w:val="21"/>
              </w:rPr>
            </w:pPr>
            <w:r w:rsidRPr="004F54FF">
              <w:rPr>
                <w:rStyle w:val="result"/>
                <w:rFonts w:eastAsia="Times New Roman" w:cs="Arial"/>
                <w:bCs/>
                <w:szCs w:val="21"/>
              </w:rPr>
              <w:t>0.90 to 0.98</w:t>
            </w:r>
          </w:p>
        </w:tc>
        <w:tc>
          <w:tcPr>
            <w:tcW w:w="1226" w:type="dxa"/>
            <w:tcBorders>
              <w:top w:val="nil"/>
              <w:bottom w:val="nil"/>
            </w:tcBorders>
          </w:tcPr>
          <w:p w:rsidR="00852674" w:rsidRPr="004F54FF" w:rsidRDefault="00930975">
            <w:pPr>
              <w:spacing w:line="360" w:lineRule="auto"/>
              <w:jc w:val="center"/>
              <w:rPr>
                <w:rFonts w:cs="Arial"/>
                <w:color w:val="000000"/>
                <w:szCs w:val="21"/>
              </w:rPr>
            </w:pPr>
            <w:r w:rsidRPr="004F54FF">
              <w:rPr>
                <w:rFonts w:cs="Arial"/>
                <w:color w:val="000000"/>
                <w:szCs w:val="21"/>
              </w:rPr>
              <w:t>&lt;</w:t>
            </w:r>
            <w:r w:rsidRPr="004F54FF">
              <w:rPr>
                <w:rFonts w:cs="Arial"/>
                <w:color w:val="000000"/>
              </w:rPr>
              <w:t>0.001</w:t>
            </w:r>
          </w:p>
        </w:tc>
      </w:tr>
      <w:tr w:rsidR="00852674" w:rsidRPr="004F54FF">
        <w:trPr>
          <w:trHeight w:val="170"/>
          <w:jc w:val="center"/>
        </w:trPr>
        <w:tc>
          <w:tcPr>
            <w:tcW w:w="2552" w:type="dxa"/>
            <w:tcBorders>
              <w:top w:val="nil"/>
              <w:bottom w:val="nil"/>
            </w:tcBorders>
            <w:shd w:val="clear" w:color="auto" w:fill="auto"/>
          </w:tcPr>
          <w:p w:rsidR="00852674" w:rsidRPr="004F54FF" w:rsidRDefault="00930975">
            <w:pPr>
              <w:spacing w:line="360" w:lineRule="auto"/>
              <w:ind w:firstLineChars="50" w:firstLine="105"/>
              <w:rPr>
                <w:rFonts w:cs="Arial"/>
                <w:szCs w:val="21"/>
              </w:rPr>
            </w:pPr>
            <w:r w:rsidRPr="004F54FF">
              <w:rPr>
                <w:rFonts w:cs="Arial"/>
                <w:szCs w:val="21"/>
              </w:rPr>
              <w:t>PCAT</w:t>
            </w:r>
            <w:r w:rsidRPr="004F54FF">
              <w:rPr>
                <w:rFonts w:cs="Arial"/>
                <w:szCs w:val="21"/>
                <w:vertAlign w:val="subscript"/>
              </w:rPr>
              <w:t>RCA</w:t>
            </w:r>
          </w:p>
        </w:tc>
        <w:tc>
          <w:tcPr>
            <w:tcW w:w="992" w:type="dxa"/>
            <w:tcBorders>
              <w:top w:val="nil"/>
              <w:bottom w:val="nil"/>
            </w:tcBorders>
            <w:shd w:val="clear" w:color="auto" w:fill="auto"/>
          </w:tcPr>
          <w:p w:rsidR="00852674" w:rsidRPr="004F54FF" w:rsidRDefault="00930975">
            <w:pPr>
              <w:spacing w:line="360" w:lineRule="auto"/>
              <w:jc w:val="center"/>
              <w:rPr>
                <w:rStyle w:val="result"/>
                <w:rFonts w:eastAsia="Times New Roman" w:cs="Arial"/>
                <w:szCs w:val="21"/>
              </w:rPr>
            </w:pPr>
            <w:r w:rsidRPr="004F54FF">
              <w:rPr>
                <w:rStyle w:val="result"/>
                <w:rFonts w:eastAsia="Times New Roman" w:cs="Arial"/>
                <w:szCs w:val="21"/>
              </w:rPr>
              <w:t>0</w:t>
            </w:r>
            <w:r w:rsidRPr="004F54FF">
              <w:rPr>
                <w:rStyle w:val="result"/>
                <w:rFonts w:eastAsia="Times New Roman" w:cs="Arial"/>
              </w:rPr>
              <w:t>.95</w:t>
            </w:r>
          </w:p>
        </w:tc>
        <w:tc>
          <w:tcPr>
            <w:tcW w:w="1326" w:type="dxa"/>
            <w:tcBorders>
              <w:top w:val="nil"/>
              <w:bottom w:val="nil"/>
            </w:tcBorders>
          </w:tcPr>
          <w:p w:rsidR="00852674" w:rsidRPr="004F54FF" w:rsidRDefault="00930975">
            <w:pPr>
              <w:spacing w:line="360" w:lineRule="auto"/>
              <w:jc w:val="center"/>
              <w:rPr>
                <w:rStyle w:val="result"/>
                <w:rFonts w:eastAsia="Times New Roman" w:cs="Arial"/>
                <w:bCs/>
                <w:szCs w:val="21"/>
              </w:rPr>
            </w:pPr>
            <w:r w:rsidRPr="004F54FF">
              <w:rPr>
                <w:rStyle w:val="result"/>
                <w:rFonts w:eastAsia="Times New Roman" w:cs="Arial"/>
                <w:bCs/>
                <w:szCs w:val="21"/>
              </w:rPr>
              <w:t>0</w:t>
            </w:r>
            <w:r w:rsidRPr="004F54FF">
              <w:rPr>
                <w:rStyle w:val="result"/>
                <w:rFonts w:eastAsia="Times New Roman" w:cs="Arial"/>
                <w:bCs/>
              </w:rPr>
              <w:t>.92 to 0.97</w:t>
            </w:r>
          </w:p>
        </w:tc>
        <w:tc>
          <w:tcPr>
            <w:tcW w:w="1226" w:type="dxa"/>
            <w:tcBorders>
              <w:top w:val="nil"/>
              <w:bottom w:val="nil"/>
            </w:tcBorders>
          </w:tcPr>
          <w:p w:rsidR="00852674" w:rsidRPr="004F54FF" w:rsidRDefault="00930975">
            <w:pPr>
              <w:spacing w:line="360" w:lineRule="auto"/>
              <w:jc w:val="center"/>
              <w:rPr>
                <w:rFonts w:cs="Arial"/>
                <w:color w:val="000000"/>
                <w:szCs w:val="21"/>
              </w:rPr>
            </w:pPr>
            <w:r w:rsidRPr="004F54FF">
              <w:rPr>
                <w:rFonts w:cs="Arial"/>
                <w:color w:val="000000"/>
                <w:szCs w:val="21"/>
              </w:rPr>
              <w:t>&lt;0.001</w:t>
            </w:r>
          </w:p>
        </w:tc>
      </w:tr>
      <w:tr w:rsidR="00852674" w:rsidRPr="004F54FF">
        <w:trPr>
          <w:trHeight w:val="170"/>
          <w:jc w:val="center"/>
        </w:trPr>
        <w:tc>
          <w:tcPr>
            <w:tcW w:w="2552" w:type="dxa"/>
            <w:tcBorders>
              <w:top w:val="nil"/>
              <w:bottom w:val="nil"/>
            </w:tcBorders>
            <w:shd w:val="clear" w:color="auto" w:fill="auto"/>
          </w:tcPr>
          <w:p w:rsidR="00852674" w:rsidRPr="004F54FF" w:rsidRDefault="00930975">
            <w:pPr>
              <w:spacing w:line="360" w:lineRule="auto"/>
              <w:ind w:firstLineChars="50" w:firstLine="105"/>
              <w:rPr>
                <w:rFonts w:cs="Arial"/>
                <w:szCs w:val="21"/>
              </w:rPr>
            </w:pPr>
            <w:r w:rsidRPr="004F54FF">
              <w:rPr>
                <w:rFonts w:cs="Arial"/>
                <w:color w:val="000000"/>
                <w:szCs w:val="21"/>
              </w:rPr>
              <w:t>PCAT</w:t>
            </w:r>
            <w:r w:rsidRPr="004F54FF">
              <w:rPr>
                <w:rFonts w:cs="Arial"/>
                <w:color w:val="000000"/>
                <w:szCs w:val="21"/>
                <w:vertAlign w:val="subscript"/>
              </w:rPr>
              <w:t>LMT</w:t>
            </w:r>
          </w:p>
        </w:tc>
        <w:tc>
          <w:tcPr>
            <w:tcW w:w="992" w:type="dxa"/>
            <w:tcBorders>
              <w:top w:val="nil"/>
              <w:bottom w:val="nil"/>
            </w:tcBorders>
            <w:shd w:val="clear" w:color="auto" w:fill="auto"/>
          </w:tcPr>
          <w:p w:rsidR="00852674" w:rsidRPr="004F54FF" w:rsidRDefault="00930975">
            <w:pPr>
              <w:spacing w:line="360" w:lineRule="auto"/>
              <w:jc w:val="center"/>
              <w:rPr>
                <w:rStyle w:val="result"/>
                <w:rFonts w:eastAsia="Times New Roman" w:cs="Arial"/>
                <w:szCs w:val="21"/>
              </w:rPr>
            </w:pPr>
            <w:r w:rsidRPr="004F54FF">
              <w:rPr>
                <w:rStyle w:val="result"/>
                <w:rFonts w:eastAsia="Times New Roman" w:cs="Arial" w:hint="eastAsia"/>
                <w:szCs w:val="21"/>
              </w:rPr>
              <w:t>0</w:t>
            </w:r>
            <w:r w:rsidRPr="004F54FF">
              <w:rPr>
                <w:rStyle w:val="result"/>
                <w:rFonts w:eastAsia="Times New Roman"/>
              </w:rPr>
              <w:t>.96</w:t>
            </w:r>
          </w:p>
        </w:tc>
        <w:tc>
          <w:tcPr>
            <w:tcW w:w="1326" w:type="dxa"/>
            <w:tcBorders>
              <w:top w:val="nil"/>
              <w:bottom w:val="nil"/>
            </w:tcBorders>
          </w:tcPr>
          <w:p w:rsidR="00852674" w:rsidRPr="004F54FF" w:rsidRDefault="00930975">
            <w:pPr>
              <w:spacing w:line="360" w:lineRule="auto"/>
              <w:rPr>
                <w:rStyle w:val="result"/>
                <w:rFonts w:eastAsia="Times New Roman" w:cs="Arial"/>
                <w:bCs/>
                <w:szCs w:val="21"/>
              </w:rPr>
            </w:pPr>
            <w:r w:rsidRPr="004F54FF">
              <w:rPr>
                <w:rStyle w:val="result"/>
                <w:rFonts w:eastAsia="Times New Roman" w:cs="Arial" w:hint="eastAsia"/>
                <w:bCs/>
                <w:szCs w:val="21"/>
              </w:rPr>
              <w:t>0</w:t>
            </w:r>
            <w:r w:rsidRPr="004F54FF">
              <w:rPr>
                <w:rStyle w:val="result"/>
                <w:rFonts w:eastAsia="Times New Roman" w:cs="Arial"/>
                <w:bCs/>
                <w:szCs w:val="21"/>
              </w:rPr>
              <w:t>.93 to 0.98</w:t>
            </w:r>
          </w:p>
        </w:tc>
        <w:tc>
          <w:tcPr>
            <w:tcW w:w="1226" w:type="dxa"/>
            <w:tcBorders>
              <w:top w:val="nil"/>
              <w:bottom w:val="nil"/>
            </w:tcBorders>
          </w:tcPr>
          <w:p w:rsidR="00852674" w:rsidRPr="004F54FF" w:rsidRDefault="00930975">
            <w:pPr>
              <w:spacing w:line="360" w:lineRule="auto"/>
              <w:jc w:val="center"/>
              <w:rPr>
                <w:rFonts w:cs="Arial"/>
                <w:color w:val="000000"/>
                <w:szCs w:val="21"/>
              </w:rPr>
            </w:pPr>
            <w:r w:rsidRPr="004F54FF">
              <w:rPr>
                <w:rFonts w:cs="Arial" w:hint="eastAsia"/>
                <w:color w:val="000000"/>
                <w:szCs w:val="21"/>
              </w:rPr>
              <w:t>&lt;</w:t>
            </w:r>
            <w:r w:rsidRPr="004F54FF">
              <w:rPr>
                <w:rFonts w:cs="Arial"/>
                <w:color w:val="000000"/>
                <w:szCs w:val="21"/>
              </w:rPr>
              <w:t>0.001</w:t>
            </w:r>
          </w:p>
        </w:tc>
      </w:tr>
      <w:tr w:rsidR="00852674" w:rsidRPr="004F54FF">
        <w:trPr>
          <w:trHeight w:val="170"/>
          <w:jc w:val="center"/>
        </w:trPr>
        <w:tc>
          <w:tcPr>
            <w:tcW w:w="2552" w:type="dxa"/>
            <w:tcBorders>
              <w:top w:val="nil"/>
              <w:bottom w:val="single" w:sz="4" w:space="0" w:color="auto"/>
            </w:tcBorders>
            <w:shd w:val="clear" w:color="auto" w:fill="auto"/>
          </w:tcPr>
          <w:p w:rsidR="00852674" w:rsidRPr="004F54FF" w:rsidRDefault="00930975">
            <w:pPr>
              <w:spacing w:line="360" w:lineRule="auto"/>
              <w:ind w:firstLineChars="50" w:firstLine="105"/>
              <w:rPr>
                <w:rFonts w:cs="Arial"/>
                <w:szCs w:val="21"/>
              </w:rPr>
            </w:pPr>
            <w:r w:rsidRPr="004F54FF">
              <w:rPr>
                <w:rFonts w:cs="Arial"/>
                <w:color w:val="000000"/>
                <w:szCs w:val="21"/>
              </w:rPr>
              <w:t>PCAT</w:t>
            </w:r>
            <w:r w:rsidRPr="004F54FF">
              <w:rPr>
                <w:rFonts w:cs="Arial"/>
                <w:color w:val="000000"/>
                <w:szCs w:val="21"/>
                <w:vertAlign w:val="subscript"/>
              </w:rPr>
              <w:t>LAD</w:t>
            </w:r>
          </w:p>
        </w:tc>
        <w:tc>
          <w:tcPr>
            <w:tcW w:w="992" w:type="dxa"/>
            <w:tcBorders>
              <w:top w:val="nil"/>
              <w:bottom w:val="single" w:sz="4" w:space="0" w:color="auto"/>
            </w:tcBorders>
            <w:shd w:val="clear" w:color="auto" w:fill="auto"/>
          </w:tcPr>
          <w:p w:rsidR="00852674" w:rsidRPr="004F54FF" w:rsidRDefault="00930975">
            <w:pPr>
              <w:spacing w:line="360" w:lineRule="auto"/>
              <w:jc w:val="center"/>
              <w:rPr>
                <w:rStyle w:val="result"/>
                <w:rFonts w:eastAsia="Times New Roman" w:cs="Arial"/>
                <w:szCs w:val="21"/>
              </w:rPr>
            </w:pPr>
            <w:r w:rsidRPr="004F54FF">
              <w:rPr>
                <w:rStyle w:val="result"/>
                <w:rFonts w:eastAsia="Times New Roman" w:cs="Arial" w:hint="eastAsia"/>
                <w:szCs w:val="21"/>
              </w:rPr>
              <w:t>0</w:t>
            </w:r>
            <w:r w:rsidRPr="004F54FF">
              <w:rPr>
                <w:rStyle w:val="result"/>
                <w:rFonts w:eastAsia="Times New Roman"/>
              </w:rPr>
              <w:t>.94</w:t>
            </w:r>
          </w:p>
        </w:tc>
        <w:tc>
          <w:tcPr>
            <w:tcW w:w="1326" w:type="dxa"/>
            <w:tcBorders>
              <w:top w:val="nil"/>
              <w:bottom w:val="single" w:sz="4" w:space="0" w:color="auto"/>
            </w:tcBorders>
          </w:tcPr>
          <w:p w:rsidR="00852674" w:rsidRPr="004F54FF" w:rsidRDefault="00930975">
            <w:pPr>
              <w:spacing w:line="360" w:lineRule="auto"/>
              <w:jc w:val="center"/>
              <w:rPr>
                <w:rStyle w:val="result"/>
                <w:rFonts w:eastAsia="Times New Roman" w:cs="Arial"/>
                <w:bCs/>
                <w:szCs w:val="21"/>
              </w:rPr>
            </w:pPr>
            <w:r w:rsidRPr="004F54FF">
              <w:rPr>
                <w:rStyle w:val="result"/>
                <w:rFonts w:eastAsia="Times New Roman" w:cs="Arial" w:hint="eastAsia"/>
                <w:bCs/>
                <w:szCs w:val="21"/>
              </w:rPr>
              <w:t>0</w:t>
            </w:r>
            <w:r w:rsidRPr="004F54FF">
              <w:rPr>
                <w:rStyle w:val="result"/>
                <w:rFonts w:eastAsia="Times New Roman" w:cs="Arial"/>
                <w:bCs/>
                <w:szCs w:val="21"/>
              </w:rPr>
              <w:t>.92 to 0.97</w:t>
            </w:r>
          </w:p>
        </w:tc>
        <w:tc>
          <w:tcPr>
            <w:tcW w:w="1226" w:type="dxa"/>
            <w:tcBorders>
              <w:top w:val="nil"/>
              <w:bottom w:val="single" w:sz="4" w:space="0" w:color="auto"/>
            </w:tcBorders>
          </w:tcPr>
          <w:p w:rsidR="00852674" w:rsidRPr="004F54FF" w:rsidRDefault="00930975">
            <w:pPr>
              <w:spacing w:line="360" w:lineRule="auto"/>
              <w:jc w:val="center"/>
              <w:rPr>
                <w:rFonts w:cs="Arial"/>
                <w:color w:val="000000"/>
                <w:szCs w:val="21"/>
              </w:rPr>
            </w:pPr>
            <w:r w:rsidRPr="004F54FF">
              <w:rPr>
                <w:rFonts w:cs="Arial" w:hint="eastAsia"/>
                <w:color w:val="000000"/>
                <w:szCs w:val="21"/>
              </w:rPr>
              <w:t>&lt;</w:t>
            </w:r>
            <w:r w:rsidRPr="004F54FF">
              <w:rPr>
                <w:rFonts w:cs="Arial"/>
                <w:color w:val="000000"/>
                <w:szCs w:val="21"/>
              </w:rPr>
              <w:t>0.001</w:t>
            </w:r>
          </w:p>
        </w:tc>
      </w:tr>
    </w:tbl>
    <w:p w:rsidR="00852674" w:rsidRPr="004F54FF" w:rsidRDefault="00930975">
      <w:pPr>
        <w:spacing w:line="360" w:lineRule="auto"/>
        <w:jc w:val="left"/>
        <w:rPr>
          <w:rFonts w:cs="Arial"/>
          <w:szCs w:val="21"/>
        </w:rPr>
        <w:sectPr w:rsidR="00852674" w:rsidRPr="004F54FF">
          <w:pgSz w:w="11900" w:h="16840"/>
          <w:pgMar w:top="1440" w:right="1800" w:bottom="1440" w:left="1800" w:header="851" w:footer="992" w:gutter="0"/>
          <w:cols w:space="425"/>
          <w:docGrid w:type="lines" w:linePitch="312"/>
        </w:sectPr>
      </w:pPr>
      <w:r w:rsidRPr="004F54FF">
        <w:rPr>
          <w:rFonts w:cs="Arial"/>
          <w:szCs w:val="21"/>
        </w:rPr>
        <w:t xml:space="preserve">Abbreviations: CI= confidence interval; LAD= left anterior descending; LMT= left main trunk; PCAT= Pericoronary adipose tissue; RCA= right coronary artery; ICC= </w:t>
      </w:r>
      <w:r w:rsidRPr="004F54FF">
        <w:rPr>
          <w:rFonts w:eastAsia="Times New Roman" w:cs="Arial"/>
          <w:szCs w:val="21"/>
          <w:shd w:val="clear" w:color="auto" w:fill="FFFFFF"/>
        </w:rPr>
        <w:t>Intraclass correlation coefficient</w:t>
      </w:r>
      <w:r w:rsidRPr="004F54FF">
        <w:rPr>
          <w:rFonts w:cs="Arial"/>
          <w:szCs w:val="21"/>
        </w:rPr>
        <w:t xml:space="preserve"> </w:t>
      </w:r>
    </w:p>
    <w:p w:rsidR="00852674" w:rsidRPr="004F54FF" w:rsidRDefault="00816953">
      <w:pPr>
        <w:spacing w:line="360" w:lineRule="auto"/>
        <w:jc w:val="left"/>
        <w:rPr>
          <w:rFonts w:cs="Arial"/>
          <w:szCs w:val="21"/>
        </w:rPr>
      </w:pPr>
      <w:r w:rsidRPr="004F54FF">
        <w:rPr>
          <w:rFonts w:cs="Arial"/>
          <w:noProof/>
          <w:szCs w:val="21"/>
          <w:lang w:eastAsia="en-US"/>
        </w:rPr>
        <w:drawing>
          <wp:inline distT="0" distB="0" distL="0" distR="0">
            <wp:extent cx="8864600" cy="361251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nline figure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864600" cy="3612515"/>
                    </a:xfrm>
                    <a:prstGeom prst="rect">
                      <a:avLst/>
                    </a:prstGeom>
                  </pic:spPr>
                </pic:pic>
              </a:graphicData>
            </a:graphic>
          </wp:inline>
        </w:drawing>
      </w:r>
    </w:p>
    <w:p w:rsidR="00852674" w:rsidRPr="004F54FF" w:rsidRDefault="00930975">
      <w:pPr>
        <w:widowControl/>
        <w:spacing w:line="480" w:lineRule="auto"/>
        <w:jc w:val="center"/>
        <w:rPr>
          <w:rFonts w:cs="Arial"/>
          <w:b/>
          <w:bCs/>
          <w:szCs w:val="21"/>
        </w:rPr>
      </w:pPr>
      <w:r w:rsidRPr="004F54FF">
        <w:rPr>
          <w:rFonts w:cs="Arial"/>
          <w:b/>
          <w:bCs/>
          <w:szCs w:val="21"/>
        </w:rPr>
        <w:t xml:space="preserve">Online Figure </w:t>
      </w:r>
      <w:r w:rsidR="0062627B" w:rsidRPr="004F54FF">
        <w:rPr>
          <w:rFonts w:cs="Arial"/>
          <w:b/>
          <w:bCs/>
          <w:szCs w:val="21"/>
        </w:rPr>
        <w:t>1</w:t>
      </w:r>
      <w:r w:rsidRPr="004F54FF">
        <w:rPr>
          <w:rFonts w:cs="Arial"/>
          <w:b/>
          <w:bCs/>
          <w:szCs w:val="21"/>
        </w:rPr>
        <w:t>: A representative case of a type 2 diabetes patients treated with evolocumab for 48-week.</w:t>
      </w:r>
    </w:p>
    <w:p w:rsidR="00852674" w:rsidRPr="004F54FF" w:rsidRDefault="00852674">
      <w:pPr>
        <w:spacing w:line="360" w:lineRule="auto"/>
        <w:jc w:val="left"/>
        <w:rPr>
          <w:rFonts w:cs="Arial"/>
          <w:szCs w:val="21"/>
        </w:rPr>
      </w:pPr>
    </w:p>
    <w:p w:rsidR="00852674" w:rsidRPr="004F54FF" w:rsidRDefault="00852674">
      <w:pPr>
        <w:spacing w:line="360" w:lineRule="auto"/>
        <w:jc w:val="left"/>
        <w:rPr>
          <w:rFonts w:cs="Arial"/>
          <w:szCs w:val="21"/>
        </w:rPr>
        <w:sectPr w:rsidR="00852674" w:rsidRPr="004F54FF">
          <w:pgSz w:w="16840" w:h="11900" w:orient="landscape"/>
          <w:pgMar w:top="1800" w:right="1440" w:bottom="1800" w:left="1440" w:header="851" w:footer="992" w:gutter="0"/>
          <w:cols w:space="425"/>
          <w:docGrid w:type="lines" w:linePitch="312"/>
        </w:sectPr>
      </w:pPr>
    </w:p>
    <w:p w:rsidR="00852674" w:rsidRPr="004F54FF" w:rsidRDefault="00930975">
      <w:pPr>
        <w:widowControl/>
        <w:spacing w:line="480" w:lineRule="auto"/>
        <w:rPr>
          <w:rFonts w:cs="Arial"/>
          <w:szCs w:val="21"/>
        </w:rPr>
      </w:pPr>
      <w:r w:rsidRPr="004F54FF">
        <w:rPr>
          <w:rFonts w:cs="Arial"/>
          <w:szCs w:val="21"/>
        </w:rPr>
        <w:t>(A)-(G): The baseline LDL-C and Lp(a) level was 3.4 mmol/L and 51 mg/dL, respectively. Baseline CCTA revealed mixed plaque with moderate stenosis from the end of the left main trunk to the middle segment of left anterior descending artery, and noncalcified plaque with severe stenosis within the middle segment of right coronary artery. The total plaque volume, noncalcified plaque volume, calcified plaque volume and necrotic volume was 1767.14 mm</w:t>
      </w:r>
      <w:r w:rsidRPr="004F54FF">
        <w:rPr>
          <w:rFonts w:cs="Arial"/>
          <w:szCs w:val="21"/>
          <w:vertAlign w:val="superscript"/>
        </w:rPr>
        <w:t>3</w:t>
      </w:r>
      <w:r w:rsidRPr="004F54FF">
        <w:rPr>
          <w:rFonts w:cs="Arial"/>
          <w:szCs w:val="21"/>
        </w:rPr>
        <w:t>, 1640.73 mm</w:t>
      </w:r>
      <w:r w:rsidRPr="004F54FF">
        <w:rPr>
          <w:rFonts w:cs="Arial"/>
          <w:szCs w:val="21"/>
          <w:vertAlign w:val="superscript"/>
        </w:rPr>
        <w:t>3</w:t>
      </w:r>
      <w:r w:rsidRPr="004F54FF">
        <w:rPr>
          <w:rFonts w:cs="Arial"/>
          <w:szCs w:val="21"/>
        </w:rPr>
        <w:t>, 125.89 mm</w:t>
      </w:r>
      <w:r w:rsidRPr="004F54FF">
        <w:rPr>
          <w:rFonts w:cs="Arial"/>
          <w:szCs w:val="21"/>
          <w:vertAlign w:val="superscript"/>
        </w:rPr>
        <w:t>3</w:t>
      </w:r>
      <w:r w:rsidRPr="004F54FF">
        <w:rPr>
          <w:rFonts w:cs="Arial"/>
          <w:szCs w:val="21"/>
        </w:rPr>
        <w:t xml:space="preserve"> and 1004.79 mm</w:t>
      </w:r>
      <w:r w:rsidRPr="004F54FF">
        <w:rPr>
          <w:rFonts w:cs="Arial"/>
          <w:szCs w:val="21"/>
          <w:vertAlign w:val="superscript"/>
        </w:rPr>
        <w:t>3</w:t>
      </w:r>
      <w:r w:rsidRPr="004F54FF">
        <w:rPr>
          <w:rFonts w:cs="Arial"/>
          <w:szCs w:val="21"/>
        </w:rPr>
        <w:t>. The PCAT density of right coronary artery attenuated was -78 Hu.</w:t>
      </w:r>
    </w:p>
    <w:p w:rsidR="00852674" w:rsidRPr="004F54FF" w:rsidRDefault="00930975">
      <w:pPr>
        <w:widowControl/>
        <w:spacing w:line="480" w:lineRule="auto"/>
        <w:rPr>
          <w:rFonts w:cs="Arial"/>
          <w:szCs w:val="21"/>
        </w:rPr>
      </w:pPr>
      <w:r w:rsidRPr="004F54FF">
        <w:rPr>
          <w:rFonts w:cs="Arial"/>
          <w:szCs w:val="21"/>
        </w:rPr>
        <w:t>(H)-(N): After 48-week treatment, both the LDL-C and Lp(a) level were reduced to 1.7 mmol/L and 11 mg/dL, respectively. The follow-up CCTA revealed the lesion regression with minimal stenosis. The total plaque volume, noncalcified plaque volume, and necrotic volume decreased to 502.89 mm</w:t>
      </w:r>
      <w:r w:rsidRPr="004F54FF">
        <w:rPr>
          <w:rFonts w:cs="Arial"/>
          <w:szCs w:val="21"/>
          <w:vertAlign w:val="superscript"/>
        </w:rPr>
        <w:t>3</w:t>
      </w:r>
      <w:r w:rsidRPr="004F54FF">
        <w:rPr>
          <w:rFonts w:cs="Arial"/>
          <w:szCs w:val="21"/>
        </w:rPr>
        <w:t>, 312.45 mm</w:t>
      </w:r>
      <w:r w:rsidRPr="004F54FF">
        <w:rPr>
          <w:rFonts w:cs="Arial"/>
          <w:szCs w:val="21"/>
          <w:vertAlign w:val="superscript"/>
        </w:rPr>
        <w:t>3</w:t>
      </w:r>
      <w:r w:rsidRPr="004F54FF">
        <w:rPr>
          <w:rFonts w:cs="Arial"/>
          <w:szCs w:val="21"/>
        </w:rPr>
        <w:t xml:space="preserve"> and 56.89 mm</w:t>
      </w:r>
      <w:r w:rsidRPr="004F54FF">
        <w:rPr>
          <w:rFonts w:cs="Arial"/>
          <w:szCs w:val="21"/>
          <w:vertAlign w:val="superscript"/>
        </w:rPr>
        <w:t>3</w:t>
      </w:r>
      <w:r w:rsidRPr="004F54FF">
        <w:rPr>
          <w:rFonts w:cs="Arial"/>
          <w:szCs w:val="21"/>
        </w:rPr>
        <w:t>. The calcified plaque volume increased to 190.44 mm3. Furthermore, the PCAT density of RCA attenuated to -86 Hu.</w:t>
      </w:r>
    </w:p>
    <w:p w:rsidR="00852674" w:rsidRPr="004F54FF" w:rsidRDefault="00930975">
      <w:pPr>
        <w:widowControl/>
        <w:spacing w:line="480" w:lineRule="auto"/>
        <w:rPr>
          <w:rFonts w:cs="Arial"/>
          <w:szCs w:val="21"/>
        </w:rPr>
        <w:sectPr w:rsidR="00852674" w:rsidRPr="004F54FF">
          <w:pgSz w:w="11900" w:h="16840"/>
          <w:pgMar w:top="1440" w:right="1800" w:bottom="1440" w:left="1800" w:header="851" w:footer="992" w:gutter="0"/>
          <w:cols w:space="425"/>
          <w:docGrid w:type="lines" w:linePitch="312"/>
        </w:sectPr>
      </w:pPr>
      <w:r w:rsidRPr="004F54FF">
        <w:rPr>
          <w:rFonts w:cs="Arial"/>
          <w:szCs w:val="21"/>
        </w:rPr>
        <w:t xml:space="preserve">Abbreviation: CCTA= coronary computed tomography angiography; HU= </w:t>
      </w:r>
      <w:proofErr w:type="spellStart"/>
      <w:r w:rsidRPr="004F54FF">
        <w:rPr>
          <w:rFonts w:cs="Arial"/>
          <w:szCs w:val="21"/>
        </w:rPr>
        <w:t>hounsfield</w:t>
      </w:r>
      <w:proofErr w:type="spellEnd"/>
      <w:r w:rsidRPr="004F54FF">
        <w:rPr>
          <w:rFonts w:cs="Arial"/>
          <w:szCs w:val="21"/>
        </w:rPr>
        <w:t xml:space="preserve"> unit; </w:t>
      </w:r>
      <w:proofErr w:type="spellStart"/>
      <w:r w:rsidRPr="004F54FF">
        <w:rPr>
          <w:rFonts w:cs="Arial"/>
          <w:szCs w:val="21"/>
        </w:rPr>
        <w:t>Lp</w:t>
      </w:r>
      <w:proofErr w:type="spellEnd"/>
      <w:r w:rsidRPr="004F54FF">
        <w:rPr>
          <w:rFonts w:cs="Arial"/>
          <w:szCs w:val="21"/>
        </w:rPr>
        <w:t>(a)= lipoprotein(a); LDL-C= low-density lipoprotein cholesterol; PCAT= pericoronary adipose tissue</w:t>
      </w:r>
    </w:p>
    <w:p w:rsidR="00852674" w:rsidRPr="004F54FF" w:rsidRDefault="00C90869">
      <w:pPr>
        <w:widowControl/>
        <w:spacing w:line="480" w:lineRule="auto"/>
        <w:jc w:val="center"/>
        <w:rPr>
          <w:rFonts w:cs="Arial"/>
          <w:szCs w:val="21"/>
        </w:rPr>
      </w:pPr>
      <w:r w:rsidRPr="004F54FF">
        <w:rPr>
          <w:rFonts w:cs="Arial"/>
          <w:noProof/>
          <w:szCs w:val="21"/>
          <w:lang w:eastAsia="en-US"/>
        </w:rPr>
        <w:drawing>
          <wp:inline distT="0" distB="0" distL="0" distR="0">
            <wp:extent cx="5237046" cy="3452495"/>
            <wp:effectExtent l="0" t="0" r="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nline figure 2.jpg"/>
                    <pic:cNvPicPr/>
                  </pic:nvPicPr>
                  <pic:blipFill rotWithShape="1">
                    <a:blip r:embed="rId6" cstate="print">
                      <a:extLst>
                        <a:ext uri="{28A0092B-C50C-407E-A947-70E740481C1C}">
                          <a14:useLocalDpi xmlns:a14="http://schemas.microsoft.com/office/drawing/2010/main" val="0"/>
                        </a:ext>
                      </a:extLst>
                    </a:blip>
                    <a:srcRect l="634" r="1"/>
                    <a:stretch/>
                  </pic:blipFill>
                  <pic:spPr bwMode="auto">
                    <a:xfrm>
                      <a:off x="0" y="0"/>
                      <a:ext cx="5237046" cy="3452495"/>
                    </a:xfrm>
                    <a:prstGeom prst="rect">
                      <a:avLst/>
                    </a:prstGeom>
                    <a:ln>
                      <a:noFill/>
                    </a:ln>
                    <a:extLst>
                      <a:ext uri="{53640926-AAD7-44D8-BBD7-CCE9431645EC}">
                        <a14:shadowObscured xmlns:a14="http://schemas.microsoft.com/office/drawing/2010/main"/>
                      </a:ext>
                    </a:extLst>
                  </pic:spPr>
                </pic:pic>
              </a:graphicData>
            </a:graphic>
          </wp:inline>
        </w:drawing>
      </w:r>
    </w:p>
    <w:p w:rsidR="00852674" w:rsidRPr="004F54FF" w:rsidRDefault="00930975">
      <w:pPr>
        <w:spacing w:line="480" w:lineRule="auto"/>
        <w:rPr>
          <w:rFonts w:cs="Arial"/>
          <w:b/>
          <w:bCs/>
          <w:szCs w:val="21"/>
        </w:rPr>
      </w:pPr>
      <w:r w:rsidRPr="004F54FF">
        <w:rPr>
          <w:rFonts w:cs="Arial"/>
          <w:b/>
          <w:bCs/>
          <w:szCs w:val="21"/>
        </w:rPr>
        <w:t xml:space="preserve">Online figure 2: Correlation analysis between PCAT, achieved Lp(a) levels and LDL-C levels. </w:t>
      </w:r>
    </w:p>
    <w:p w:rsidR="00852674" w:rsidRPr="004F54FF" w:rsidRDefault="00930975">
      <w:pPr>
        <w:widowControl/>
        <w:spacing w:line="480" w:lineRule="auto"/>
        <w:rPr>
          <w:rFonts w:ascii="SimSun" w:hAnsi="SimSun" w:cs="SimSun"/>
          <w:color w:val="auto"/>
          <w:kern w:val="0"/>
          <w:sz w:val="24"/>
        </w:rPr>
      </w:pPr>
      <w:r w:rsidRPr="004F54FF">
        <w:rPr>
          <w:rFonts w:cs="Arial"/>
          <w:szCs w:val="21"/>
        </w:rPr>
        <w:t>Abbreviation: HU= Hounsfield unit; LAD= left anterior descending; LDL-C= low-density lipoprotein cholesterol; LMT= left main trunk; Lp(a)= lipoprotein(a); PCAT= pericoronary adipose tissue</w:t>
      </w:r>
    </w:p>
    <w:p w:rsidR="00852674" w:rsidRPr="004F54FF" w:rsidRDefault="00852674">
      <w:pPr>
        <w:spacing w:line="480" w:lineRule="auto"/>
        <w:rPr>
          <w:rFonts w:cs="Arial"/>
          <w:b/>
          <w:bCs/>
          <w:szCs w:val="21"/>
        </w:rPr>
      </w:pPr>
    </w:p>
    <w:p w:rsidR="00852674" w:rsidRDefault="00852674">
      <w:pPr>
        <w:widowControl/>
        <w:spacing w:line="480" w:lineRule="auto"/>
        <w:jc w:val="center"/>
        <w:rPr>
          <w:rFonts w:cs="Arial"/>
          <w:szCs w:val="21"/>
        </w:rPr>
      </w:pPr>
    </w:p>
    <w:p w:rsidR="00852674" w:rsidRDefault="00852674">
      <w:pPr>
        <w:widowControl/>
        <w:spacing w:line="480" w:lineRule="auto"/>
        <w:jc w:val="center"/>
        <w:rPr>
          <w:rFonts w:cs="Arial"/>
          <w:szCs w:val="21"/>
        </w:rPr>
      </w:pPr>
    </w:p>
    <w:p w:rsidR="00852674" w:rsidRDefault="00852674" w:rsidP="00FB6F40">
      <w:pPr>
        <w:widowControl/>
        <w:jc w:val="left"/>
        <w:rPr>
          <w:rFonts w:cs="Arial"/>
          <w:b/>
          <w:bCs/>
        </w:rPr>
      </w:pPr>
    </w:p>
    <w:sectPr w:rsidR="00852674">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正文 CS 字体)">
    <w:altName w:val="SimSun"/>
    <w:charset w:val="86"/>
    <w:family w:val="auto"/>
    <w:pitch w:val="default"/>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default"/>
    <w:sig w:usb0="00000000" w:usb1="38CF7CFA" w:usb2="00000016" w:usb3="00000000" w:csb0="0004000F" w:csb1="00000000"/>
  </w:font>
  <w:font w:name="DengXian">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ECD"/>
    <w:rsid w:val="9E7FD9FD"/>
    <w:rsid w:val="EFCF0E6A"/>
    <w:rsid w:val="FFBD7307"/>
    <w:rsid w:val="00012647"/>
    <w:rsid w:val="00014681"/>
    <w:rsid w:val="00024464"/>
    <w:rsid w:val="000412D3"/>
    <w:rsid w:val="000508D3"/>
    <w:rsid w:val="00063CC6"/>
    <w:rsid w:val="000708D2"/>
    <w:rsid w:val="0007252E"/>
    <w:rsid w:val="00073AF4"/>
    <w:rsid w:val="0009080E"/>
    <w:rsid w:val="000946E6"/>
    <w:rsid w:val="000B7EA5"/>
    <w:rsid w:val="000C4F9D"/>
    <w:rsid w:val="000C5DE3"/>
    <w:rsid w:val="000C6D4F"/>
    <w:rsid w:val="000E1013"/>
    <w:rsid w:val="000E33F6"/>
    <w:rsid w:val="000F3323"/>
    <w:rsid w:val="000F3DA9"/>
    <w:rsid w:val="000F47CB"/>
    <w:rsid w:val="000F63D4"/>
    <w:rsid w:val="00107CE3"/>
    <w:rsid w:val="0011228A"/>
    <w:rsid w:val="00115075"/>
    <w:rsid w:val="001245BA"/>
    <w:rsid w:val="00142475"/>
    <w:rsid w:val="00152260"/>
    <w:rsid w:val="00152EA2"/>
    <w:rsid w:val="00155FC2"/>
    <w:rsid w:val="00194B2D"/>
    <w:rsid w:val="001A627A"/>
    <w:rsid w:val="001A7874"/>
    <w:rsid w:val="001B273C"/>
    <w:rsid w:val="001C7E6D"/>
    <w:rsid w:val="001D3894"/>
    <w:rsid w:val="001D5E18"/>
    <w:rsid w:val="001E324D"/>
    <w:rsid w:val="001E6D4A"/>
    <w:rsid w:val="001F423F"/>
    <w:rsid w:val="00201635"/>
    <w:rsid w:val="00203A81"/>
    <w:rsid w:val="00204F8B"/>
    <w:rsid w:val="00216F04"/>
    <w:rsid w:val="002173D7"/>
    <w:rsid w:val="00230ED9"/>
    <w:rsid w:val="002357D8"/>
    <w:rsid w:val="00246AF9"/>
    <w:rsid w:val="00253C0B"/>
    <w:rsid w:val="00261F8B"/>
    <w:rsid w:val="00263079"/>
    <w:rsid w:val="00287A6F"/>
    <w:rsid w:val="00293914"/>
    <w:rsid w:val="002A2512"/>
    <w:rsid w:val="002B0369"/>
    <w:rsid w:val="002B5EE5"/>
    <w:rsid w:val="002B7F6A"/>
    <w:rsid w:val="002D5B26"/>
    <w:rsid w:val="002E2C99"/>
    <w:rsid w:val="002F1F37"/>
    <w:rsid w:val="002F3669"/>
    <w:rsid w:val="003065BC"/>
    <w:rsid w:val="0033498D"/>
    <w:rsid w:val="00334CCE"/>
    <w:rsid w:val="00345F73"/>
    <w:rsid w:val="0035103F"/>
    <w:rsid w:val="0039653E"/>
    <w:rsid w:val="003A5D37"/>
    <w:rsid w:val="003A7DD1"/>
    <w:rsid w:val="003D072C"/>
    <w:rsid w:val="003D468F"/>
    <w:rsid w:val="003E682C"/>
    <w:rsid w:val="00403258"/>
    <w:rsid w:val="0040455F"/>
    <w:rsid w:val="004107EC"/>
    <w:rsid w:val="00421226"/>
    <w:rsid w:val="00427102"/>
    <w:rsid w:val="00457C30"/>
    <w:rsid w:val="00467D16"/>
    <w:rsid w:val="00470410"/>
    <w:rsid w:val="00471B0F"/>
    <w:rsid w:val="004766BF"/>
    <w:rsid w:val="00477117"/>
    <w:rsid w:val="00483321"/>
    <w:rsid w:val="004A4305"/>
    <w:rsid w:val="004A4523"/>
    <w:rsid w:val="004A5BB1"/>
    <w:rsid w:val="004A71EE"/>
    <w:rsid w:val="004A7F10"/>
    <w:rsid w:val="004B04AA"/>
    <w:rsid w:val="004C23A0"/>
    <w:rsid w:val="004C5372"/>
    <w:rsid w:val="004D41AA"/>
    <w:rsid w:val="004E0DE3"/>
    <w:rsid w:val="004F54FF"/>
    <w:rsid w:val="00500E73"/>
    <w:rsid w:val="005177C3"/>
    <w:rsid w:val="005313A0"/>
    <w:rsid w:val="005325B9"/>
    <w:rsid w:val="00550C6B"/>
    <w:rsid w:val="00557F4D"/>
    <w:rsid w:val="005601BC"/>
    <w:rsid w:val="00561CD7"/>
    <w:rsid w:val="00567A9F"/>
    <w:rsid w:val="00570E49"/>
    <w:rsid w:val="00574ADA"/>
    <w:rsid w:val="00576C4B"/>
    <w:rsid w:val="00591EBE"/>
    <w:rsid w:val="00596ECD"/>
    <w:rsid w:val="005B42C7"/>
    <w:rsid w:val="005C593C"/>
    <w:rsid w:val="005D197F"/>
    <w:rsid w:val="005D65DA"/>
    <w:rsid w:val="006132C9"/>
    <w:rsid w:val="0062627B"/>
    <w:rsid w:val="006300D0"/>
    <w:rsid w:val="00633D96"/>
    <w:rsid w:val="00641D01"/>
    <w:rsid w:val="006438DD"/>
    <w:rsid w:val="00660ABD"/>
    <w:rsid w:val="00696EE5"/>
    <w:rsid w:val="006A0387"/>
    <w:rsid w:val="006C6E48"/>
    <w:rsid w:val="006D5B28"/>
    <w:rsid w:val="006E1E99"/>
    <w:rsid w:val="006E3F87"/>
    <w:rsid w:val="006E7B0C"/>
    <w:rsid w:val="006F3DA0"/>
    <w:rsid w:val="007025CC"/>
    <w:rsid w:val="007166FC"/>
    <w:rsid w:val="00720095"/>
    <w:rsid w:val="007226F8"/>
    <w:rsid w:val="00722E8B"/>
    <w:rsid w:val="00736108"/>
    <w:rsid w:val="00741FF6"/>
    <w:rsid w:val="00755A95"/>
    <w:rsid w:val="007668AF"/>
    <w:rsid w:val="00772FDD"/>
    <w:rsid w:val="007763AC"/>
    <w:rsid w:val="00783DCE"/>
    <w:rsid w:val="00792798"/>
    <w:rsid w:val="007B2B31"/>
    <w:rsid w:val="007B3F82"/>
    <w:rsid w:val="007C70DD"/>
    <w:rsid w:val="007D3779"/>
    <w:rsid w:val="007D4497"/>
    <w:rsid w:val="007D54E9"/>
    <w:rsid w:val="007E64EA"/>
    <w:rsid w:val="007F2321"/>
    <w:rsid w:val="007F4C53"/>
    <w:rsid w:val="00816953"/>
    <w:rsid w:val="00831937"/>
    <w:rsid w:val="0083354F"/>
    <w:rsid w:val="008377EF"/>
    <w:rsid w:val="00842414"/>
    <w:rsid w:val="00852674"/>
    <w:rsid w:val="008550B4"/>
    <w:rsid w:val="008672D6"/>
    <w:rsid w:val="00875FC6"/>
    <w:rsid w:val="00876B21"/>
    <w:rsid w:val="00882072"/>
    <w:rsid w:val="00891CAF"/>
    <w:rsid w:val="008A44BA"/>
    <w:rsid w:val="008E2A32"/>
    <w:rsid w:val="008F00A9"/>
    <w:rsid w:val="00902809"/>
    <w:rsid w:val="00904F89"/>
    <w:rsid w:val="00921692"/>
    <w:rsid w:val="009231C6"/>
    <w:rsid w:val="00930975"/>
    <w:rsid w:val="00964C66"/>
    <w:rsid w:val="00984489"/>
    <w:rsid w:val="00985F4E"/>
    <w:rsid w:val="00990D63"/>
    <w:rsid w:val="009919A6"/>
    <w:rsid w:val="009A1315"/>
    <w:rsid w:val="009A752C"/>
    <w:rsid w:val="009B0DE1"/>
    <w:rsid w:val="009B12B9"/>
    <w:rsid w:val="009B12F3"/>
    <w:rsid w:val="009B708C"/>
    <w:rsid w:val="009C7871"/>
    <w:rsid w:val="009C7E11"/>
    <w:rsid w:val="009D053F"/>
    <w:rsid w:val="009D1353"/>
    <w:rsid w:val="009D57F2"/>
    <w:rsid w:val="009E1ACE"/>
    <w:rsid w:val="009F3DA3"/>
    <w:rsid w:val="00A07FD5"/>
    <w:rsid w:val="00A17897"/>
    <w:rsid w:val="00A17E3E"/>
    <w:rsid w:val="00A22DC1"/>
    <w:rsid w:val="00A33F83"/>
    <w:rsid w:val="00A43120"/>
    <w:rsid w:val="00A46E1B"/>
    <w:rsid w:val="00A858CD"/>
    <w:rsid w:val="00AA11CF"/>
    <w:rsid w:val="00AA231D"/>
    <w:rsid w:val="00AA2A59"/>
    <w:rsid w:val="00AB2ACD"/>
    <w:rsid w:val="00AB585E"/>
    <w:rsid w:val="00AD066F"/>
    <w:rsid w:val="00AE2B2D"/>
    <w:rsid w:val="00AF2BF8"/>
    <w:rsid w:val="00B15DDF"/>
    <w:rsid w:val="00B34BD9"/>
    <w:rsid w:val="00B46012"/>
    <w:rsid w:val="00B57B31"/>
    <w:rsid w:val="00B67E4D"/>
    <w:rsid w:val="00B736D3"/>
    <w:rsid w:val="00B80363"/>
    <w:rsid w:val="00B874E4"/>
    <w:rsid w:val="00BA5B9F"/>
    <w:rsid w:val="00BB47B7"/>
    <w:rsid w:val="00BD6107"/>
    <w:rsid w:val="00BE4821"/>
    <w:rsid w:val="00BE4939"/>
    <w:rsid w:val="00BF128E"/>
    <w:rsid w:val="00BF18FE"/>
    <w:rsid w:val="00C02E45"/>
    <w:rsid w:val="00C1294E"/>
    <w:rsid w:val="00C144FC"/>
    <w:rsid w:val="00C24E85"/>
    <w:rsid w:val="00C34A71"/>
    <w:rsid w:val="00C47AE4"/>
    <w:rsid w:val="00C66DAC"/>
    <w:rsid w:val="00C72D8A"/>
    <w:rsid w:val="00C75DB8"/>
    <w:rsid w:val="00C76E0A"/>
    <w:rsid w:val="00C90869"/>
    <w:rsid w:val="00C9421E"/>
    <w:rsid w:val="00C9654D"/>
    <w:rsid w:val="00CA0EEA"/>
    <w:rsid w:val="00CA25DB"/>
    <w:rsid w:val="00CC5D10"/>
    <w:rsid w:val="00CD66A8"/>
    <w:rsid w:val="00CE5DA3"/>
    <w:rsid w:val="00CF771E"/>
    <w:rsid w:val="00D02C98"/>
    <w:rsid w:val="00D16AE3"/>
    <w:rsid w:val="00D2016A"/>
    <w:rsid w:val="00D21BFB"/>
    <w:rsid w:val="00D23BE8"/>
    <w:rsid w:val="00D35024"/>
    <w:rsid w:val="00D47EE3"/>
    <w:rsid w:val="00D51722"/>
    <w:rsid w:val="00D534C8"/>
    <w:rsid w:val="00D55249"/>
    <w:rsid w:val="00D67057"/>
    <w:rsid w:val="00D87246"/>
    <w:rsid w:val="00DA4A30"/>
    <w:rsid w:val="00DC2CCB"/>
    <w:rsid w:val="00DE76BD"/>
    <w:rsid w:val="00E2664F"/>
    <w:rsid w:val="00E30BA7"/>
    <w:rsid w:val="00E417E4"/>
    <w:rsid w:val="00E45DD9"/>
    <w:rsid w:val="00E554C0"/>
    <w:rsid w:val="00E71008"/>
    <w:rsid w:val="00E72964"/>
    <w:rsid w:val="00E80AAB"/>
    <w:rsid w:val="00EA4E2A"/>
    <w:rsid w:val="00EA6E4C"/>
    <w:rsid w:val="00EC5BB2"/>
    <w:rsid w:val="00ED1E3B"/>
    <w:rsid w:val="00EE007A"/>
    <w:rsid w:val="00EE4937"/>
    <w:rsid w:val="00EF4854"/>
    <w:rsid w:val="00EF520C"/>
    <w:rsid w:val="00EF7F22"/>
    <w:rsid w:val="00F133AC"/>
    <w:rsid w:val="00F24B22"/>
    <w:rsid w:val="00F251F3"/>
    <w:rsid w:val="00F31FEA"/>
    <w:rsid w:val="00F534B0"/>
    <w:rsid w:val="00F634B8"/>
    <w:rsid w:val="00F72C0E"/>
    <w:rsid w:val="00F80637"/>
    <w:rsid w:val="00F85152"/>
    <w:rsid w:val="00F97379"/>
    <w:rsid w:val="00FB51C9"/>
    <w:rsid w:val="00FB6F40"/>
    <w:rsid w:val="00FB70E7"/>
    <w:rsid w:val="00FC1695"/>
    <w:rsid w:val="00FC701E"/>
    <w:rsid w:val="00FE252C"/>
    <w:rsid w:val="00FF040E"/>
    <w:rsid w:val="00FF0B9B"/>
    <w:rsid w:val="00FF6E6F"/>
    <w:rsid w:val="7EF11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41C221-82D6-8847-A4A5-5552A6363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SimSun" w:hAnsi="Arial" w:cs="Times New Roman (正文 CS 字体)"/>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color w:val="000000" w:themeColor="text1"/>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rFonts w:ascii="SimSun"/>
      <w:sz w:val="18"/>
      <w:szCs w:val="18"/>
    </w:rPr>
  </w:style>
  <w:style w:type="character" w:customStyle="1" w:styleId="result">
    <w:name w:val="result"/>
    <w:basedOn w:val="DefaultParagraphFont"/>
    <w:qFormat/>
  </w:style>
  <w:style w:type="character" w:customStyle="1" w:styleId="1">
    <w:name w:val="正文1"/>
    <w:basedOn w:val="DefaultParagraphFont"/>
    <w:qFormat/>
  </w:style>
  <w:style w:type="character" w:customStyle="1" w:styleId="2">
    <w:name w:val="正文2"/>
    <w:basedOn w:val="DefaultParagraphFont"/>
    <w:qFormat/>
  </w:style>
  <w:style w:type="character" w:customStyle="1" w:styleId="BalloonTextChar">
    <w:name w:val="Balloon Text Char"/>
    <w:basedOn w:val="DefaultParagraphFont"/>
    <w:link w:val="BalloonText"/>
    <w:uiPriority w:val="99"/>
    <w:semiHidden/>
    <w:qFormat/>
    <w:rPr>
      <w:rFonts w:ascii="SimSun"/>
      <w:sz w:val="18"/>
      <w:szCs w:val="18"/>
    </w:rPr>
  </w:style>
  <w:style w:type="table" w:customStyle="1" w:styleId="61">
    <w:name w:val="清单表 6 彩色1"/>
    <w:basedOn w:val="TableNormal"/>
    <w:qFormat/>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1152</Words>
  <Characters>6568</Characters>
  <Application>Microsoft Office Word</Application>
  <DocSecurity>0</DocSecurity>
  <Lines>54</Lines>
  <Paragraphs>15</Paragraphs>
  <ScaleCrop>false</ScaleCrop>
  <Company/>
  <LinksUpToDate>false</LinksUpToDate>
  <CharactersWithSpaces>7705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Balasubramaniyan Thangavel</cp:lastModifiedBy>
  <cp:revision>31</cp:revision>
  <dcterms:created xsi:type="dcterms:W3CDTF">2022-12-17T21:42:00Z</dcterms:created>
  <dcterms:modified xsi:type="dcterms:W3CDTF">2023-05-16T09:04:00Z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ies>
</file>