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F28" w:rsidRPr="00E10E50" w:rsidRDefault="00E10E50">
      <w:pPr>
        <w:ind w:firstLineChars="1600" w:firstLine="7043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Additional file</w:t>
      </w:r>
    </w:p>
    <w:p w:rsidR="00DD5F28" w:rsidRPr="00E10E50" w:rsidRDefault="00DD5F28">
      <w:pPr>
        <w:ind w:firstLineChars="1600" w:firstLine="7043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tbl>
      <w:tblPr>
        <w:tblStyle w:val="TableGrid"/>
        <w:tblW w:w="850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1559"/>
        <w:gridCol w:w="1701"/>
        <w:gridCol w:w="1409"/>
        <w:gridCol w:w="1006"/>
      </w:tblGrid>
      <w:tr w:rsidR="00E10E50" w:rsidRPr="00E10E50">
        <w:trPr>
          <w:jc w:val="center"/>
        </w:trPr>
        <w:tc>
          <w:tcPr>
            <w:tcW w:w="8506" w:type="dxa"/>
            <w:gridSpan w:val="5"/>
            <w:tcBorders>
              <w:top w:val="nil"/>
              <w:bottom w:val="single" w:sz="4" w:space="0" w:color="auto"/>
            </w:tcBorders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Table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S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1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.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B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aseline characteristics of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male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participants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with and without EOCAD.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Overall</w:t>
            </w:r>
          </w:p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N=1684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EO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CAD</w:t>
            </w:r>
          </w:p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N=842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Control</w:t>
            </w:r>
          </w:p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N=84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General conditions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Age, year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38.0±4.9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38.0±4.9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38.0±4.9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BMI, kg/m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26.1±4.1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27.4±4.1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24.8±3.6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Body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shape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 xml:space="preserve">,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 (%)</w:t>
            </w:r>
          </w:p>
        </w:tc>
        <w:tc>
          <w:tcPr>
            <w:tcW w:w="1559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409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ind w:firstLineChars="5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Normal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562 (34.1)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203 (24.5)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359 (43.9)</w:t>
            </w:r>
          </w:p>
        </w:tc>
        <w:tc>
          <w:tcPr>
            <w:tcW w:w="1006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Overweight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507 (30.8)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202 (24.3)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305 (37.3)</w:t>
            </w:r>
          </w:p>
        </w:tc>
        <w:tc>
          <w:tcPr>
            <w:tcW w:w="1006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Obesity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578 (35.1)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425 (51.2)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153 (18.7)</w:t>
            </w:r>
          </w:p>
        </w:tc>
        <w:tc>
          <w:tcPr>
            <w:tcW w:w="1006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Heart rate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78.5±13.8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78.3±13.0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78.8±14.6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0.48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SBP, mmHg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127.2±17.3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128.8±19.7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125.6±14.3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DBP, mmHg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80.9±12.7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81.5±14.3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80.3±10.9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0.052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Smok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ing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 (%)</w:t>
            </w:r>
          </w:p>
        </w:tc>
        <w:tc>
          <w:tcPr>
            <w:tcW w:w="1559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409" w:type="dxa"/>
            <w:vAlign w:val="center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Never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749 (44.5)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181 (21.5)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568 (67.5)</w:t>
            </w:r>
          </w:p>
        </w:tc>
        <w:tc>
          <w:tcPr>
            <w:tcW w:w="1006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Former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282 (16.7)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169 (20.1)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113 (13.4)</w:t>
            </w:r>
          </w:p>
        </w:tc>
        <w:tc>
          <w:tcPr>
            <w:tcW w:w="1006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trHeight w:val="269"/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Current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653 (38.8)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492 (58.4)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161 (19.1)</w:t>
            </w:r>
          </w:p>
        </w:tc>
        <w:tc>
          <w:tcPr>
            <w:tcW w:w="1006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Drink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ing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 (%)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486 (28.9)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395 (46.9)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91 (10.8)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Comorbidities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 (%)</w:t>
            </w:r>
          </w:p>
        </w:tc>
        <w:tc>
          <w:tcPr>
            <w:tcW w:w="1559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409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006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Hypertension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647 (38.4)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385 (45.7)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262 (31.1)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M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306 (18.2)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216 (25.7)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90 (10.7)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Dyslipidemia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983 (58.4)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514 (61.0)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469 (55.7)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0.03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Chronic kidney disease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37 (2.2)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23 (2.7)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14 (1.7)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0.18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History of myocardial infarction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154 (9.1)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154 (18.3)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 (0.0)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Laboratory results</w:t>
            </w:r>
          </w:p>
        </w:tc>
        <w:tc>
          <w:tcPr>
            <w:tcW w:w="1559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409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006" w:type="dxa"/>
          </w:tcPr>
          <w:p w:rsidR="00DD5F28" w:rsidRPr="00E10E50" w:rsidRDefault="00DD5F28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TC, mmol/l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4.4±1.4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4.5±1.8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4.3±0.9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0.03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TG, mmol/l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2.3±1.6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2.5±1.8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2.1±1.5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HDL-C, mmol/l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1.0±0.3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1.0±0.3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1.1±0.3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LDL-C, mmol/l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2.5±1.3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2.7±1.7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2.4±0.8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non-HDL-C, mmol/l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3.4±1.4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3.5±1.7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3.2±0.9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UA, mg/dl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6.5±1.6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6.5±1.7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6.4±1.5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0.04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Scre, mg/dl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0.9±0.3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0.9±0.2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1.0±0.4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eGFR, mL/min/1.73 m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90.5 [81.6-100.2]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92.7 [82.8-104.0]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88.8 [80.8-96.7]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F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B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G,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mg/dl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6.0±2.2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6.6±2.7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5.3±1.3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HbA1c, %</w:t>
            </w:r>
          </w:p>
        </w:tc>
        <w:tc>
          <w:tcPr>
            <w:tcW w:w="155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5.8±1.4</w:t>
            </w:r>
          </w:p>
        </w:tc>
        <w:tc>
          <w:tcPr>
            <w:tcW w:w="1701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6.2±1.7</w:t>
            </w:r>
          </w:p>
        </w:tc>
        <w:tc>
          <w:tcPr>
            <w:tcW w:w="1409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5.4±0.7</w:t>
            </w:r>
          </w:p>
        </w:tc>
        <w:tc>
          <w:tcPr>
            <w:tcW w:w="1006" w:type="dxa"/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831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TyG index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9.1±0.7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9.2±0.7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8.9±0.7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DD5F28" w:rsidRPr="00E10E50">
        <w:trPr>
          <w:jc w:val="center"/>
        </w:trPr>
        <w:tc>
          <w:tcPr>
            <w:tcW w:w="8506" w:type="dxa"/>
            <w:gridSpan w:val="5"/>
            <w:tcBorders>
              <w:top w:val="single" w:sz="4" w:space="0" w:color="auto"/>
              <w:bottom w:val="nil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Data were given as mean ± standard deviation, median with interquartile range or number (percentage).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 xml:space="preserve"> EOCAD=early-onset coronary artery disease;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 xml:space="preserve"> BMI=body mass index; SBP=systolic blood pressure; DBP=diastolic blood pressure; 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 xml:space="preserve">DM=Diabetes Mellitus; 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 xml:space="preserve">TC=total cholesterol; TG=triglyceride; HDL-C=high-density lipoprotein-cholesterol; LDL-C=low-density 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lipoprotein-cholesterol; UA=uric acid; Scre=s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e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rum creatin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in</w:t>
            </w: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  <w:lang w:bidi="ar"/>
              </w:rPr>
              <w:t>e; eGFR=estimated glomerular filtration rate; FBG=fasting blood glucose; HbA1c=Glycosylated Hemoglobin Type A1C; TyG =triglyceride-glucose.</w:t>
            </w:r>
          </w:p>
        </w:tc>
      </w:tr>
    </w:tbl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E10E50">
      <w:pPr>
        <w:widowControl/>
        <w:jc w:val="left"/>
        <w:rPr>
          <w:rFonts w:ascii="Times New Roman" w:eastAsia="DengXian" w:hAnsi="Times New Roman" w:cs="Times New Roman"/>
          <w:color w:val="000000" w:themeColor="text1"/>
          <w:sz w:val="44"/>
          <w:szCs w:val="44"/>
        </w:rPr>
      </w:pPr>
      <w:r w:rsidRPr="00E10E50">
        <w:rPr>
          <w:rFonts w:ascii="Times New Roman" w:eastAsia="DengXian" w:hAnsi="Times New Roman" w:cs="Times New Roman"/>
          <w:color w:val="000000" w:themeColor="text1"/>
          <w:sz w:val="44"/>
          <w:szCs w:val="44"/>
        </w:rPr>
        <w:t>Table S</w:t>
      </w:r>
      <w:r w:rsidRPr="00E10E50">
        <w:rPr>
          <w:rFonts w:ascii="Times New Roman" w:eastAsia="DengXian" w:hAnsi="Times New Roman" w:cs="Times New Roman"/>
          <w:color w:val="000000" w:themeColor="text1"/>
          <w:sz w:val="44"/>
          <w:szCs w:val="44"/>
        </w:rPr>
        <w:t>2.</w:t>
      </w:r>
      <w:r w:rsidRPr="00E10E50">
        <w:rPr>
          <w:rFonts w:ascii="Times New Roman" w:eastAsia="DengXian" w:hAnsi="Times New Roman" w:cs="Times New Roman"/>
          <w:color w:val="000000" w:themeColor="text1"/>
          <w:sz w:val="44"/>
          <w:szCs w:val="44"/>
        </w:rPr>
        <w:t xml:space="preserve"> </w:t>
      </w:r>
      <w:r w:rsidRPr="00E10E50">
        <w:rPr>
          <w:rFonts w:ascii="Times New Roman" w:eastAsia="SimSun" w:hAnsi="Times New Roman" w:cs="Times New Roman"/>
          <w:color w:val="000000" w:themeColor="text1"/>
          <w:kern w:val="0"/>
          <w:sz w:val="44"/>
          <w:szCs w:val="44"/>
          <w:lang w:bidi="ar"/>
        </w:rPr>
        <w:t>Baseline characteristics between</w:t>
      </w:r>
      <w:r w:rsidRPr="00E10E50">
        <w:rPr>
          <w:rFonts w:ascii="Times New Roman" w:eastAsia="SimSun" w:hAnsi="Times New Roman" w:cs="Times New Roman"/>
          <w:color w:val="000000" w:themeColor="text1"/>
          <w:kern w:val="0"/>
          <w:sz w:val="44"/>
          <w:szCs w:val="44"/>
          <w:lang w:bidi="ar"/>
        </w:rPr>
        <w:t xml:space="preserve"> controls and cases from different locations</w:t>
      </w:r>
      <w:r w:rsidRPr="00E10E50">
        <w:rPr>
          <w:rFonts w:ascii="Times New Roman" w:eastAsia="SimSun" w:hAnsi="Times New Roman" w:cs="Times New Roman"/>
          <w:color w:val="000000" w:themeColor="text1"/>
          <w:kern w:val="0"/>
          <w:sz w:val="44"/>
          <w:szCs w:val="44"/>
          <w:lang w:bidi="ar"/>
        </w:rPr>
        <w:t>.</w:t>
      </w:r>
    </w:p>
    <w:tbl>
      <w:tblPr>
        <w:tblStyle w:val="3"/>
        <w:tblW w:w="921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126"/>
        <w:gridCol w:w="2268"/>
        <w:gridCol w:w="1701"/>
      </w:tblGrid>
      <w:tr w:rsidR="00E10E50" w:rsidRPr="00E10E50">
        <w:trPr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Cases f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rom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Z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hongshan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-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ospital</w:t>
            </w:r>
          </w:p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N=732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Cases N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t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f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rom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Z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hongshan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-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ospital</w:t>
            </w:r>
          </w:p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N=781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C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ontrols</w:t>
            </w:r>
          </w:p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N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=1513</w:t>
            </w:r>
          </w:p>
        </w:tc>
      </w:tr>
      <w:tr w:rsidR="00E10E50" w:rsidRPr="00E10E50">
        <w:trPr>
          <w:trHeight w:val="90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General conditions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Age, year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39.9±4.31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39.3±4.54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39.0±4.40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Female, n (%)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34 (4.64)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35 (4.48)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811 (53.6)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BMI, kg/m2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26.5±3.52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26.4±3.57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23.6±3.74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Body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weight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group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, n (%)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          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ind w:firstLineChars="50" w:firstLine="220"/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Normal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149 (21.1)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193 (25.0)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878 (59.6)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Overweight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334 (47.4)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351 (45.4)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386 (26.2)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Obesity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222 (31.5)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229 (29.6)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210 (14.2)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Heart rate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,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beat per minute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76.0±11.7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79.8±14.2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78.9±13.5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SBP, mmHg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125±16.7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131±20.7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123±14.7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DBP, mmHg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79.2±11.7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83.1±15.5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78.1±10.8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Smoking, n (%)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Never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219 (29.9)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163 (20.9)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1288 (85.1)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Former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204 (27.9)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104 (13.3)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96 (6.35)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Current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309 (42.2)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514 (65.8)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129 (8.53)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Drinking, n (%)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275 (37.6)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387 (49.6)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76 (5.02)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Comorbidities, n (%)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Hypertension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310 (42.3)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359 (46.0)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377 (24.9)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DM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198 (27.0)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178 (22.8)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151 (9.98)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Dyslipidemia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456 (62.3)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417 (53.4)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592 (39.1)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Chronic kidney disease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25 (3.42)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14 (1.79)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 21 (1.39)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Laboratory results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TC, mmol/l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3.99±1.74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4.69±1.43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4.20±0.84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TG, mmol/l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2.30±1.63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2.37±1.70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1.70±1.31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HDL-C, mmol/l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1.04±0.61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0.99±0.34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1.23±0.37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LDL-C, mmol/l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2.37±1.81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2.92±1.18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2.25±0.71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non-HDL-C, mmol/l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3.12±1.64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3.70±1.41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2.97±0.85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UA, mg/dl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6.41±1.57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6.62±1.77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5.41±1.69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Scre, mg/dl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0.96±0.43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0.84±0.23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0.81±0.31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eGFR, mL/min/1.73 m2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88.2 [79.4;96.9]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97.4 [86.5;109]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90.4 [82.6;97.9]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HbA1c, %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6.06±1.68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6.38±1.76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5.39±0.73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FBG, mg/dl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6.60±2.82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6.66±2.71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5.33±1.22   </w:t>
            </w:r>
          </w:p>
        </w:tc>
      </w:tr>
      <w:tr w:rsidR="00E10E50" w:rsidRPr="00E10E50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TyG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>*#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9.13±0.78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9.18±0.74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F28" w:rsidRPr="00E10E50" w:rsidRDefault="00E10E5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 8.66±0.68   </w:t>
            </w:r>
          </w:p>
        </w:tc>
      </w:tr>
      <w:tr w:rsidR="00DD5F28" w:rsidRPr="00E10E50">
        <w:trPr>
          <w:jc w:val="center"/>
        </w:trPr>
        <w:tc>
          <w:tcPr>
            <w:tcW w:w="92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Data were given as mean ± standard deviation, median with interquartile range or number (percentage).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</w:p>
          <w:p w:rsidR="00DD5F28" w:rsidRPr="00E10E50" w:rsidRDefault="00E10E50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The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 xml:space="preserve"> *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represents a comparison between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cases from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Z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hongshan H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ospital and controls with p &lt; 0.05.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</w:p>
          <w:p w:rsidR="00DD5F28" w:rsidRPr="00E10E50" w:rsidRDefault="00E10E50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The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  <w:vertAlign w:val="superscript"/>
              </w:rPr>
              <w:t xml:space="preserve"> #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represents a comparison between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cases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No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t from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Z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hongshan H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ospital and controls with p &lt; 0.05.</w:t>
            </w:r>
          </w:p>
          <w:p w:rsidR="00DD5F28" w:rsidRPr="00E10E50" w:rsidRDefault="00E10E50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EOCAD=early-onset coronary artery disease; BMI=body mass index; SBP=systolic blood pressure; DBP=diastolic blood pressure; DM=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d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iabetes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m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ellitus; MI=myocardial infarction; TC=total cholesterol;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TG=triglyceride; HDL-C=high-density lipoprotein-cholesterol; LDL-C=low-density  lipoprotein-cholesterol; UA=uric acid; Scre=serum creatinine; eGFR=estimated glomerular filtration rate; HbA1c=Glycosylated Hemoglobin Type A1c; FBG=fasting blood glucose; TyG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  <w:t>index=triglyceride-glucose index.</w:t>
            </w:r>
          </w:p>
          <w:p w:rsidR="00DD5F28" w:rsidRPr="00E10E50" w:rsidRDefault="00DD5F28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  <w:p w:rsidR="00DD5F28" w:rsidRPr="00E10E50" w:rsidRDefault="00DD5F28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  <w:p w:rsidR="00DD5F28" w:rsidRPr="00E10E50" w:rsidRDefault="00DD5F28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  <w:p w:rsidR="00DD5F28" w:rsidRPr="00E10E50" w:rsidRDefault="00DD5F28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  <w:p w:rsidR="00DD5F28" w:rsidRPr="00E10E50" w:rsidRDefault="00DD5F28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</w:tbl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9"/>
        <w:gridCol w:w="2545"/>
        <w:gridCol w:w="3063"/>
      </w:tblGrid>
      <w:tr w:rsidR="00E10E50" w:rsidRPr="00E10E50">
        <w:trPr>
          <w:jc w:val="center"/>
        </w:trPr>
        <w:tc>
          <w:tcPr>
            <w:tcW w:w="9047" w:type="dxa"/>
            <w:gridSpan w:val="3"/>
            <w:tcBorders>
              <w:top w:val="nil"/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Table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S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3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. Correlations between TyG index and traditional cardiovascular risk factors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Variable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Correlation coefficient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Age</w:t>
            </w:r>
          </w:p>
        </w:tc>
        <w:tc>
          <w:tcPr>
            <w:tcW w:w="2545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-0.015</w:t>
            </w:r>
          </w:p>
        </w:tc>
        <w:tc>
          <w:tcPr>
            <w:tcW w:w="3063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0.29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BMI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0.190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SBP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0.124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DBP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0.116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TC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0.236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HDL-C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-0.238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LDL-C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-0.032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0.25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non-HDL-C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0.287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HbA1c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0.293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UA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0.023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0.40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Scre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0.010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0.73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eGFR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0.035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0.21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Gensini score</w:t>
            </w:r>
          </w:p>
        </w:tc>
        <w:tc>
          <w:tcPr>
            <w:tcW w:w="2545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0.040</w:t>
            </w:r>
          </w:p>
        </w:tc>
        <w:tc>
          <w:tcPr>
            <w:tcW w:w="306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0.15</w:t>
            </w:r>
          </w:p>
        </w:tc>
      </w:tr>
      <w:tr w:rsidR="00E10E50" w:rsidRPr="00E10E50">
        <w:trPr>
          <w:jc w:val="center"/>
        </w:trPr>
        <w:tc>
          <w:tcPr>
            <w:tcW w:w="3439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LVEF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-0.045</w:t>
            </w:r>
          </w:p>
        </w:tc>
        <w:tc>
          <w:tcPr>
            <w:tcW w:w="3063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0.11</w:t>
            </w:r>
          </w:p>
        </w:tc>
      </w:tr>
      <w:tr w:rsidR="00DD5F28" w:rsidRPr="00E10E50">
        <w:trPr>
          <w:jc w:val="center"/>
        </w:trPr>
        <w:tc>
          <w:tcPr>
            <w:tcW w:w="9047" w:type="dxa"/>
            <w:gridSpan w:val="3"/>
            <w:tcBorders>
              <w:top w:val="single" w:sz="4" w:space="0" w:color="auto"/>
              <w:bottom w:val="nil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Correlation coefficient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presented with the coefficient of Spearman or Pearson test</w:t>
            </w:r>
          </w:p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TyG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triglyceride-glucose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BMI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body mass index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SBP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systolic blood pressure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;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DBP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diastolic blood pressure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TC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total cholesterol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;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HDL-C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high-density lipoprotein-cholesterol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LDL-C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low-density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lipoprotein-cholesterol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HbA1c Glycosylated Hemoglobin Type A1C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UA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uric acid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Scre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s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rum creatin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in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eGFR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estimated glomerular filtration rate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;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LVEF=left ventricular ejection fraction.</w:t>
            </w:r>
          </w:p>
        </w:tc>
      </w:tr>
    </w:tbl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2547"/>
        <w:gridCol w:w="1843"/>
        <w:gridCol w:w="850"/>
        <w:gridCol w:w="1701"/>
        <w:gridCol w:w="851"/>
        <w:gridCol w:w="1559"/>
        <w:gridCol w:w="850"/>
      </w:tblGrid>
      <w:tr w:rsidR="00E10E50" w:rsidRPr="00E10E50">
        <w:trPr>
          <w:jc w:val="center"/>
        </w:trPr>
        <w:tc>
          <w:tcPr>
            <w:tcW w:w="10201" w:type="dxa"/>
            <w:gridSpan w:val="7"/>
            <w:tcBorders>
              <w:top w:val="nil"/>
              <w:left w:val="nil"/>
              <w:right w:val="nil"/>
            </w:tcBorders>
          </w:tcPr>
          <w:p w:rsidR="00DD5F28" w:rsidRPr="00E10E50" w:rsidRDefault="00E10E50">
            <w:pPr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Table S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4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. The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a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ssociation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between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TyG index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and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the prevalent EOCAD in male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s.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vMerge w:val="restart"/>
            <w:tcBorders>
              <w:left w:val="nil"/>
              <w:right w:val="nil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TyG index</w:t>
            </w:r>
          </w:p>
        </w:tc>
        <w:tc>
          <w:tcPr>
            <w:tcW w:w="7654" w:type="dxa"/>
            <w:gridSpan w:val="6"/>
            <w:tcBorders>
              <w:left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OR (95%CI)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DD5F28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Model1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Model2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Model3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Per 1 SD increase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1.59 (1.43-1.76)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1.24 (1.10-1.41)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1.44 (1.25-1.67)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Tri-sectional TyG groups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Tertile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 (Reference)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Tertile 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1.35 (1.06-1.71)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1.15 (0.88-1.51)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1.22 (0.90-1.67)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0.19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Tertile 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2.57 (2.02-3.28)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2.12 (1.61-2.79)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2.06 (1.45-2.93)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&lt;0.001</w:t>
            </w:r>
          </w:p>
        </w:tc>
      </w:tr>
      <w:tr w:rsidR="00E10E50" w:rsidRPr="00E10E50">
        <w:trPr>
          <w:jc w:val="center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for trend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E10E5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F28" w:rsidRPr="00E10E50" w:rsidRDefault="00DD5F2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DD5F28" w:rsidRPr="00E10E50">
        <w:trPr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Model1: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unadjusted for covariates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</w:p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Model2: adjusted for age, body mass index, current smoking, drinking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</w:p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Model3: adjusted for age, body mass index, current smoking, drinking, hypertension,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d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iabetes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m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ellitus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</w:p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TyG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triglyceride-glucose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;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EOCAD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early-onset coronary 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artery disease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;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OR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=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odds ratio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; CI=confidence intervals. </w:t>
            </w:r>
          </w:p>
        </w:tc>
      </w:tr>
    </w:tbl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2605"/>
        <w:gridCol w:w="2082"/>
      </w:tblGrid>
      <w:tr w:rsidR="00E10E50" w:rsidRPr="00E10E50">
        <w:trPr>
          <w:jc w:val="center"/>
        </w:trPr>
        <w:tc>
          <w:tcPr>
            <w:tcW w:w="7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wordWrap w:val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</w:pPr>
            <w:bookmarkStart w:id="0" w:name="OLE_LINK2"/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Table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S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5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. Univariate 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C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ox regression analysis </w:t>
            </w:r>
            <w:bookmarkEnd w:id="0"/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for TLF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sz w:val="44"/>
                <w:szCs w:val="44"/>
              </w:rPr>
              <w:t xml:space="preserve"> in EOCAD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DD5F28">
            <w:pPr>
              <w:pStyle w:val="ListParagraph"/>
              <w:ind w:firstLineChars="0"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HR (95% CI)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44"/>
                <w:szCs w:val="44"/>
              </w:rPr>
              <w:t>p</w:t>
            </w: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-value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Age</w:t>
            </w:r>
          </w:p>
        </w:tc>
        <w:tc>
          <w:tcPr>
            <w:tcW w:w="2605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1.05 (0.97-1.13)</w:t>
            </w:r>
          </w:p>
        </w:tc>
        <w:tc>
          <w:tcPr>
            <w:tcW w:w="2082" w:type="dxa"/>
            <w:tcBorders>
              <w:top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Female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2.42 (0.87-6.78)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0.09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BMI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0.93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(0.85-1.02)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0.11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SBP</w:t>
            </w:r>
          </w:p>
        </w:tc>
        <w:tc>
          <w:tcPr>
            <w:tcW w:w="2605" w:type="dxa"/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0.99 (0.98-1.01)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0.30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DBP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0.99 (0.97-1.01)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0.42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TG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1.04 (0.88-1.23)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0.66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HDL-C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0.84 (0.38-1.85)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0.66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LDL-C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0.90 (0.71-1.14)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0.36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nHDL-C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1.13 (0.96-1.35)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0.16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UA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0.88 (0.73-1.07)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0.21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HbA1c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0.97 (0.81-1.16)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0.72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eGFR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0.98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(0.97-1.001)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0.07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Gensini score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1.008 (1.003-1.015)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LVEF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1.00 (0.97-1.03)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0.98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Hypertension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0.85 (0.46-1.57)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0.61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DM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1.03 (0.52-2.04)</w:t>
            </w:r>
          </w:p>
        </w:tc>
        <w:tc>
          <w:tcPr>
            <w:tcW w:w="2082" w:type="dxa"/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0.93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Dyslipidemia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1.33 (0.71-2.48)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0.38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Chronic kidney disease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0.96 (0.13-6.98)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0.97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History of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previous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MI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1.71 (0.88-3.33)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0.12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Drinking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0.86 (0.46-1.58)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0.61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LM lesion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1.62 (0.50-5.25)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0.42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LAD lesion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1.29 (0.62-2.70)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0.49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LCX lesion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1.49 (0.81-2.73)</w:t>
            </w:r>
          </w:p>
        </w:tc>
        <w:tc>
          <w:tcPr>
            <w:tcW w:w="2082" w:type="dxa"/>
          </w:tcPr>
          <w:p w:rsidR="00DD5F28" w:rsidRPr="00E10E50" w:rsidRDefault="00E10E50">
            <w:pPr>
              <w:wordWrap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0.20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RAD lesion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1.47 (0.79-2.74)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0.22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bookmarkStart w:id="1" w:name="OLE_LINK1" w:colFirst="0" w:colLast="1"/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>Diagnosis</w:t>
            </w:r>
          </w:p>
        </w:tc>
        <w:tc>
          <w:tcPr>
            <w:tcW w:w="2605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2082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AMI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1.00</w:t>
            </w:r>
          </w:p>
        </w:tc>
        <w:tc>
          <w:tcPr>
            <w:tcW w:w="2082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Non-AMI</w:t>
            </w:r>
          </w:p>
        </w:tc>
        <w:tc>
          <w:tcPr>
            <w:tcW w:w="2605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2.20 (1.15-4.21)</w:t>
            </w:r>
          </w:p>
        </w:tc>
        <w:tc>
          <w:tcPr>
            <w:tcW w:w="2082" w:type="dxa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0.02</w:t>
            </w:r>
          </w:p>
        </w:tc>
      </w:tr>
      <w:tr w:rsidR="00E10E50" w:rsidRPr="00E10E50">
        <w:trPr>
          <w:jc w:val="center"/>
        </w:trPr>
        <w:tc>
          <w:tcPr>
            <w:tcW w:w="2603" w:type="dxa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44"/>
                <w:szCs w:val="44"/>
              </w:rPr>
              <w:t xml:space="preserve">PCI </w:t>
            </w:r>
          </w:p>
        </w:tc>
        <w:tc>
          <w:tcPr>
            <w:tcW w:w="2605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2082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0" w:type="auto"/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DES</w:t>
            </w:r>
          </w:p>
        </w:tc>
        <w:tc>
          <w:tcPr>
            <w:tcW w:w="0" w:type="auto"/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1.00</w:t>
            </w:r>
          </w:p>
        </w:tc>
        <w:tc>
          <w:tcPr>
            <w:tcW w:w="2082" w:type="dxa"/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DEB/PTCA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0.73 (0.26-2.04)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0.55</w:t>
            </w: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44"/>
                <w:szCs w:val="44"/>
              </w:rPr>
              <w:t>Cardiovascular medications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DD5F28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>Aspirin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2.08 (0.64-6.72)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0.22</w:t>
            </w: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>P2Y12 inhibitors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7.23 (0.99-52.51)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0.05</w:t>
            </w: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>Statins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2.75 (0.85-8.88)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0.09</w:t>
            </w: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>ACEI/ARB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1.78 (0.93-3.41)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0.08</w:t>
            </w:r>
          </w:p>
        </w:tc>
      </w:tr>
      <w:tr w:rsidR="00E10E50" w:rsidRPr="00E10E5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eastAsia="DengXian" w:hAnsi="Times New Roman" w:cs="Times New Roman"/>
                <w:color w:val="000000" w:themeColor="text1"/>
                <w:sz w:val="44"/>
                <w:szCs w:val="44"/>
              </w:rPr>
              <w:t>β-blocker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2.63 (1.00-6.69)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:rsidR="00DD5F28" w:rsidRPr="00E10E50" w:rsidRDefault="00E10E5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0.0</w:t>
            </w:r>
            <w:r w:rsidRPr="00E10E5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5</w:t>
            </w:r>
          </w:p>
        </w:tc>
      </w:tr>
      <w:tr w:rsidR="00DD5F28" w:rsidRPr="00E10E50">
        <w:trPr>
          <w:jc w:val="center"/>
        </w:trPr>
        <w:tc>
          <w:tcPr>
            <w:tcW w:w="7290" w:type="dxa"/>
            <w:gridSpan w:val="3"/>
            <w:tcBorders>
              <w:top w:val="single" w:sz="4" w:space="0" w:color="auto"/>
            </w:tcBorders>
          </w:tcPr>
          <w:p w:rsidR="00DD5F28" w:rsidRPr="00E10E50" w:rsidRDefault="00E10E50">
            <w:pPr>
              <w:pStyle w:val="ListParagraph"/>
              <w:wordWrap w:val="0"/>
              <w:ind w:firstLineChars="0" w:firstLine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</w:pP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EOCAD=early-onset coronary artery disease; TLF=target lesion failure; HR=hazard ratio; CI=confidential intervals; BMI=body mass index; SBP=systolic blood pressure; DBP=diastolic blood pressure; TG=triglyceride; HDL-C=high-density lipoprotein-cholesterol; L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DL-C=low-density lipoprotein-cholesterol; UA=uric acid; HbA1c=Glycosylated Hemoglobin Type A1C; eGFR=estimated glomerular filtration rate; </w:t>
            </w:r>
            <w:bookmarkStart w:id="2" w:name="OLE_LINK3"/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LVEF=left ventricular ejection fraction;</w:t>
            </w:r>
            <w:bookmarkEnd w:id="2"/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 DM=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d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iabetes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m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ellitus; MI=myocardial infarction; LM=left main artery; LAD=left anterior descending artery; LCX=left circumflex artery; RAD=right anterior descending artery; PCI=percutaneous coronary intervention; DES=drug-eluting stent, DEB=drug-eluting balloon, PTCA=pe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 xml:space="preserve">rcutaneous transluminal coronary angioplasty; </w:t>
            </w:r>
            <w:r w:rsidRPr="00E10E50">
              <w:rPr>
                <w:rFonts w:ascii="Times New Roman" w:hAnsi="Times New Roman" w:cs="Times New Roman"/>
                <w:color w:val="000000" w:themeColor="text1"/>
                <w:kern w:val="0"/>
                <w:sz w:val="44"/>
                <w:szCs w:val="44"/>
              </w:rPr>
              <w:t>ACEI/ARB=angiotensin converting enzyme inhibitors/angiotonin receptor blocker.</w:t>
            </w:r>
          </w:p>
        </w:tc>
      </w:tr>
      <w:bookmarkEnd w:id="1"/>
    </w:tbl>
    <w:p w:rsidR="00DD5F28" w:rsidRPr="00E10E50" w:rsidRDefault="00DD5F28">
      <w:pPr>
        <w:pStyle w:val="ListParagraph"/>
        <w:wordWrap w:val="0"/>
        <w:ind w:left="567" w:firstLineChars="0" w:firstLine="0"/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pStyle w:val="ListParagraph"/>
        <w:wordWrap w:val="0"/>
        <w:ind w:left="567" w:firstLineChars="0" w:firstLine="0"/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wordWrap w:val="0"/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wordWrap w:val="0"/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E10E50">
      <w:pPr>
        <w:wordWrap w:val="0"/>
        <w:jc w:val="left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Figure S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1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.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 xml:space="preserve"> ROC analysis of 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 xml:space="preserve">the 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 xml:space="preserve">diagnostic 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ability</w:t>
      </w:r>
      <w:r w:rsidRPr="00E10E50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 xml:space="preserve"> of TyG index at hospitalization to identify EOCAD in males</w:t>
      </w:r>
    </w:p>
    <w:p w:rsidR="00DD5F28" w:rsidRPr="00E10E50" w:rsidRDefault="00E10E50">
      <w:pPr>
        <w:jc w:val="center"/>
        <w:rPr>
          <w:rFonts w:ascii="Times New Roman" w:hAnsi="Times New Roman" w:cs="Times New Roman"/>
          <w:color w:val="000000" w:themeColor="text1"/>
          <w:kern w:val="0"/>
          <w:sz w:val="44"/>
          <w:szCs w:val="44"/>
        </w:rPr>
      </w:pPr>
      <w:r w:rsidRPr="00E10E50">
        <w:rPr>
          <w:rFonts w:ascii="Times New Roman" w:hAnsi="Times New Roman" w:cs="Times New Roman"/>
          <w:noProof/>
          <w:color w:val="000000" w:themeColor="text1"/>
          <w:sz w:val="44"/>
          <w:szCs w:val="44"/>
          <w:lang w:val="en-IN" w:eastAsia="en-IN"/>
        </w:rPr>
        <w:drawing>
          <wp:inline distT="0" distB="0" distL="0" distR="0">
            <wp:extent cx="3159125" cy="3668395"/>
            <wp:effectExtent l="0" t="0" r="317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8766" cy="367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F28" w:rsidRPr="00E10E50" w:rsidRDefault="00E10E5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ROC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=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receiver operating characteristic curve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;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TyG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=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triglyceride-glucose index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;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EOCAD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=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early-onset coronary artery disease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;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AUC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=a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rea 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u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nder 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c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urve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Pr="00E10E5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bookmarkStart w:id="3" w:name="_GoBack"/>
      <w:bookmarkEnd w:id="3"/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D5F28" w:rsidRPr="00E10E50" w:rsidRDefault="00DD5F28">
      <w:pPr>
        <w:rPr>
          <w:rFonts w:ascii="Times New Roman" w:eastAsia="DengXian" w:hAnsi="Times New Roman" w:cs="Times New Roman"/>
          <w:color w:val="000000" w:themeColor="text1"/>
          <w:sz w:val="44"/>
          <w:szCs w:val="44"/>
        </w:rPr>
      </w:pPr>
    </w:p>
    <w:sectPr w:rsidR="00DD5F28" w:rsidRPr="00E10E50" w:rsidSect="00E10E5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0E50">
      <w:r>
        <w:separator/>
      </w:r>
    </w:p>
  </w:endnote>
  <w:endnote w:type="continuationSeparator" w:id="0">
    <w:p w:rsidR="00000000" w:rsidRDefault="00E1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F28" w:rsidRDefault="00E10E5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5F28" w:rsidRDefault="00E10E5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0E50">
      <w:r>
        <w:separator/>
      </w:r>
    </w:p>
  </w:footnote>
  <w:footnote w:type="continuationSeparator" w:id="0">
    <w:p w:rsidR="00000000" w:rsidRDefault="00E10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646F85"/>
    <w:rsid w:val="FEE3E596"/>
    <w:rsid w:val="0006410E"/>
    <w:rsid w:val="0009633D"/>
    <w:rsid w:val="000B7320"/>
    <w:rsid w:val="0012022A"/>
    <w:rsid w:val="001466E4"/>
    <w:rsid w:val="001719EA"/>
    <w:rsid w:val="00207852"/>
    <w:rsid w:val="002836BF"/>
    <w:rsid w:val="00291EE9"/>
    <w:rsid w:val="002945DF"/>
    <w:rsid w:val="002E2EA9"/>
    <w:rsid w:val="003D2610"/>
    <w:rsid w:val="00591F50"/>
    <w:rsid w:val="00616875"/>
    <w:rsid w:val="00646F85"/>
    <w:rsid w:val="00706253"/>
    <w:rsid w:val="007D11F8"/>
    <w:rsid w:val="0091479E"/>
    <w:rsid w:val="00990485"/>
    <w:rsid w:val="00A06CE1"/>
    <w:rsid w:val="00AE2E2F"/>
    <w:rsid w:val="00BC1012"/>
    <w:rsid w:val="00D250D2"/>
    <w:rsid w:val="00DD0EBE"/>
    <w:rsid w:val="00DD5F28"/>
    <w:rsid w:val="00E10E50"/>
    <w:rsid w:val="00E13BF0"/>
    <w:rsid w:val="00E46B3E"/>
    <w:rsid w:val="00E97F78"/>
    <w:rsid w:val="00F05A09"/>
    <w:rsid w:val="00F25E27"/>
    <w:rsid w:val="00F75686"/>
    <w:rsid w:val="08B33959"/>
    <w:rsid w:val="097F294D"/>
    <w:rsid w:val="0C2E59F3"/>
    <w:rsid w:val="0E7B34E4"/>
    <w:rsid w:val="19A928E0"/>
    <w:rsid w:val="1EB149F9"/>
    <w:rsid w:val="2018145D"/>
    <w:rsid w:val="284E0B51"/>
    <w:rsid w:val="28710F42"/>
    <w:rsid w:val="31BB1FA7"/>
    <w:rsid w:val="3215767E"/>
    <w:rsid w:val="34F52A80"/>
    <w:rsid w:val="36BD5820"/>
    <w:rsid w:val="3A3E11FF"/>
    <w:rsid w:val="3A7A7584"/>
    <w:rsid w:val="3B675D5A"/>
    <w:rsid w:val="40F24318"/>
    <w:rsid w:val="41D67B20"/>
    <w:rsid w:val="440C749E"/>
    <w:rsid w:val="461D6901"/>
    <w:rsid w:val="47B517DD"/>
    <w:rsid w:val="4C434FF1"/>
    <w:rsid w:val="563E2F6C"/>
    <w:rsid w:val="57B95737"/>
    <w:rsid w:val="5A8673A0"/>
    <w:rsid w:val="5A962746"/>
    <w:rsid w:val="5B765E19"/>
    <w:rsid w:val="5BA13818"/>
    <w:rsid w:val="60960B70"/>
    <w:rsid w:val="60BA66EE"/>
    <w:rsid w:val="6EF70BC7"/>
    <w:rsid w:val="6F2D1237"/>
    <w:rsid w:val="6F5163A9"/>
    <w:rsid w:val="701E42C1"/>
    <w:rsid w:val="712579AC"/>
    <w:rsid w:val="73927E1C"/>
    <w:rsid w:val="75F776FF"/>
    <w:rsid w:val="79FB218C"/>
    <w:rsid w:val="7B57450C"/>
    <w:rsid w:val="7BA9244A"/>
    <w:rsid w:val="7E9A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ED6B76-6F09-4135-B689-EB95ABBE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table" w:customStyle="1" w:styleId="3">
    <w:name w:val="网格型3"/>
    <w:basedOn w:val="TableNormal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凌风 罗</dc:creator>
  <cp:lastModifiedBy>Nithya sudalai</cp:lastModifiedBy>
  <cp:revision>13</cp:revision>
  <dcterms:created xsi:type="dcterms:W3CDTF">2022-10-17T10:07:00Z</dcterms:created>
  <dcterms:modified xsi:type="dcterms:W3CDTF">2023-09-27T07:45:00Z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69CC077B642F4B2DB7FFF9AEDE0F6838_13</vt:lpwstr>
  </property>
</Properties>
</file>