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B18DC" w14:textId="70D6E20F" w:rsidR="00084C28" w:rsidRDefault="0000688E" w:rsidP="00084C28">
      <w:r>
        <w:rPr>
          <w:b/>
        </w:rPr>
        <w:t xml:space="preserve">Additional file 2: </w:t>
      </w:r>
      <w:bookmarkStart w:id="0" w:name="_GoBack"/>
      <w:bookmarkEnd w:id="0"/>
      <w:r>
        <w:rPr>
          <w:b/>
        </w:rPr>
        <w:t>T</w:t>
      </w:r>
      <w:r w:rsidR="00084C28">
        <w:rPr>
          <w:b/>
        </w:rPr>
        <w:t xml:space="preserve">able </w:t>
      </w:r>
      <w:r>
        <w:rPr>
          <w:b/>
        </w:rPr>
        <w:t>S</w:t>
      </w:r>
      <w:r w:rsidR="00084C28">
        <w:rPr>
          <w:b/>
        </w:rPr>
        <w:t>2.</w:t>
      </w:r>
      <w:r w:rsidR="00084C28">
        <w:t xml:space="preserve"> Endpoint definition. MACE: major adverse cardiovascular events; AE: adverse event, TEAE: treatment-emergent adverse event, AESI: adverse events of special interest. </w:t>
      </w:r>
    </w:p>
    <w:tbl>
      <w:tblPr>
        <w:tblStyle w:val="PlainTable4"/>
        <w:tblW w:w="0" w:type="auto"/>
        <w:tblLook w:val="04A0" w:firstRow="1" w:lastRow="0" w:firstColumn="1" w:lastColumn="0" w:noHBand="0" w:noVBand="1"/>
      </w:tblPr>
      <w:tblGrid>
        <w:gridCol w:w="1450"/>
        <w:gridCol w:w="25"/>
        <w:gridCol w:w="1588"/>
        <w:gridCol w:w="105"/>
        <w:gridCol w:w="1564"/>
        <w:gridCol w:w="39"/>
        <w:gridCol w:w="1596"/>
        <w:gridCol w:w="55"/>
        <w:gridCol w:w="1432"/>
        <w:gridCol w:w="51"/>
        <w:gridCol w:w="1497"/>
        <w:gridCol w:w="54"/>
        <w:gridCol w:w="2274"/>
        <w:gridCol w:w="72"/>
        <w:gridCol w:w="1435"/>
        <w:gridCol w:w="52"/>
      </w:tblGrid>
      <w:tr w:rsidR="00C50691" w14:paraId="4F9312A9" w14:textId="77777777" w:rsidTr="003062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650E8012" w14:textId="3E3260B6" w:rsidR="00084C28" w:rsidRPr="00084C28" w:rsidRDefault="00084C28" w:rsidP="00977976">
            <w:pPr>
              <w:jc w:val="center"/>
              <w:rPr>
                <w:rFonts w:eastAsia="Times New Roman" w:cstheme="minorHAnsi"/>
                <w:b w:val="0"/>
                <w:sz w:val="18"/>
                <w:szCs w:val="18"/>
              </w:rPr>
            </w:pPr>
            <w:r w:rsidRPr="00084C28">
              <w:rPr>
                <w:rFonts w:eastAsia="Times New Roman" w:cstheme="minorHAnsi"/>
                <w:sz w:val="18"/>
                <w:szCs w:val="18"/>
              </w:rPr>
              <w:t>First Author,</w:t>
            </w:r>
            <w:r>
              <w:rPr>
                <w:rFonts w:eastAsia="Times New Roman" w:cstheme="minorHAnsi"/>
                <w:sz w:val="18"/>
                <w:szCs w:val="18"/>
              </w:rPr>
              <w:t xml:space="preserve"> </w:t>
            </w:r>
            <w:r w:rsidRPr="00084C28">
              <w:rPr>
                <w:rFonts w:eastAsia="Times New Roman" w:cstheme="minorHAnsi"/>
                <w:sz w:val="18"/>
                <w:szCs w:val="18"/>
              </w:rPr>
              <w:t>year</w:t>
            </w:r>
            <w:r>
              <w:rPr>
                <w:rFonts w:eastAsia="Times New Roman" w:cstheme="minorHAnsi"/>
                <w:sz w:val="18"/>
                <w:szCs w:val="18"/>
              </w:rPr>
              <w:t xml:space="preserve"> </w:t>
            </w:r>
            <w:r w:rsidRPr="00084C28">
              <w:rPr>
                <w:rFonts w:eastAsia="Times New Roman" w:cstheme="minorHAnsi"/>
                <w:sz w:val="18"/>
                <w:szCs w:val="18"/>
              </w:rPr>
              <w:t>(Study acronym)</w:t>
            </w:r>
          </w:p>
        </w:tc>
        <w:tc>
          <w:tcPr>
            <w:tcW w:w="2563" w:type="dxa"/>
            <w:gridSpan w:val="2"/>
          </w:tcPr>
          <w:p w14:paraId="78541D89" w14:textId="2639DF34"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MACE</w:t>
            </w:r>
          </w:p>
        </w:tc>
        <w:tc>
          <w:tcPr>
            <w:tcW w:w="2696" w:type="dxa"/>
            <w:gridSpan w:val="2"/>
          </w:tcPr>
          <w:p w14:paraId="4DFDF94B" w14:textId="153498F9"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non MACE events</w:t>
            </w:r>
          </w:p>
        </w:tc>
        <w:tc>
          <w:tcPr>
            <w:tcW w:w="2695" w:type="dxa"/>
            <w:gridSpan w:val="2"/>
          </w:tcPr>
          <w:p w14:paraId="23519B13" w14:textId="1DDD3C16"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Muscular disorders</w:t>
            </w:r>
          </w:p>
        </w:tc>
        <w:tc>
          <w:tcPr>
            <w:tcW w:w="2696" w:type="dxa"/>
            <w:gridSpan w:val="2"/>
          </w:tcPr>
          <w:p w14:paraId="0CB6DFCD" w14:textId="14C6701A"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New Onset Type 2 Diabetes Mellitus</w:t>
            </w:r>
          </w:p>
        </w:tc>
        <w:tc>
          <w:tcPr>
            <w:tcW w:w="2695" w:type="dxa"/>
            <w:gridSpan w:val="2"/>
          </w:tcPr>
          <w:p w14:paraId="5EB48247" w14:textId="5CA5E24E"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Neurocognitive disorders</w:t>
            </w:r>
          </w:p>
        </w:tc>
        <w:tc>
          <w:tcPr>
            <w:tcW w:w="2696" w:type="dxa"/>
            <w:gridSpan w:val="2"/>
          </w:tcPr>
          <w:p w14:paraId="4DF6D095" w14:textId="62E7BFAC"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Adverse Events</w:t>
            </w:r>
          </w:p>
        </w:tc>
        <w:tc>
          <w:tcPr>
            <w:tcW w:w="2696" w:type="dxa"/>
            <w:gridSpan w:val="2"/>
          </w:tcPr>
          <w:p w14:paraId="10ACC876" w14:textId="6FB1148E" w:rsidR="00084C28" w:rsidRPr="00084C28" w:rsidRDefault="00084C28" w:rsidP="00977976">
            <w:pPr>
              <w:jc w:val="cente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Treatment emergent AEs</w:t>
            </w:r>
          </w:p>
        </w:tc>
      </w:tr>
      <w:tr w:rsidR="00C50691" w14:paraId="2F244A6B" w14:textId="77777777" w:rsidTr="00306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07630829" w14:textId="77777777" w:rsidR="00084C28" w:rsidRPr="00084C28" w:rsidRDefault="00084C28" w:rsidP="00084C28">
            <w:pPr>
              <w:rPr>
                <w:rFonts w:eastAsia="Times New Roman" w:cstheme="minorHAnsi"/>
                <w:sz w:val="18"/>
                <w:szCs w:val="18"/>
              </w:rPr>
            </w:pPr>
            <w:r w:rsidRPr="00084C28">
              <w:rPr>
                <w:rFonts w:eastAsia="Times New Roman" w:cstheme="minorHAnsi"/>
                <w:sz w:val="18"/>
                <w:szCs w:val="18"/>
              </w:rPr>
              <w:t>Ray 2019,</w:t>
            </w:r>
          </w:p>
          <w:p w14:paraId="583FB549" w14:textId="7D3CD20D" w:rsidR="00084C28" w:rsidRPr="00084C28" w:rsidRDefault="00084C28" w:rsidP="00084C28">
            <w:pPr>
              <w:rPr>
                <w:rFonts w:cstheme="minorHAnsi"/>
                <w:sz w:val="18"/>
                <w:szCs w:val="18"/>
              </w:rPr>
            </w:pPr>
            <w:r w:rsidRPr="00084C28">
              <w:rPr>
                <w:rFonts w:eastAsia="Times New Roman" w:cstheme="minorHAnsi"/>
                <w:sz w:val="18"/>
                <w:szCs w:val="18"/>
              </w:rPr>
              <w:t>(CLEAR HARMONY)</w:t>
            </w:r>
          </w:p>
        </w:tc>
        <w:tc>
          <w:tcPr>
            <w:tcW w:w="2563" w:type="dxa"/>
            <w:gridSpan w:val="2"/>
          </w:tcPr>
          <w:p w14:paraId="1F1A8DD5" w14:textId="21532FAA" w:rsidR="00084C28" w:rsidRPr="00084C28" w:rsidRDefault="00084C28" w:rsidP="00084C2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CV death; non-fatal myocardial infarction; non-fatal stroke; hospitalization for unstable angina;</w:t>
            </w:r>
          </w:p>
        </w:tc>
        <w:tc>
          <w:tcPr>
            <w:tcW w:w="2696" w:type="dxa"/>
            <w:gridSpan w:val="2"/>
          </w:tcPr>
          <w:p w14:paraId="58BFF5D3"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57468A80" w14:textId="0F5858D0"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myalgia, muscle spasms, pain in extremity, muscular weakness (system organ class: musculoskeletal and connective tissue disorders), and creatine kinase &gt;5 ULN (repeated and confirmed)</w:t>
            </w:r>
          </w:p>
        </w:tc>
        <w:tc>
          <w:tcPr>
            <w:tcW w:w="2696" w:type="dxa"/>
            <w:gridSpan w:val="2"/>
          </w:tcPr>
          <w:p w14:paraId="483C2B17"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474DDBFC" w14:textId="4B53E50D"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memory impairment, amnesia, and cognitive disorder; confusional state and disorientation</w:t>
            </w:r>
          </w:p>
        </w:tc>
        <w:tc>
          <w:tcPr>
            <w:tcW w:w="2696" w:type="dxa"/>
            <w:gridSpan w:val="2"/>
          </w:tcPr>
          <w:p w14:paraId="10FD2918" w14:textId="7777777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5B1E2953"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50691" w14:paraId="445E2C71" w14:textId="77777777" w:rsidTr="00306233">
        <w:tc>
          <w:tcPr>
            <w:cnfStyle w:val="001000000000" w:firstRow="0" w:lastRow="0" w:firstColumn="1" w:lastColumn="0" w:oddVBand="0" w:evenVBand="0" w:oddHBand="0" w:evenHBand="0" w:firstRowFirstColumn="0" w:firstRowLastColumn="0" w:lastRowFirstColumn="0" w:lastRowLastColumn="0"/>
            <w:tcW w:w="2111" w:type="dxa"/>
            <w:gridSpan w:val="2"/>
          </w:tcPr>
          <w:p w14:paraId="1E47A89D" w14:textId="2041D5B6" w:rsidR="00084C28" w:rsidRPr="00084C28" w:rsidRDefault="00084C28" w:rsidP="00084C28">
            <w:pPr>
              <w:rPr>
                <w:rFonts w:eastAsia="Times New Roman" w:cstheme="minorHAnsi"/>
                <w:sz w:val="18"/>
                <w:szCs w:val="18"/>
              </w:rPr>
            </w:pPr>
            <w:r w:rsidRPr="00084C28">
              <w:rPr>
                <w:rFonts w:eastAsia="Times New Roman" w:cstheme="minorHAnsi"/>
                <w:sz w:val="18"/>
                <w:szCs w:val="18"/>
              </w:rPr>
              <w:t>Ballantyne 2019</w:t>
            </w:r>
          </w:p>
        </w:tc>
        <w:tc>
          <w:tcPr>
            <w:tcW w:w="2563" w:type="dxa"/>
            <w:gridSpan w:val="2"/>
          </w:tcPr>
          <w:p w14:paraId="3E1C5C49" w14:textId="77777777" w:rsidR="00084C28" w:rsidRPr="00084C28" w:rsidRDefault="00084C28" w:rsidP="00084C28">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610D40C6"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5" w:type="dxa"/>
            <w:gridSpan w:val="2"/>
          </w:tcPr>
          <w:p w14:paraId="547AC71E" w14:textId="18B05EF1"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muscular weakness, muscle necrosis, muscle spasms, myalgia, myoglobin blood increased, myoglobin blood present, myoglobin urine present, myoglobinemia, myoglobinuria, myopathy, myopathy toxic, necrotizing myositis, pain in extremity, and rhabdomyolysis.</w:t>
            </w:r>
          </w:p>
        </w:tc>
        <w:tc>
          <w:tcPr>
            <w:tcW w:w="2696" w:type="dxa"/>
            <w:gridSpan w:val="2"/>
          </w:tcPr>
          <w:p w14:paraId="0535A5EA"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5" w:type="dxa"/>
            <w:gridSpan w:val="2"/>
          </w:tcPr>
          <w:p w14:paraId="762AB794"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5FD1A419" w14:textId="41370EE4"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metabolic acidosis, hepatic safety, muscular safety, new-onset diabetes/hyperglycemia, renal safety, cardiovascular events and neurocognitive/neurological events</w:t>
            </w:r>
          </w:p>
        </w:tc>
        <w:tc>
          <w:tcPr>
            <w:tcW w:w="2696" w:type="dxa"/>
            <w:gridSpan w:val="2"/>
          </w:tcPr>
          <w:p w14:paraId="08912C53"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50691" w14:paraId="5457F395" w14:textId="77777777" w:rsidTr="00306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6BDBBF0B" w14:textId="32A1FA3C" w:rsidR="00084C28" w:rsidRPr="00084C28" w:rsidRDefault="00084C28" w:rsidP="00084C28">
            <w:pPr>
              <w:rPr>
                <w:rFonts w:cstheme="minorHAnsi"/>
                <w:sz w:val="18"/>
                <w:szCs w:val="18"/>
              </w:rPr>
            </w:pPr>
            <w:r w:rsidRPr="00084C28">
              <w:rPr>
                <w:rFonts w:eastAsia="Times New Roman" w:cstheme="minorHAnsi"/>
                <w:sz w:val="18"/>
                <w:szCs w:val="18"/>
              </w:rPr>
              <w:t xml:space="preserve">Goldberg 2019 (CLEAR WISDOM) </w:t>
            </w:r>
          </w:p>
        </w:tc>
        <w:tc>
          <w:tcPr>
            <w:tcW w:w="2563" w:type="dxa"/>
            <w:gridSpan w:val="2"/>
          </w:tcPr>
          <w:p w14:paraId="683CFA96" w14:textId="0B09AFEF" w:rsidR="00084C28" w:rsidRPr="00084C28" w:rsidRDefault="00084C28" w:rsidP="00084C28">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cardiovascular death, myocardial infarction, nonfatal stroke, hospitalization for unstable angina, and coronary revascularization</w:t>
            </w:r>
          </w:p>
        </w:tc>
        <w:tc>
          <w:tcPr>
            <w:tcW w:w="2696" w:type="dxa"/>
            <w:gridSpan w:val="2"/>
          </w:tcPr>
          <w:p w14:paraId="0666346C"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19F5C43D" w14:textId="0DAF190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Myalgia, muscle spasm, pain in extremities, muscular weakness, creatine kinase &gt; 5 ULN</w:t>
            </w:r>
          </w:p>
        </w:tc>
        <w:tc>
          <w:tcPr>
            <w:tcW w:w="2696" w:type="dxa"/>
            <w:gridSpan w:val="2"/>
          </w:tcPr>
          <w:p w14:paraId="04762A10"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44384961"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3E63F677" w14:textId="115FD3AC"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color w:val="212121"/>
                <w:sz w:val="18"/>
                <w:szCs w:val="18"/>
                <w:highlight w:val="white"/>
              </w:rPr>
              <w:t>hepatic events, muscle-related events, metabolic acidosis, hypoglycemia, new-onset or worsening diabetes, hyperuricemia, gout, renal events, and neurocognitive disorders</w:t>
            </w:r>
          </w:p>
        </w:tc>
        <w:tc>
          <w:tcPr>
            <w:tcW w:w="2696" w:type="dxa"/>
            <w:gridSpan w:val="2"/>
          </w:tcPr>
          <w:p w14:paraId="1BF3001C"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50691" w14:paraId="2BB89729" w14:textId="77777777" w:rsidTr="00306233">
        <w:tc>
          <w:tcPr>
            <w:cnfStyle w:val="001000000000" w:firstRow="0" w:lastRow="0" w:firstColumn="1" w:lastColumn="0" w:oddVBand="0" w:evenVBand="0" w:oddHBand="0" w:evenHBand="0" w:firstRowFirstColumn="0" w:firstRowLastColumn="0" w:lastRowFirstColumn="0" w:lastRowLastColumn="0"/>
            <w:tcW w:w="2111" w:type="dxa"/>
            <w:gridSpan w:val="2"/>
          </w:tcPr>
          <w:p w14:paraId="420A97AE" w14:textId="77777777" w:rsidR="00306233" w:rsidRDefault="00306233" w:rsidP="00084C28">
            <w:pPr>
              <w:rPr>
                <w:rFonts w:eastAsia="Times New Roman" w:cstheme="minorHAnsi"/>
                <w:sz w:val="18"/>
                <w:szCs w:val="18"/>
              </w:rPr>
            </w:pPr>
          </w:p>
          <w:p w14:paraId="4D288AEC" w14:textId="12D64B11" w:rsidR="00084C28" w:rsidRPr="00084C28" w:rsidRDefault="00084C28" w:rsidP="00084C28">
            <w:pPr>
              <w:rPr>
                <w:rFonts w:cstheme="minorHAnsi"/>
                <w:sz w:val="18"/>
                <w:szCs w:val="18"/>
              </w:rPr>
            </w:pPr>
            <w:r w:rsidRPr="00084C28">
              <w:rPr>
                <w:rFonts w:eastAsia="Times New Roman" w:cstheme="minorHAnsi"/>
                <w:sz w:val="18"/>
                <w:szCs w:val="18"/>
              </w:rPr>
              <w:t>Ballantyne 2016</w:t>
            </w:r>
          </w:p>
        </w:tc>
        <w:tc>
          <w:tcPr>
            <w:tcW w:w="2563" w:type="dxa"/>
            <w:gridSpan w:val="2"/>
          </w:tcPr>
          <w:p w14:paraId="276659E0" w14:textId="77777777" w:rsidR="00084C28" w:rsidRPr="00084C28" w:rsidRDefault="00084C28" w:rsidP="00084C28">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6" w:type="dxa"/>
            <w:gridSpan w:val="2"/>
          </w:tcPr>
          <w:p w14:paraId="1C92AD8F"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42190FDB" w14:textId="77777777"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6" w:type="dxa"/>
            <w:gridSpan w:val="2"/>
          </w:tcPr>
          <w:p w14:paraId="56821448"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5750F22F"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6" w:type="dxa"/>
            <w:gridSpan w:val="2"/>
          </w:tcPr>
          <w:p w14:paraId="243634DE" w14:textId="77777777"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AE’s coded using the Medical</w:t>
            </w:r>
          </w:p>
          <w:p w14:paraId="5767E1B8" w14:textId="4E96E231"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lastRenderedPageBreak/>
              <w:t>Dictionary for Regulatory Activities version 16.1</w:t>
            </w:r>
          </w:p>
        </w:tc>
        <w:tc>
          <w:tcPr>
            <w:tcW w:w="2696" w:type="dxa"/>
            <w:gridSpan w:val="2"/>
          </w:tcPr>
          <w:p w14:paraId="474B3838"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50691" w14:paraId="73BC3A16" w14:textId="77777777" w:rsidTr="00306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638BB910" w14:textId="6ED129A9" w:rsidR="00084C28" w:rsidRPr="00084C28" w:rsidRDefault="00084C28" w:rsidP="00084C28">
            <w:pPr>
              <w:rPr>
                <w:rFonts w:cstheme="minorHAnsi"/>
                <w:sz w:val="18"/>
                <w:szCs w:val="18"/>
              </w:rPr>
            </w:pPr>
            <w:r w:rsidRPr="00084C28">
              <w:rPr>
                <w:rFonts w:eastAsia="Times New Roman" w:cstheme="minorHAnsi"/>
                <w:sz w:val="18"/>
                <w:szCs w:val="18"/>
              </w:rPr>
              <w:t>Laufs 2019</w:t>
            </w:r>
          </w:p>
        </w:tc>
        <w:tc>
          <w:tcPr>
            <w:tcW w:w="2563" w:type="dxa"/>
            <w:gridSpan w:val="2"/>
          </w:tcPr>
          <w:p w14:paraId="6938196D" w14:textId="77777777"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cardiovascular death,</w:t>
            </w:r>
          </w:p>
          <w:p w14:paraId="28344D21" w14:textId="77777777"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nonfatal myocardial infarction, nonfatal stroke, hospitalization</w:t>
            </w:r>
          </w:p>
          <w:p w14:paraId="797FBF5B" w14:textId="77777777"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for unstable angina, coronary revascularization</w:t>
            </w:r>
          </w:p>
          <w:p w14:paraId="02478B5C" w14:textId="77777777" w:rsidR="00084C28" w:rsidRPr="00084C28" w:rsidRDefault="00084C28" w:rsidP="00084C28">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0DB9F528"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34DCF421" w14:textId="77777777" w:rsidR="00084C28" w:rsidRPr="00084C28" w:rsidRDefault="00084C28" w:rsidP="00084C2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muscular</w:t>
            </w:r>
          </w:p>
          <w:p w14:paraId="1B8E6963" w14:textId="77777777" w:rsidR="00084C28" w:rsidRPr="00084C28" w:rsidRDefault="00084C28" w:rsidP="00084C2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weakness, muscle necrosis, muscle spasms, myalgia, necrotizing myositis, pain in extremity, and</w:t>
            </w:r>
          </w:p>
          <w:p w14:paraId="416DB4CF" w14:textId="77777777" w:rsidR="00084C28" w:rsidRPr="00084C28" w:rsidRDefault="00084C28" w:rsidP="00084C2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rhabdomyolysis.</w:t>
            </w:r>
          </w:p>
          <w:p w14:paraId="31FEC3DF" w14:textId="7777777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15ACFF4E"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28BE4BBB"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cognitive decline, depression</w:t>
            </w:r>
          </w:p>
          <w:p w14:paraId="28CB1D24"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1329C4B3" w14:textId="7777777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6" w:type="dxa"/>
            <w:gridSpan w:val="2"/>
          </w:tcPr>
          <w:p w14:paraId="446BB99B"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50691" w14:paraId="4959EDE1" w14:textId="77777777" w:rsidTr="00306233">
        <w:tc>
          <w:tcPr>
            <w:cnfStyle w:val="001000000000" w:firstRow="0" w:lastRow="0" w:firstColumn="1" w:lastColumn="0" w:oddVBand="0" w:evenVBand="0" w:oddHBand="0" w:evenHBand="0" w:firstRowFirstColumn="0" w:firstRowLastColumn="0" w:lastRowFirstColumn="0" w:lastRowLastColumn="0"/>
            <w:tcW w:w="2111" w:type="dxa"/>
            <w:gridSpan w:val="2"/>
          </w:tcPr>
          <w:p w14:paraId="0889D317" w14:textId="6716F965" w:rsidR="00084C28" w:rsidRPr="00084C28" w:rsidRDefault="00084C28" w:rsidP="00084C28">
            <w:pPr>
              <w:rPr>
                <w:rFonts w:eastAsia="Times New Roman" w:cstheme="minorHAnsi"/>
                <w:sz w:val="18"/>
                <w:szCs w:val="18"/>
              </w:rPr>
            </w:pPr>
            <w:r w:rsidRPr="00084C28">
              <w:rPr>
                <w:rFonts w:eastAsia="Times New Roman" w:cstheme="minorHAnsi"/>
                <w:sz w:val="18"/>
                <w:szCs w:val="18"/>
              </w:rPr>
              <w:t>Lalwani 2019</w:t>
            </w:r>
          </w:p>
        </w:tc>
        <w:tc>
          <w:tcPr>
            <w:tcW w:w="2563" w:type="dxa"/>
            <w:gridSpan w:val="2"/>
          </w:tcPr>
          <w:p w14:paraId="2A73CBDC" w14:textId="77777777" w:rsidR="00084C28" w:rsidRPr="00084C28" w:rsidRDefault="00084C28" w:rsidP="00084C2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37607ABC"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0B514089" w14:textId="77777777" w:rsidR="00084C28" w:rsidRPr="00084C28" w:rsidRDefault="00084C28" w:rsidP="00084C28">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47259120"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073D4BCD"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55919C69" w14:textId="77777777"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6" w:type="dxa"/>
            <w:gridSpan w:val="2"/>
          </w:tcPr>
          <w:p w14:paraId="4E2A570A" w14:textId="776A903F"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84C28">
              <w:rPr>
                <w:rFonts w:eastAsia="Times New Roman" w:cstheme="minorHAnsi"/>
                <w:sz w:val="18"/>
                <w:szCs w:val="18"/>
              </w:rPr>
              <w:t>AEs that began or worsened after the first dose of bempedoic acid or placebo.</w:t>
            </w:r>
          </w:p>
        </w:tc>
      </w:tr>
      <w:tr w:rsidR="00C50691" w14:paraId="7A694A3B" w14:textId="77777777" w:rsidTr="00306233">
        <w:trPr>
          <w:gridAfter w:val="1"/>
          <w:cnfStyle w:val="000000100000" w:firstRow="0" w:lastRow="0" w:firstColumn="0" w:lastColumn="0" w:oddVBand="0" w:evenVBand="0" w:oddHBand="1" w:evenHBand="0" w:firstRowFirstColumn="0" w:firstRowLastColumn="0" w:lastRowFirstColumn="0" w:lastRowLastColumn="0"/>
          <w:wAfter w:w="52" w:type="dxa"/>
        </w:trPr>
        <w:tc>
          <w:tcPr>
            <w:cnfStyle w:val="001000000000" w:firstRow="0" w:lastRow="0" w:firstColumn="1" w:lastColumn="0" w:oddVBand="0" w:evenVBand="0" w:oddHBand="0" w:evenHBand="0" w:firstRowFirstColumn="0" w:firstRowLastColumn="0" w:lastRowFirstColumn="0" w:lastRowLastColumn="0"/>
            <w:tcW w:w="1979" w:type="dxa"/>
          </w:tcPr>
          <w:p w14:paraId="7A0231DA" w14:textId="77777777" w:rsidR="00977976" w:rsidRDefault="00084C28" w:rsidP="00084C28">
            <w:pPr>
              <w:rPr>
                <w:rFonts w:eastAsia="Times New Roman" w:cstheme="minorHAnsi"/>
                <w:sz w:val="18"/>
                <w:szCs w:val="18"/>
              </w:rPr>
            </w:pPr>
            <w:r w:rsidRPr="00084C28">
              <w:rPr>
                <w:rFonts w:eastAsia="Times New Roman" w:cstheme="minorHAnsi"/>
                <w:sz w:val="18"/>
                <w:szCs w:val="18"/>
              </w:rPr>
              <w:t xml:space="preserve">Ballantyne 2018 </w:t>
            </w:r>
          </w:p>
          <w:p w14:paraId="619741FF" w14:textId="02686548" w:rsidR="00084C28" w:rsidRPr="00084C28" w:rsidRDefault="00977976" w:rsidP="00084C28">
            <w:pPr>
              <w:rPr>
                <w:rFonts w:eastAsia="Times New Roman" w:cstheme="minorHAnsi"/>
                <w:sz w:val="18"/>
                <w:szCs w:val="18"/>
              </w:rPr>
            </w:pPr>
            <w:r w:rsidRPr="008D3112">
              <w:rPr>
                <w:rFonts w:eastAsia="Times New Roman" w:cstheme="minorHAnsi"/>
                <w:sz w:val="18"/>
                <w:szCs w:val="18"/>
              </w:rPr>
              <w:t>(</w:t>
            </w:r>
            <w:r w:rsidR="00084C28" w:rsidRPr="008D3112">
              <w:rPr>
                <w:rFonts w:eastAsia="Times New Roman" w:cstheme="minorHAnsi"/>
                <w:sz w:val="18"/>
                <w:szCs w:val="18"/>
              </w:rPr>
              <w:t>CLEAR</w:t>
            </w:r>
            <w:r w:rsidRPr="008D3112">
              <w:rPr>
                <w:rFonts w:eastAsia="Times New Roman" w:cstheme="minorHAnsi"/>
                <w:sz w:val="18"/>
                <w:szCs w:val="18"/>
              </w:rPr>
              <w:t xml:space="preserve"> </w:t>
            </w:r>
            <w:r w:rsidR="00084C28" w:rsidRPr="008D3112">
              <w:rPr>
                <w:rFonts w:eastAsia="Times New Roman" w:cstheme="minorHAnsi"/>
                <w:sz w:val="18"/>
                <w:szCs w:val="18"/>
              </w:rPr>
              <w:t>TRANQUILLITY</w:t>
            </w:r>
            <w:r w:rsidRPr="008D3112">
              <w:rPr>
                <w:rFonts w:eastAsia="Times New Roman" w:cstheme="minorHAnsi"/>
                <w:sz w:val="18"/>
                <w:szCs w:val="18"/>
              </w:rPr>
              <w:t>)</w:t>
            </w:r>
          </w:p>
        </w:tc>
        <w:tc>
          <w:tcPr>
            <w:tcW w:w="2563" w:type="dxa"/>
            <w:gridSpan w:val="2"/>
          </w:tcPr>
          <w:p w14:paraId="02CBB2CD" w14:textId="5CE10ECF"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cardiovascular death,  nonfatal myocardial infarction, nonfatal stroke, hospitalization for unstable angina, coronary revascularization</w:t>
            </w:r>
          </w:p>
        </w:tc>
        <w:tc>
          <w:tcPr>
            <w:tcW w:w="2696" w:type="dxa"/>
            <w:gridSpan w:val="2"/>
          </w:tcPr>
          <w:p w14:paraId="5B9709CF" w14:textId="3DF4F7E1"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non-cardiovascular death, non-coronary arterial revascularization, hospitalization for heart failure</w:t>
            </w:r>
          </w:p>
        </w:tc>
        <w:tc>
          <w:tcPr>
            <w:tcW w:w="2695" w:type="dxa"/>
            <w:gridSpan w:val="2"/>
          </w:tcPr>
          <w:p w14:paraId="4C6031E7" w14:textId="0330B1A9" w:rsidR="00084C28" w:rsidRPr="00084C28" w:rsidRDefault="00084C28" w:rsidP="00C5069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muscle spasms, myalgia, muscular weakness, myoglobin blood increased, myoglobin blood present, myoglobin urine present, myoglobinemia, myoglinuria, myopathy, myopathy toxic, muscle necrosis, necrotizing myositis, pain in extremity, rhabdomyolysis</w:t>
            </w:r>
          </w:p>
        </w:tc>
        <w:tc>
          <w:tcPr>
            <w:tcW w:w="2696" w:type="dxa"/>
            <w:gridSpan w:val="2"/>
          </w:tcPr>
          <w:p w14:paraId="21674462"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11B738CC"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c>
          <w:tcPr>
            <w:tcW w:w="2696" w:type="dxa"/>
            <w:gridSpan w:val="2"/>
          </w:tcPr>
          <w:p w14:paraId="7E1C652D" w14:textId="1783D43A"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reversible hypoglycemia, metabolic acidosis, new onset of diabetes.</w:t>
            </w:r>
          </w:p>
          <w:p w14:paraId="226265D0"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p w14:paraId="33E8ADB6" w14:textId="37718625"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Serious AE:</w:t>
            </w:r>
          </w:p>
          <w:p w14:paraId="005CEE19" w14:textId="19340173"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1) results in death</w:t>
            </w:r>
          </w:p>
          <w:p w14:paraId="0826D36F"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2) Is life threatening</w:t>
            </w:r>
          </w:p>
          <w:p w14:paraId="5489EC17" w14:textId="51D45F6F"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3) Requires in-patient hospitalization or prolongation of existing hospitalization 4) Results in persistent or significant disability/incapacity, or substantial disruption of the ability to conduct normal life functions</w:t>
            </w:r>
          </w:p>
          <w:p w14:paraId="4A33215C" w14:textId="7B28619B"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4) Is a congenital anomaly/birth defect</w:t>
            </w:r>
          </w:p>
          <w:p w14:paraId="3D0AB1BE" w14:textId="2693B05F"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5) An important medical event</w:t>
            </w:r>
          </w:p>
        </w:tc>
        <w:tc>
          <w:tcPr>
            <w:tcW w:w="2696" w:type="dxa"/>
            <w:gridSpan w:val="2"/>
          </w:tcPr>
          <w:p w14:paraId="5E519260"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C50691" w14:paraId="392CA16D" w14:textId="77777777" w:rsidTr="00306233">
        <w:tc>
          <w:tcPr>
            <w:cnfStyle w:val="001000000000" w:firstRow="0" w:lastRow="0" w:firstColumn="1" w:lastColumn="0" w:oddVBand="0" w:evenVBand="0" w:oddHBand="0" w:evenHBand="0" w:firstRowFirstColumn="0" w:firstRowLastColumn="0" w:lastRowFirstColumn="0" w:lastRowLastColumn="0"/>
            <w:tcW w:w="2111" w:type="dxa"/>
            <w:gridSpan w:val="2"/>
          </w:tcPr>
          <w:p w14:paraId="31F6E2DF" w14:textId="350DC30C" w:rsidR="00084C28" w:rsidRPr="00084C28" w:rsidRDefault="00084C28" w:rsidP="00084C28">
            <w:pPr>
              <w:rPr>
                <w:rFonts w:eastAsia="Times New Roman" w:cstheme="minorHAnsi"/>
                <w:sz w:val="18"/>
                <w:szCs w:val="18"/>
              </w:rPr>
            </w:pPr>
            <w:r w:rsidRPr="00084C28">
              <w:rPr>
                <w:rFonts w:eastAsia="Times New Roman" w:cstheme="minorHAnsi"/>
                <w:sz w:val="18"/>
                <w:szCs w:val="18"/>
              </w:rPr>
              <w:t>Bays 2021</w:t>
            </w:r>
          </w:p>
        </w:tc>
        <w:tc>
          <w:tcPr>
            <w:tcW w:w="2563" w:type="dxa"/>
            <w:gridSpan w:val="2"/>
          </w:tcPr>
          <w:p w14:paraId="676A5841" w14:textId="77777777" w:rsidR="00084C28" w:rsidRPr="00084C28" w:rsidRDefault="00084C28" w:rsidP="00084C2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75C8AE3F"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2ED191A9" w14:textId="77777777" w:rsidR="00084C28" w:rsidRPr="00084C28" w:rsidRDefault="00084C28" w:rsidP="00084C28">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38CDD417"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4B4E4C13"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15C946F4" w14:textId="6C007ED8"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84C28">
              <w:rPr>
                <w:rFonts w:eastAsia="Georgia" w:cstheme="minorHAnsi"/>
                <w:color w:val="2E2E2E"/>
                <w:sz w:val="18"/>
                <w:szCs w:val="18"/>
              </w:rPr>
              <w:t xml:space="preserve">AESI: adverse event of special interest: prespecified based on potential or theoretical risks of bempedoic acid or other lipid-lowering therapies and included </w:t>
            </w:r>
            <w:r w:rsidRPr="00084C28">
              <w:rPr>
                <w:rFonts w:eastAsia="Georgia" w:cstheme="minorHAnsi"/>
                <w:color w:val="2E2E2E"/>
                <w:sz w:val="18"/>
                <w:szCs w:val="18"/>
              </w:rPr>
              <w:lastRenderedPageBreak/>
              <w:t xml:space="preserve">preferred terms related to </w:t>
            </w:r>
            <w:hyperlink r:id="rId4">
              <w:r w:rsidRPr="00084C28">
                <w:rPr>
                  <w:rFonts w:eastAsia="Georgia" w:cstheme="minorHAnsi"/>
                  <w:color w:val="2E2E2E"/>
                  <w:sz w:val="18"/>
                  <w:szCs w:val="18"/>
                </w:rPr>
                <w:t>metabolic acidosis</w:t>
              </w:r>
            </w:hyperlink>
            <w:r w:rsidRPr="00084C28">
              <w:rPr>
                <w:rFonts w:eastAsia="Georgia" w:cstheme="minorHAnsi"/>
                <w:color w:val="2E2E2E"/>
                <w:sz w:val="18"/>
                <w:szCs w:val="18"/>
              </w:rPr>
              <w:t>; hepatic, muscular, renal, cardiovascular, and neurocognitive/neurologic events; and new-onset diabetes mellitus or hyperglycemia. AESIs coded according to Medical Dictionary of Regulatory Activities (MedDRA), version 21.0.</w:t>
            </w:r>
          </w:p>
        </w:tc>
        <w:tc>
          <w:tcPr>
            <w:tcW w:w="2696" w:type="dxa"/>
            <w:gridSpan w:val="2"/>
          </w:tcPr>
          <w:p w14:paraId="6A0F1C5A"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Georgia" w:cstheme="minorHAnsi"/>
                <w:color w:val="2E2E2E"/>
                <w:sz w:val="18"/>
                <w:szCs w:val="18"/>
              </w:rPr>
            </w:pPr>
            <w:r w:rsidRPr="00084C28">
              <w:rPr>
                <w:rFonts w:eastAsia="Georgia" w:cstheme="minorHAnsi"/>
                <w:color w:val="2E2E2E"/>
                <w:sz w:val="18"/>
                <w:szCs w:val="18"/>
              </w:rPr>
              <w:lastRenderedPageBreak/>
              <w:t xml:space="preserve">TEAEs: adverse events that began or worsened in severity after the first dose of </w:t>
            </w:r>
            <w:r w:rsidRPr="00084C28">
              <w:rPr>
                <w:rFonts w:eastAsia="Georgia" w:cstheme="minorHAnsi"/>
                <w:color w:val="2E2E2E"/>
                <w:sz w:val="18"/>
                <w:szCs w:val="18"/>
              </w:rPr>
              <w:lastRenderedPageBreak/>
              <w:t>double-blind study drug until 30 days after the last dose. TEAEs coded according to Medical Dictionary of Regulatory Activities (MedDRA), version 20.1</w:t>
            </w:r>
          </w:p>
          <w:p w14:paraId="65B3AE25"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C50691" w14:paraId="410D1644" w14:textId="77777777" w:rsidTr="00306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07D04F26" w14:textId="540EEEE1" w:rsidR="00084C28" w:rsidRPr="00084C28" w:rsidRDefault="00084C28" w:rsidP="00084C28">
            <w:pPr>
              <w:rPr>
                <w:rFonts w:eastAsia="Times New Roman" w:cstheme="minorHAnsi"/>
                <w:sz w:val="18"/>
                <w:szCs w:val="18"/>
              </w:rPr>
            </w:pPr>
            <w:r w:rsidRPr="00084C28">
              <w:rPr>
                <w:rFonts w:eastAsia="Times New Roman" w:cstheme="minorHAnsi"/>
                <w:sz w:val="18"/>
                <w:szCs w:val="18"/>
              </w:rPr>
              <w:lastRenderedPageBreak/>
              <w:t>Rubino 2020</w:t>
            </w:r>
          </w:p>
        </w:tc>
        <w:tc>
          <w:tcPr>
            <w:tcW w:w="2563" w:type="dxa"/>
            <w:gridSpan w:val="2"/>
          </w:tcPr>
          <w:p w14:paraId="5D7927CA" w14:textId="77777777"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c>
          <w:tcPr>
            <w:tcW w:w="2696" w:type="dxa"/>
            <w:gridSpan w:val="2"/>
          </w:tcPr>
          <w:p w14:paraId="0BF85910"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517D64C6" w14:textId="77777777" w:rsidR="00084C28" w:rsidRPr="00084C28" w:rsidRDefault="00084C28" w:rsidP="00084C2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c>
          <w:tcPr>
            <w:tcW w:w="2696" w:type="dxa"/>
            <w:gridSpan w:val="2"/>
          </w:tcPr>
          <w:p w14:paraId="528FCEFA"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72043EDC"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c>
          <w:tcPr>
            <w:tcW w:w="2696" w:type="dxa"/>
            <w:gridSpan w:val="2"/>
          </w:tcPr>
          <w:p w14:paraId="27EC694C" w14:textId="5BEF01E2"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eastAsia="Georgia" w:cstheme="minorHAnsi"/>
                <w:color w:val="2E2E2E"/>
                <w:sz w:val="18"/>
                <w:szCs w:val="18"/>
              </w:rPr>
            </w:pPr>
            <w:r w:rsidRPr="00084C28">
              <w:rPr>
                <w:rFonts w:eastAsia="Times New Roman" w:cstheme="minorHAnsi"/>
                <w:sz w:val="18"/>
                <w:szCs w:val="18"/>
              </w:rPr>
              <w:t>AEs coded using the Medical Dictionary for Regulatory Activities (MedDRA) Version 19.1 or later</w:t>
            </w:r>
          </w:p>
        </w:tc>
        <w:tc>
          <w:tcPr>
            <w:tcW w:w="2696" w:type="dxa"/>
            <w:gridSpan w:val="2"/>
          </w:tcPr>
          <w:p w14:paraId="33904753"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Georgia" w:cstheme="minorHAnsi"/>
                <w:color w:val="2E2E2E"/>
                <w:sz w:val="18"/>
                <w:szCs w:val="18"/>
              </w:rPr>
            </w:pPr>
          </w:p>
        </w:tc>
      </w:tr>
      <w:tr w:rsidR="00C50691" w14:paraId="0BB03A36" w14:textId="77777777" w:rsidTr="00306233">
        <w:tc>
          <w:tcPr>
            <w:cnfStyle w:val="001000000000" w:firstRow="0" w:lastRow="0" w:firstColumn="1" w:lastColumn="0" w:oddVBand="0" w:evenVBand="0" w:oddHBand="0" w:evenHBand="0" w:firstRowFirstColumn="0" w:firstRowLastColumn="0" w:lastRowFirstColumn="0" w:lastRowLastColumn="0"/>
            <w:tcW w:w="2111" w:type="dxa"/>
            <w:gridSpan w:val="2"/>
          </w:tcPr>
          <w:p w14:paraId="4AFAF8C8" w14:textId="60C2992E" w:rsidR="00084C28" w:rsidRPr="00084C28" w:rsidRDefault="00084C28" w:rsidP="00084C28">
            <w:pPr>
              <w:rPr>
                <w:rFonts w:eastAsia="Times New Roman" w:cstheme="minorHAnsi"/>
                <w:sz w:val="18"/>
                <w:szCs w:val="18"/>
              </w:rPr>
            </w:pPr>
            <w:r w:rsidRPr="00084C28">
              <w:rPr>
                <w:rFonts w:eastAsia="Times New Roman" w:cstheme="minorHAnsi"/>
                <w:sz w:val="18"/>
                <w:szCs w:val="18"/>
              </w:rPr>
              <w:t>Rubino 2021</w:t>
            </w:r>
          </w:p>
        </w:tc>
        <w:tc>
          <w:tcPr>
            <w:tcW w:w="2563" w:type="dxa"/>
            <w:gridSpan w:val="2"/>
          </w:tcPr>
          <w:p w14:paraId="1926EA20" w14:textId="77777777" w:rsidR="00084C28" w:rsidRPr="00084C28" w:rsidRDefault="00084C28" w:rsidP="00084C2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04F07C76"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18E35C23" w14:textId="77777777" w:rsidR="00084C28" w:rsidRPr="00084C28" w:rsidRDefault="00084C28" w:rsidP="00084C28">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65527711"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695" w:type="dxa"/>
            <w:gridSpan w:val="2"/>
          </w:tcPr>
          <w:p w14:paraId="27AEA48A"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tc>
        <w:tc>
          <w:tcPr>
            <w:tcW w:w="2696" w:type="dxa"/>
            <w:gridSpan w:val="2"/>
          </w:tcPr>
          <w:p w14:paraId="247B6EE7" w14:textId="77777777" w:rsidR="00084C28" w:rsidRPr="00084C28" w:rsidRDefault="00084C28" w:rsidP="00084C28">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All AEs were coded by system organ class and preferred term using the Medical Dictionary for Regulatory Affairs, version 20.1</w:t>
            </w:r>
            <w:r w:rsidRPr="00084C28">
              <w:rPr>
                <w:rFonts w:eastAsia="Times New Roman" w:cstheme="minorHAnsi"/>
                <w:sz w:val="18"/>
                <w:szCs w:val="18"/>
              </w:rPr>
              <w:tab/>
            </w:r>
            <w:r w:rsidRPr="00084C28">
              <w:rPr>
                <w:rFonts w:eastAsia="Times New Roman" w:cstheme="minorHAnsi"/>
                <w:sz w:val="18"/>
                <w:szCs w:val="18"/>
              </w:rPr>
              <w:tab/>
              <w:t xml:space="preserve"> </w:t>
            </w:r>
            <w:r w:rsidRPr="00084C28">
              <w:rPr>
                <w:rFonts w:eastAsia="Times New Roman" w:cstheme="minorHAnsi"/>
                <w:sz w:val="18"/>
                <w:szCs w:val="18"/>
              </w:rPr>
              <w:tab/>
              <w:t xml:space="preserve"> </w:t>
            </w:r>
          </w:p>
          <w:p w14:paraId="71EB020B" w14:textId="200FDB70" w:rsidR="00084C28" w:rsidRPr="00C50691" w:rsidRDefault="00084C28" w:rsidP="00084C28">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 xml:space="preserve">All reports of AEs were collected from the time of informed consent until 30 days after the last dose of the IMP. </w:t>
            </w:r>
          </w:p>
        </w:tc>
        <w:tc>
          <w:tcPr>
            <w:tcW w:w="2696" w:type="dxa"/>
            <w:gridSpan w:val="2"/>
          </w:tcPr>
          <w:p w14:paraId="3097B978" w14:textId="6BFD15B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p>
          <w:p w14:paraId="35162548" w14:textId="67370DFB" w:rsidR="00084C28" w:rsidRPr="00084C28" w:rsidRDefault="00084C28" w:rsidP="00C50691">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Treatment-emergent AEs (TEAEs) were defined as AEs that began or worsened after administration of the first dose of the investigational medical product (IMP)</w:t>
            </w:r>
          </w:p>
          <w:p w14:paraId="5FBA5DE0" w14:textId="77777777" w:rsidR="00084C28" w:rsidRPr="00084C28" w:rsidRDefault="00084C28" w:rsidP="00C50691">
            <w:pPr>
              <w:jc w:val="center"/>
              <w:cnfStyle w:val="000000000000" w:firstRow="0" w:lastRow="0" w:firstColumn="0" w:lastColumn="0" w:oddVBand="0" w:evenVBand="0" w:oddHBand="0" w:evenHBand="0" w:firstRowFirstColumn="0" w:firstRowLastColumn="0" w:lastRowFirstColumn="0" w:lastRowLastColumn="0"/>
              <w:rPr>
                <w:rFonts w:eastAsia="Georgia" w:cstheme="minorHAnsi"/>
                <w:color w:val="2E2E2E"/>
                <w:sz w:val="18"/>
                <w:szCs w:val="18"/>
              </w:rPr>
            </w:pPr>
          </w:p>
        </w:tc>
      </w:tr>
      <w:tr w:rsidR="00C50691" w14:paraId="70E91BCF" w14:textId="77777777" w:rsidTr="00306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gridSpan w:val="2"/>
          </w:tcPr>
          <w:p w14:paraId="3363EE0C" w14:textId="3CDF6A3D" w:rsidR="00084C28" w:rsidRPr="00084C28" w:rsidRDefault="00084C28" w:rsidP="00084C28">
            <w:pPr>
              <w:rPr>
                <w:rFonts w:eastAsia="Times New Roman" w:cstheme="minorHAnsi"/>
                <w:sz w:val="18"/>
                <w:szCs w:val="18"/>
              </w:rPr>
            </w:pPr>
            <w:r w:rsidRPr="00084C28">
              <w:rPr>
                <w:rFonts w:eastAsia="Times New Roman" w:cstheme="minorHAnsi"/>
                <w:sz w:val="18"/>
                <w:szCs w:val="18"/>
              </w:rPr>
              <w:t>Nissen 2023</w:t>
            </w:r>
          </w:p>
        </w:tc>
        <w:tc>
          <w:tcPr>
            <w:tcW w:w="2563" w:type="dxa"/>
            <w:gridSpan w:val="2"/>
          </w:tcPr>
          <w:p w14:paraId="1BB001AD" w14:textId="61FB6BD7" w:rsidR="00084C28" w:rsidRPr="00084C28" w:rsidRDefault="00084C28" w:rsidP="00084C28">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highlight w:val="white"/>
              </w:rPr>
              <w:t>death from cardiovascular causes, nonfatal myocardial infarction, nonfatal stroke, coronary revascularization</w:t>
            </w:r>
          </w:p>
        </w:tc>
        <w:tc>
          <w:tcPr>
            <w:tcW w:w="2696" w:type="dxa"/>
            <w:gridSpan w:val="2"/>
          </w:tcPr>
          <w:p w14:paraId="4A3D0FFB" w14:textId="77777777"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695" w:type="dxa"/>
            <w:gridSpan w:val="2"/>
          </w:tcPr>
          <w:p w14:paraId="239AEAA0" w14:textId="05651477" w:rsidR="00084C28" w:rsidRPr="00084C28" w:rsidRDefault="00084C28" w:rsidP="00084C2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 xml:space="preserve">Muscular weakness, muscle necrosis, muscle spasms, myalgia, myositis, myoglobin blood increased, myoglobin blood present, myoglobin urine, myoglobin urine present, </w:t>
            </w:r>
            <w:r w:rsidRPr="00084C28">
              <w:rPr>
                <w:rFonts w:eastAsia="Times New Roman" w:cstheme="minorHAnsi"/>
                <w:sz w:val="18"/>
                <w:szCs w:val="18"/>
              </w:rPr>
              <w:lastRenderedPageBreak/>
              <w:t>myoglobinaemia, myoglobinuria, myopathy, myopathy toxic, necrotising myositis, pain in extremity, rhabdomyolysis, blood creatine phosphokinase increased, musculoskeletal discomfort, red blood cells urine positive, muscle fatigue, muscle tightness. single incidence, and repeated and confirmed incidence1 of:  CK &gt;5 × ULN  CK &gt;10 × ULN</w:t>
            </w:r>
          </w:p>
        </w:tc>
        <w:tc>
          <w:tcPr>
            <w:tcW w:w="2696" w:type="dxa"/>
            <w:gridSpan w:val="2"/>
          </w:tcPr>
          <w:p w14:paraId="11CEC84A" w14:textId="41EF5BB1" w:rsidR="00084C28" w:rsidRPr="00084C28" w:rsidRDefault="00084C28" w:rsidP="00C5069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lastRenderedPageBreak/>
              <w:t>one or more of the following criteria:</w:t>
            </w:r>
          </w:p>
          <w:p w14:paraId="44E6750E" w14:textId="77777777" w:rsidR="00084C28" w:rsidRPr="00084C28" w:rsidRDefault="0000688E" w:rsidP="00C5069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sdt>
              <w:sdtPr>
                <w:rPr>
                  <w:rFonts w:cstheme="minorHAnsi"/>
                  <w:sz w:val="18"/>
                  <w:szCs w:val="18"/>
                </w:rPr>
                <w:tag w:val="goog_rdk_0"/>
                <w:id w:val="-1053696880"/>
              </w:sdtPr>
              <w:sdtEndPr/>
              <w:sdtContent>
                <w:r w:rsidR="00084C28" w:rsidRPr="00084C28">
                  <w:rPr>
                    <w:rFonts w:eastAsia="Gungsuh" w:cstheme="minorHAnsi"/>
                    <w:sz w:val="18"/>
                    <w:szCs w:val="18"/>
                  </w:rPr>
                  <w:t xml:space="preserve">1) Fasting plasma glucose ≥126 mg/dL (7.0 mmol/L); </w:t>
                </w:r>
              </w:sdtContent>
            </w:sdt>
          </w:p>
          <w:p w14:paraId="58258070" w14:textId="77777777" w:rsidR="00084C28" w:rsidRPr="00084C28" w:rsidRDefault="0000688E" w:rsidP="00C5069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sdt>
              <w:sdtPr>
                <w:rPr>
                  <w:rFonts w:cstheme="minorHAnsi"/>
                  <w:sz w:val="18"/>
                  <w:szCs w:val="18"/>
                </w:rPr>
                <w:tag w:val="goog_rdk_1"/>
                <w:id w:val="-546769083"/>
              </w:sdtPr>
              <w:sdtEndPr/>
              <w:sdtContent>
                <w:r w:rsidR="00084C28" w:rsidRPr="00084C28">
                  <w:rPr>
                    <w:rFonts w:eastAsia="Gungsuh" w:cstheme="minorHAnsi"/>
                    <w:sz w:val="18"/>
                    <w:szCs w:val="18"/>
                  </w:rPr>
                  <w:t xml:space="preserve">2) two-hour post-prandial glucose ≥200 mg/dL (11.1 </w:t>
                </w:r>
                <w:r w:rsidR="00084C28" w:rsidRPr="00084C28">
                  <w:rPr>
                    <w:rFonts w:eastAsia="Gungsuh" w:cstheme="minorHAnsi"/>
                    <w:sz w:val="18"/>
                    <w:szCs w:val="18"/>
                  </w:rPr>
                  <w:lastRenderedPageBreak/>
                  <w:t>mmol/L) during an oral glucose tolerance test as defined in the ADA guidelines; 3) HbA1C measurement ≥6.5% (48 mmol/mol); 4) in patient with classic symptoms of hyperglycemia or hyperglycemic crisis, a random plasma glucose ≥200 mg/dL (11.1 mmol/L)</w:t>
                </w:r>
              </w:sdtContent>
            </w:sdt>
          </w:p>
          <w:p w14:paraId="0927B8D2" w14:textId="31BD272C"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84C28">
              <w:rPr>
                <w:rFonts w:eastAsia="Times New Roman" w:cstheme="minorHAnsi"/>
                <w:sz w:val="18"/>
                <w:szCs w:val="18"/>
              </w:rPr>
              <w:t>5) unequivocal hyperglycemia symptoms</w:t>
            </w:r>
          </w:p>
        </w:tc>
        <w:tc>
          <w:tcPr>
            <w:tcW w:w="2695" w:type="dxa"/>
            <w:gridSpan w:val="2"/>
          </w:tcPr>
          <w:p w14:paraId="53EA08B6" w14:textId="40949EB2"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lastRenderedPageBreak/>
              <w:t>Cognitive disorder, confusional state, disorientation, memory impairment, mental status changes</w:t>
            </w:r>
          </w:p>
        </w:tc>
        <w:tc>
          <w:tcPr>
            <w:tcW w:w="2696" w:type="dxa"/>
            <w:gridSpan w:val="2"/>
          </w:tcPr>
          <w:p w14:paraId="2098F918" w14:textId="7777777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084C28">
              <w:rPr>
                <w:rFonts w:eastAsia="Times New Roman" w:cstheme="minorHAnsi"/>
                <w:sz w:val="18"/>
                <w:szCs w:val="18"/>
              </w:rPr>
              <w:t xml:space="preserve">Tendon Rupture confirmed by diagnostic findings or 1 symptom and 1 PE finding that are consistent with the rupture type. </w:t>
            </w:r>
          </w:p>
          <w:p w14:paraId="2798CCCF" w14:textId="77777777"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p w14:paraId="545CFF57" w14:textId="2BF5F8CB" w:rsidR="00084C28" w:rsidRPr="00084C28" w:rsidRDefault="00084C28" w:rsidP="00084C28">
            <w:pPr>
              <w:jc w:val="both"/>
              <w:cnfStyle w:val="000000100000" w:firstRow="0" w:lastRow="0" w:firstColumn="0" w:lastColumn="0" w:oddVBand="0" w:evenVBand="0" w:oddHBand="1" w:evenHBand="0" w:firstRowFirstColumn="0" w:firstRowLastColumn="0" w:lastRowFirstColumn="0" w:lastRowLastColumn="0"/>
              <w:rPr>
                <w:rFonts w:eastAsia="Georgia" w:cstheme="minorHAnsi"/>
                <w:color w:val="2E2E2E"/>
                <w:sz w:val="18"/>
                <w:szCs w:val="18"/>
              </w:rPr>
            </w:pPr>
            <w:r w:rsidRPr="00084C28">
              <w:rPr>
                <w:rFonts w:eastAsia="Times New Roman" w:cstheme="minorHAnsi"/>
                <w:sz w:val="18"/>
                <w:szCs w:val="18"/>
              </w:rPr>
              <w:t xml:space="preserve">AEs: any untoward medical occurrence in a clinical investigation patient administered a pharmaceutical product, including control, and which does not necessarily have a </w:t>
            </w:r>
            <w:r w:rsidRPr="00084C28">
              <w:rPr>
                <w:rFonts w:eastAsia="Times New Roman" w:cstheme="minorHAnsi"/>
                <w:sz w:val="18"/>
                <w:szCs w:val="18"/>
              </w:rPr>
              <w:lastRenderedPageBreak/>
              <w:t>causal relationship with treatment.</w:t>
            </w:r>
          </w:p>
        </w:tc>
        <w:tc>
          <w:tcPr>
            <w:tcW w:w="2696" w:type="dxa"/>
            <w:gridSpan w:val="2"/>
          </w:tcPr>
          <w:p w14:paraId="0EBC828D" w14:textId="16564430" w:rsidR="00084C28" w:rsidRPr="00084C28" w:rsidRDefault="00084C28" w:rsidP="00C50691">
            <w:pPr>
              <w:jc w:val="center"/>
              <w:cnfStyle w:val="000000100000" w:firstRow="0" w:lastRow="0" w:firstColumn="0" w:lastColumn="0" w:oddVBand="0" w:evenVBand="0" w:oddHBand="1" w:evenHBand="0" w:firstRowFirstColumn="0" w:firstRowLastColumn="0" w:lastRowFirstColumn="0" w:lastRowLastColumn="0"/>
              <w:rPr>
                <w:rFonts w:eastAsia="Georgia" w:cstheme="minorHAnsi"/>
                <w:color w:val="2E2E2E"/>
                <w:sz w:val="18"/>
                <w:szCs w:val="18"/>
              </w:rPr>
            </w:pPr>
            <w:r w:rsidRPr="00084C28">
              <w:rPr>
                <w:rFonts w:eastAsia="Times New Roman" w:cstheme="minorHAnsi"/>
                <w:sz w:val="18"/>
                <w:szCs w:val="18"/>
              </w:rPr>
              <w:lastRenderedPageBreak/>
              <w:t>AEs that begin or worsen after the first dose of double-blind IMP and through the end of the study including the follow-up period.</w:t>
            </w:r>
          </w:p>
        </w:tc>
      </w:tr>
    </w:tbl>
    <w:p w14:paraId="7081D0E7" w14:textId="77777777" w:rsidR="00084C28" w:rsidRDefault="00084C28" w:rsidP="00084C28"/>
    <w:sectPr w:rsidR="00084C28" w:rsidSect="00306233">
      <w:pgSz w:w="15840" w:h="12240"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28"/>
    <w:rsid w:val="0000688E"/>
    <w:rsid w:val="00084C28"/>
    <w:rsid w:val="00306233"/>
    <w:rsid w:val="008D3112"/>
    <w:rsid w:val="00977976"/>
    <w:rsid w:val="00C5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3337"/>
  <w15:chartTrackingRefBased/>
  <w15:docId w15:val="{21E8F0E4-86C5-4BE7-BFC5-4D17808D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4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84C28"/>
    <w:pPr>
      <w:spacing w:after="200" w:line="240" w:lineRule="auto"/>
    </w:pPr>
    <w:rPr>
      <w:i/>
      <w:iCs/>
      <w:color w:val="44546A" w:themeColor="text2"/>
      <w:sz w:val="18"/>
      <w:szCs w:val="18"/>
    </w:rPr>
  </w:style>
  <w:style w:type="table" w:styleId="PlainTable4">
    <w:name w:val="Plain Table 4"/>
    <w:basedOn w:val="TableNormal"/>
    <w:uiPriority w:val="44"/>
    <w:rsid w:val="003062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iencedirect.com/topics/medicine-and-dentistry/metabolic-acidosi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896</Words>
  <Characters>5108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 VIVO</dc:creator>
  <cp:keywords/>
  <dc:description/>
  <cp:lastModifiedBy>Jasmine Mohammed Hidayath</cp:lastModifiedBy>
  <cp:revision>5</cp:revision>
  <dcterms:created xsi:type="dcterms:W3CDTF">2023-03-07T23:21:00Z</dcterms:created>
  <dcterms:modified xsi:type="dcterms:W3CDTF">2023-10-14T06:49:00Z</dcterms:modified>
</cp:coreProperties>
</file>