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C8E" w:rsidRPr="008358DE" w:rsidRDefault="004C7C8E" w:rsidP="004C7C8E">
      <w:pPr>
        <w:pStyle w:val="Caption"/>
        <w:spacing w:after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1. 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Selected pathological findings in nailfold capillaroscopy in relation to the group studied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851"/>
        <w:gridCol w:w="1984"/>
        <w:gridCol w:w="2127"/>
        <w:gridCol w:w="1275"/>
      </w:tblGrid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Features of the capillaroscopic image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Group B (n = 86)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 / %</w:t>
            </w:r>
          </w:p>
        </w:tc>
        <w:tc>
          <w:tcPr>
            <w:tcW w:w="212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Group C (n = 35)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 / %</w:t>
            </w:r>
          </w:p>
        </w:tc>
        <w:tc>
          <w:tcPr>
            <w:tcW w:w="1275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i/>
                <w:color w:val="000000" w:themeColor="text1"/>
              </w:rPr>
              <w:t>p</w:t>
            </w:r>
          </w:p>
        </w:tc>
      </w:tr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Enlarged capillaries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≥ 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15 / 17.40 %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13 / 15.10 %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2 / 5.70 %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2 / 5.70 %</w:t>
            </w:r>
          </w:p>
        </w:tc>
        <w:tc>
          <w:tcPr>
            <w:tcW w:w="1275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0.063</w:t>
            </w:r>
          </w:p>
        </w:tc>
      </w:tr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Meandering capillaries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≥ 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7 / 8.10 %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18 / 20.90 %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6 / 17.10 %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 / 2.90 %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0.026</w:t>
            </w:r>
          </w:p>
        </w:tc>
      </w:tr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Tortuous capillaries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≥ 5</w:t>
            </w:r>
          </w:p>
        </w:tc>
        <w:tc>
          <w:tcPr>
            <w:tcW w:w="1984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14 / 16.30 %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21 / 24.40 %</w:t>
            </w:r>
          </w:p>
        </w:tc>
        <w:tc>
          <w:tcPr>
            <w:tcW w:w="212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10 / 28.60 %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3 / 8.60 %</w:t>
            </w:r>
          </w:p>
        </w:tc>
        <w:tc>
          <w:tcPr>
            <w:tcW w:w="1275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0.076</w:t>
            </w:r>
          </w:p>
        </w:tc>
      </w:tr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Elongated capillaries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≥ 5</w:t>
            </w:r>
          </w:p>
        </w:tc>
        <w:tc>
          <w:tcPr>
            <w:tcW w:w="1984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7 / 8.10 %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3 /3.50 %</w:t>
            </w:r>
          </w:p>
        </w:tc>
        <w:tc>
          <w:tcPr>
            <w:tcW w:w="212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2 / 5.70 %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 / 2.90%</w:t>
            </w:r>
          </w:p>
        </w:tc>
        <w:tc>
          <w:tcPr>
            <w:tcW w:w="1275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58DE" w:rsidRPr="008358DE" w:rsidTr="00D82FD5">
        <w:trPr>
          <w:trHeight w:val="414"/>
        </w:trPr>
        <w:tc>
          <w:tcPr>
            <w:tcW w:w="2943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Hemorrhages</w:t>
            </w:r>
          </w:p>
        </w:tc>
        <w:tc>
          <w:tcPr>
            <w:tcW w:w="851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≥ 5</w:t>
            </w:r>
          </w:p>
        </w:tc>
        <w:tc>
          <w:tcPr>
            <w:tcW w:w="1984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5 / 5.80 %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3 / 3.50 %</w:t>
            </w:r>
          </w:p>
        </w:tc>
        <w:tc>
          <w:tcPr>
            <w:tcW w:w="212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 / 2.90 %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 / 2.90%</w:t>
            </w:r>
          </w:p>
        </w:tc>
        <w:tc>
          <w:tcPr>
            <w:tcW w:w="1275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0.860</w:t>
            </w:r>
          </w:p>
        </w:tc>
      </w:tr>
    </w:tbl>
    <w:p w:rsidR="004C7C8E" w:rsidRPr="008358DE" w:rsidRDefault="004C7C8E" w:rsidP="004C7C8E">
      <w:pPr>
        <w:pStyle w:val="BalloonText"/>
        <w:spacing w:after="200" w:line="360" w:lineRule="auto"/>
        <w:jc w:val="both"/>
        <w:rPr>
          <w:color w:val="000000" w:themeColor="text1"/>
          <w:lang w:val="en-US"/>
        </w:rPr>
      </w:pPr>
      <w:r w:rsidRPr="008358DE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p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– level of significance, n – number of studied patients</w:t>
      </w:r>
    </w:p>
    <w:p w:rsidR="004C7C8E" w:rsidRPr="008358DE" w:rsidRDefault="004C7C8E" w:rsidP="004C7C8E">
      <w:pPr>
        <w:pStyle w:val="Caption"/>
        <w:keepNext/>
        <w:spacing w:after="0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2.  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Capillaroscopic changes severity concerning the group studied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2764"/>
        <w:gridCol w:w="2765"/>
        <w:gridCol w:w="1842"/>
      </w:tblGrid>
      <w:tr w:rsidR="008358DE" w:rsidRPr="008358DE" w:rsidTr="00D82FD5">
        <w:trPr>
          <w:trHeight w:val="217"/>
        </w:trPr>
        <w:tc>
          <w:tcPr>
            <w:tcW w:w="1809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Severity scale</w:t>
            </w:r>
          </w:p>
        </w:tc>
        <w:tc>
          <w:tcPr>
            <w:tcW w:w="2764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Group B (n = 86)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 / %</w:t>
            </w:r>
          </w:p>
        </w:tc>
        <w:tc>
          <w:tcPr>
            <w:tcW w:w="2765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Group C (n = 35)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 / %</w:t>
            </w:r>
          </w:p>
        </w:tc>
        <w:tc>
          <w:tcPr>
            <w:tcW w:w="1842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p</w:t>
            </w:r>
          </w:p>
        </w:tc>
      </w:tr>
      <w:tr w:rsidR="008358DE" w:rsidRPr="008358DE" w:rsidTr="00D82FD5">
        <w:trPr>
          <w:trHeight w:val="83"/>
        </w:trPr>
        <w:tc>
          <w:tcPr>
            <w:tcW w:w="1809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2764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49 / 57.00 %</w:t>
            </w:r>
          </w:p>
        </w:tc>
        <w:tc>
          <w:tcPr>
            <w:tcW w:w="2765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 / 88.60 %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</w:tr>
      <w:tr w:rsidR="008358DE" w:rsidRPr="008358DE" w:rsidTr="00D82FD5">
        <w:trPr>
          <w:trHeight w:val="228"/>
        </w:trPr>
        <w:tc>
          <w:tcPr>
            <w:tcW w:w="1809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764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 / 34.90 %</w:t>
            </w:r>
          </w:p>
        </w:tc>
        <w:tc>
          <w:tcPr>
            <w:tcW w:w="2765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 / 5.70 %</w:t>
            </w:r>
          </w:p>
        </w:tc>
        <w:tc>
          <w:tcPr>
            <w:tcW w:w="1842" w:type="dxa"/>
            <w:vMerge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358DE" w:rsidRPr="008358DE" w:rsidTr="00D82FD5">
        <w:trPr>
          <w:trHeight w:val="54"/>
        </w:trPr>
        <w:tc>
          <w:tcPr>
            <w:tcW w:w="1809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64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/ 4.70 %</w:t>
            </w:r>
          </w:p>
        </w:tc>
        <w:tc>
          <w:tcPr>
            <w:tcW w:w="2765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/ 0.00 %</w:t>
            </w:r>
          </w:p>
        </w:tc>
        <w:tc>
          <w:tcPr>
            <w:tcW w:w="1842" w:type="dxa"/>
            <w:vMerge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358DE" w:rsidRPr="008358DE" w:rsidTr="00D82FD5">
        <w:trPr>
          <w:trHeight w:val="80"/>
        </w:trPr>
        <w:tc>
          <w:tcPr>
            <w:tcW w:w="1809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64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/3.50 %</w:t>
            </w:r>
          </w:p>
        </w:tc>
        <w:tc>
          <w:tcPr>
            <w:tcW w:w="2765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/ 5.70 %</w:t>
            </w:r>
          </w:p>
        </w:tc>
        <w:tc>
          <w:tcPr>
            <w:tcW w:w="1842" w:type="dxa"/>
            <w:vMerge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C7C8E" w:rsidRPr="008358DE" w:rsidRDefault="004C7C8E" w:rsidP="004C7C8E">
      <w:pPr>
        <w:pStyle w:val="BalloonText"/>
        <w:spacing w:after="20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358DE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p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– level of significance, n – number of studied patients</w:t>
      </w:r>
    </w:p>
    <w:p w:rsidR="004C7C8E" w:rsidRPr="008358DE" w:rsidRDefault="004C7C8E" w:rsidP="004C7C8E">
      <w:pPr>
        <w:pStyle w:val="Caption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3. 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Summary of abnormalities in the capillaroscopic images in group A (n=118).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2126"/>
        <w:gridCol w:w="2126"/>
      </w:tblGrid>
      <w:tr w:rsidR="008358DE" w:rsidRPr="008358DE" w:rsidTr="00D82FD5">
        <w:tc>
          <w:tcPr>
            <w:tcW w:w="2802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Features of the capillaroscopic image</w:t>
            </w:r>
          </w:p>
        </w:tc>
        <w:tc>
          <w:tcPr>
            <w:tcW w:w="2126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Feature present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n/%</w:t>
            </w:r>
          </w:p>
        </w:tc>
        <w:tc>
          <w:tcPr>
            <w:tcW w:w="2126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≤ 4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n/%</w:t>
            </w:r>
          </w:p>
        </w:tc>
        <w:tc>
          <w:tcPr>
            <w:tcW w:w="2126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≥ 5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n/%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Enlarged capillaries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 / 34.75 %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/ 18.64 %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/ 16.10 %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Megakapillaries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/ 0.00 %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Meandering capillaries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 / 33.05 %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/ 8.47 %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/ 24.58 %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Bushy capillaries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/ 0.85 %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Tortuous capillaries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/ 38.14 %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/ 17.8 %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 / 20.34 %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Elongated capillaries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/ 12.71 %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/ 7.63 %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/ 5.08 %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Hemorrhages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/ 11.01 %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/ 5.93 %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/ 3.39 %</w:t>
            </w: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Cap shaped hemorrhages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/ 1.69 %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Decreased capillary density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/ 2.54 %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Invisible venous plexus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/ 4.24 %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Granular flow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/ 6.78 %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358DE" w:rsidRPr="008358DE" w:rsidTr="00D82FD5">
        <w:tc>
          <w:tcPr>
            <w:tcW w:w="2802" w:type="dxa"/>
            <w:vAlign w:val="bottom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Abnormal overall pattern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 / 67.80 %</w:t>
            </w: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bottom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4C7C8E" w:rsidRPr="008358DE" w:rsidRDefault="004C7C8E" w:rsidP="004C7C8E">
      <w:pPr>
        <w:pStyle w:val="BalloonText"/>
        <w:spacing w:after="20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 – number of studied patients</w:t>
      </w:r>
    </w:p>
    <w:p w:rsidR="004C7C8E" w:rsidRPr="008358DE" w:rsidRDefault="004C7C8E" w:rsidP="004C7C8E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Toc113104057"/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4. 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Presentation of capillaroscopic images severity scale in Group A</w:t>
      </w:r>
      <w:bookmarkEnd w:id="0"/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3470"/>
        <w:gridCol w:w="5710"/>
      </w:tblGrid>
      <w:tr w:rsidR="008358DE" w:rsidRPr="008358DE" w:rsidTr="00D82FD5">
        <w:trPr>
          <w:trHeight w:val="414"/>
        </w:trPr>
        <w:tc>
          <w:tcPr>
            <w:tcW w:w="3470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Severity scale</w:t>
            </w:r>
          </w:p>
        </w:tc>
        <w:tc>
          <w:tcPr>
            <w:tcW w:w="571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Group A (n = 118)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 / %</w:t>
            </w:r>
          </w:p>
        </w:tc>
      </w:tr>
      <w:tr w:rsidR="008358DE" w:rsidRPr="008358DE" w:rsidTr="00D82FD5">
        <w:trPr>
          <w:trHeight w:val="124"/>
        </w:trPr>
        <w:tc>
          <w:tcPr>
            <w:tcW w:w="347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710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/ 55.08 %</w:t>
            </w:r>
          </w:p>
        </w:tc>
      </w:tr>
      <w:tr w:rsidR="008358DE" w:rsidRPr="008358DE" w:rsidTr="00D82FD5">
        <w:trPr>
          <w:trHeight w:val="142"/>
        </w:trPr>
        <w:tc>
          <w:tcPr>
            <w:tcW w:w="347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710" w:type="dxa"/>
            <w:shd w:val="clear" w:color="auto" w:fill="auto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 / 36.44 %</w:t>
            </w:r>
          </w:p>
        </w:tc>
      </w:tr>
      <w:tr w:rsidR="008358DE" w:rsidRPr="008358DE" w:rsidTr="00D82FD5">
        <w:trPr>
          <w:trHeight w:val="132"/>
        </w:trPr>
        <w:tc>
          <w:tcPr>
            <w:tcW w:w="347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71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/ 4.24 %</w:t>
            </w:r>
          </w:p>
        </w:tc>
      </w:tr>
      <w:tr w:rsidR="008358DE" w:rsidRPr="008358DE" w:rsidTr="00D82FD5">
        <w:trPr>
          <w:trHeight w:val="54"/>
        </w:trPr>
        <w:tc>
          <w:tcPr>
            <w:tcW w:w="347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710" w:type="dxa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/ 4.24 %</w:t>
            </w:r>
          </w:p>
        </w:tc>
      </w:tr>
    </w:tbl>
    <w:p w:rsidR="004C7C8E" w:rsidRPr="008358DE" w:rsidRDefault="004C7C8E" w:rsidP="004C7C8E">
      <w:pPr>
        <w:pStyle w:val="BalloonText"/>
        <w:spacing w:after="20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 – number of studied patients</w:t>
      </w:r>
    </w:p>
    <w:p w:rsidR="004C7C8E" w:rsidRPr="008358DE" w:rsidRDefault="004C7C8E" w:rsidP="004C7C8E">
      <w:pPr>
        <w:pStyle w:val="Caption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Table 5.</w:t>
      </w:r>
      <w:r w:rsidRPr="008358DE">
        <w:rPr>
          <w:color w:val="000000" w:themeColor="text1"/>
          <w:lang w:val="en-US"/>
        </w:rPr>
        <w:t xml:space="preserve"> </w:t>
      </w:r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Number of fingers with specific photoplethysmographic curves in the groups</w:t>
      </w: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1807"/>
        <w:gridCol w:w="1807"/>
        <w:gridCol w:w="1807"/>
        <w:gridCol w:w="1808"/>
      </w:tblGrid>
      <w:tr w:rsidR="008358DE" w:rsidRPr="008358DE" w:rsidTr="00D82FD5">
        <w:trPr>
          <w:trHeight w:val="414"/>
        </w:trPr>
        <w:tc>
          <w:tcPr>
            <w:tcW w:w="1951" w:type="dxa"/>
            <w:vAlign w:val="center"/>
          </w:tcPr>
          <w:p w:rsidR="004C7C8E" w:rsidRPr="008358DE" w:rsidRDefault="004C7C8E" w:rsidP="00D82FD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Number of fingers</w:t>
            </w:r>
          </w:p>
        </w:tc>
        <w:tc>
          <w:tcPr>
            <w:tcW w:w="180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Group A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Mean ± SD</w:t>
            </w:r>
          </w:p>
        </w:tc>
        <w:tc>
          <w:tcPr>
            <w:tcW w:w="180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Group B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Mean ± SD</w:t>
            </w:r>
          </w:p>
        </w:tc>
        <w:tc>
          <w:tcPr>
            <w:tcW w:w="180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Group C</w:t>
            </w:r>
          </w:p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Mean ± SD</w:t>
            </w:r>
          </w:p>
        </w:tc>
        <w:tc>
          <w:tcPr>
            <w:tcW w:w="1808" w:type="dxa"/>
            <w:vAlign w:val="center"/>
          </w:tcPr>
          <w:p w:rsidR="004C7C8E" w:rsidRPr="008358DE" w:rsidRDefault="004C7C8E" w:rsidP="00D82FD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Comparison of Group B and C</w:t>
            </w:r>
          </w:p>
        </w:tc>
      </w:tr>
      <w:tr w:rsidR="008358DE" w:rsidRPr="008358DE" w:rsidTr="00D82FD5">
        <w:trPr>
          <w:trHeight w:val="156"/>
        </w:trPr>
        <w:tc>
          <w:tcPr>
            <w:tcW w:w="1951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Normal curve</w:t>
            </w:r>
          </w:p>
        </w:tc>
        <w:tc>
          <w:tcPr>
            <w:tcW w:w="180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6.59 ± 3.08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6.49 ± 3.06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7.03 ± 3.40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= 0.403</w:t>
            </w:r>
          </w:p>
        </w:tc>
      </w:tr>
      <w:tr w:rsidR="008358DE" w:rsidRPr="008358DE" w:rsidTr="00D82FD5">
        <w:trPr>
          <w:trHeight w:val="160"/>
        </w:trPr>
        <w:tc>
          <w:tcPr>
            <w:tcW w:w="1951" w:type="dxa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Incorrect curve</w:t>
            </w:r>
          </w:p>
        </w:tc>
        <w:tc>
          <w:tcPr>
            <w:tcW w:w="1807" w:type="dxa"/>
            <w:vAlign w:val="center"/>
          </w:tcPr>
          <w:p w:rsidR="004C7C8E" w:rsidRPr="008358DE" w:rsidRDefault="004C7C8E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1.61 ± 1.74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1.58 ±1.74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</w:rPr>
              <w:t>1.29 ± 1.29</w:t>
            </w:r>
          </w:p>
        </w:tc>
        <w:tc>
          <w:tcPr>
            <w:tcW w:w="1808" w:type="dxa"/>
            <w:shd w:val="clear" w:color="auto" w:fill="FFFFFF" w:themeFill="background1"/>
            <w:vAlign w:val="center"/>
          </w:tcPr>
          <w:p w:rsidR="004C7C8E" w:rsidRPr="008358DE" w:rsidRDefault="004C7C8E" w:rsidP="00D82FD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= 0.398</w:t>
            </w:r>
          </w:p>
        </w:tc>
      </w:tr>
    </w:tbl>
    <w:p w:rsidR="004C7C8E" w:rsidRPr="008358DE" w:rsidRDefault="004C7C8E" w:rsidP="004C7C8E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SD-  standard deviation; </w:t>
      </w:r>
      <w:r w:rsidRPr="008358DE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p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– level of significance; </w:t>
      </w:r>
    </w:p>
    <w:p w:rsidR="004C7C8E" w:rsidRPr="008358DE" w:rsidRDefault="004C7C8E" w:rsidP="004C7C8E">
      <w:pPr>
        <w:pStyle w:val="Caption"/>
        <w:keepNext/>
        <w:spacing w:after="0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bookmarkStart w:id="1" w:name="_Toc113104063"/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Table 6</w:t>
      </w:r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. Correlations between the mean number of fingers with specific photoplethysmographic curves and clinical parameters in group A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912"/>
        <w:gridCol w:w="1858"/>
        <w:gridCol w:w="1858"/>
      </w:tblGrid>
      <w:tr w:rsidR="008358DE" w:rsidRPr="008358DE" w:rsidTr="00D82FD5">
        <w:tc>
          <w:tcPr>
            <w:tcW w:w="280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1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Curve shape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Normal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Curve shape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Incorrect</w:t>
            </w:r>
          </w:p>
        </w:tc>
      </w:tr>
      <w:tr w:rsidR="008358DE" w:rsidRPr="008358DE" w:rsidTr="00D82FD5">
        <w:tc>
          <w:tcPr>
            <w:tcW w:w="280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BMI-SDS</w:t>
            </w:r>
          </w:p>
        </w:tc>
        <w:tc>
          <w:tcPr>
            <w:tcW w:w="91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P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0.141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0,125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-0.087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0.347</w:t>
            </w:r>
          </w:p>
        </w:tc>
      </w:tr>
      <w:tr w:rsidR="008358DE" w:rsidRPr="008358DE" w:rsidTr="00D82FD5">
        <w:tc>
          <w:tcPr>
            <w:tcW w:w="280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BF(%)</w:t>
            </w:r>
          </w:p>
        </w:tc>
        <w:tc>
          <w:tcPr>
            <w:tcW w:w="91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P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858" w:type="dxa"/>
            <w:shd w:val="clear" w:color="auto" w:fill="D9D9D9" w:themeFill="background1" w:themeFillShade="D9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0.190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0.047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-0.036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0.707</w:t>
            </w:r>
          </w:p>
        </w:tc>
      </w:tr>
      <w:tr w:rsidR="008358DE" w:rsidRPr="008358DE" w:rsidTr="00D82FD5">
        <w:tc>
          <w:tcPr>
            <w:tcW w:w="280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HbA</w:t>
            </w: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bscript"/>
              </w:rPr>
              <w:t>1c</w:t>
            </w: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last</w:t>
            </w:r>
          </w:p>
        </w:tc>
        <w:tc>
          <w:tcPr>
            <w:tcW w:w="91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P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858" w:type="dxa"/>
            <w:shd w:val="clear" w:color="auto" w:fill="D9D9D9" w:themeFill="background1" w:themeFillShade="D9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0.198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0.033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-0.113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0.227</w:t>
            </w:r>
          </w:p>
        </w:tc>
      </w:tr>
      <w:tr w:rsidR="008358DE" w:rsidRPr="008358DE" w:rsidTr="00D82FD5">
        <w:tc>
          <w:tcPr>
            <w:tcW w:w="280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HbA</w:t>
            </w: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bscript"/>
              </w:rPr>
              <w:t>1c</w:t>
            </w: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mean</w:t>
            </w:r>
          </w:p>
        </w:tc>
        <w:tc>
          <w:tcPr>
            <w:tcW w:w="91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P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0.149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0.120</w:t>
            </w:r>
          </w:p>
        </w:tc>
        <w:tc>
          <w:tcPr>
            <w:tcW w:w="1858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-0.105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58D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0.274</w:t>
            </w:r>
          </w:p>
        </w:tc>
      </w:tr>
    </w:tbl>
    <w:p w:rsidR="004C7C8E" w:rsidRPr="008358DE" w:rsidRDefault="004C7C8E" w:rsidP="004C7C8E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BMI-SDS – body mass index standard deviation score; BF (%) - </w:t>
      </w:r>
      <w:r w:rsidRPr="008358DE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body fat mass 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percentage; HbA1c last – glycated hemoglobin – the result obtained during last three months; HbA1c mean – glycated hemoglobin,  the arithmetic mean of results obtained during last year. </w:t>
      </w:r>
      <w:r w:rsidRPr="008358DE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p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– level of significance; R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P</w:t>
      </w:r>
      <w:r w:rsidRPr="008358D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– Pearson correlation coefficient</w:t>
      </w:r>
    </w:p>
    <w:p w:rsidR="004C7C8E" w:rsidRPr="008358DE" w:rsidRDefault="004C7C8E" w:rsidP="004C7C8E">
      <w:pPr>
        <w:pStyle w:val="Caption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2" w:name="_Toc41989347"/>
      <w:bookmarkStart w:id="3" w:name="_Toc113104065"/>
      <w:r w:rsidRPr="008358D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7. </w:t>
      </w:r>
      <w:bookmarkEnd w:id="2"/>
      <w:bookmarkEnd w:id="3"/>
      <w:r w:rsidRPr="008358D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Statistical significance of relationships between the mean number of fingers with specific curves and selected microangiopathic complications and comorbidities</w:t>
      </w:r>
    </w:p>
    <w:tbl>
      <w:tblPr>
        <w:tblStyle w:val="TableGrid"/>
        <w:tblW w:w="7337" w:type="dxa"/>
        <w:tblLayout w:type="fixed"/>
        <w:tblLook w:val="04A0" w:firstRow="1" w:lastRow="0" w:firstColumn="1" w:lastColumn="0" w:noHBand="0" w:noVBand="1"/>
      </w:tblPr>
      <w:tblGrid>
        <w:gridCol w:w="3652"/>
        <w:gridCol w:w="1842"/>
        <w:gridCol w:w="1843"/>
      </w:tblGrid>
      <w:tr w:rsidR="008358DE" w:rsidRPr="008358DE" w:rsidTr="006F1900">
        <w:trPr>
          <w:trHeight w:val="414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Curve shape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Normal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Curve shape</w:t>
            </w:r>
          </w:p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Incorrect</w:t>
            </w:r>
          </w:p>
        </w:tc>
      </w:tr>
      <w:tr w:rsidR="008358DE" w:rsidRPr="008358DE" w:rsidTr="006F1900">
        <w:trPr>
          <w:trHeight w:val="156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Albuminuria (n = 3)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0.068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0.288</w:t>
            </w:r>
          </w:p>
        </w:tc>
      </w:tr>
      <w:tr w:rsidR="008358DE" w:rsidRPr="008358DE" w:rsidTr="006F1900">
        <w:trPr>
          <w:trHeight w:val="118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</w:rPr>
              <w:t>Neuropathy (n = 2)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&lt;0.001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0.050</w:t>
            </w:r>
          </w:p>
        </w:tc>
      </w:tr>
      <w:tr w:rsidR="008358DE" w:rsidRPr="008358DE" w:rsidTr="006F1900">
        <w:trPr>
          <w:trHeight w:val="54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Hypertension</w:t>
            </w: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0.908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0.196</w:t>
            </w:r>
          </w:p>
        </w:tc>
      </w:tr>
      <w:tr w:rsidR="008358DE" w:rsidRPr="008358DE" w:rsidTr="006F1900">
        <w:trPr>
          <w:trHeight w:val="54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Dyslipidemia</w:t>
            </w: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0.398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0.878</w:t>
            </w:r>
          </w:p>
        </w:tc>
      </w:tr>
      <w:tr w:rsidR="008358DE" w:rsidRPr="008358DE" w:rsidTr="006F1900">
        <w:trPr>
          <w:trHeight w:val="75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Autoimmune thyroiditis</w:t>
            </w: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0.712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0.838</w:t>
            </w:r>
          </w:p>
        </w:tc>
      </w:tr>
      <w:tr w:rsidR="008358DE" w:rsidRPr="008358DE" w:rsidTr="006F1900">
        <w:trPr>
          <w:trHeight w:val="92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Celiac disease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0.035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0.214</w:t>
            </w:r>
          </w:p>
        </w:tc>
        <w:bookmarkStart w:id="4" w:name="_GoBack"/>
        <w:bookmarkEnd w:id="4"/>
      </w:tr>
      <w:tr w:rsidR="008358DE" w:rsidRPr="008358DE" w:rsidTr="006F1900">
        <w:trPr>
          <w:trHeight w:val="111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Asthma</w:t>
            </w: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0.282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0.345</w:t>
            </w:r>
          </w:p>
        </w:tc>
      </w:tr>
      <w:tr w:rsidR="008358DE" w:rsidRPr="008358DE" w:rsidTr="006F1900">
        <w:trPr>
          <w:trHeight w:val="128"/>
        </w:trPr>
        <w:tc>
          <w:tcPr>
            <w:tcW w:w="365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Vitiligo</w:t>
            </w:r>
          </w:p>
        </w:tc>
        <w:tc>
          <w:tcPr>
            <w:tcW w:w="1842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0.763</w:t>
            </w:r>
          </w:p>
        </w:tc>
        <w:tc>
          <w:tcPr>
            <w:tcW w:w="1843" w:type="dxa"/>
            <w:vAlign w:val="center"/>
          </w:tcPr>
          <w:p w:rsidR="006F1900" w:rsidRPr="008358DE" w:rsidRDefault="006F1900" w:rsidP="00D82F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58D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8358DE">
              <w:rPr>
                <w:rFonts w:ascii="Times New Roman" w:hAnsi="Times New Roman" w:cs="Times New Roman"/>
                <w:color w:val="000000" w:themeColor="text1"/>
              </w:rPr>
              <w:t xml:space="preserve"> = 0.286</w:t>
            </w:r>
          </w:p>
        </w:tc>
      </w:tr>
    </w:tbl>
    <w:p w:rsidR="004C7C8E" w:rsidRPr="008358DE" w:rsidRDefault="004C7C8E" w:rsidP="006F1900">
      <w:pPr>
        <w:pStyle w:val="Caption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 w:rsidRPr="008358DE">
        <w:rPr>
          <w:rFonts w:ascii="Times New Roman" w:hAnsi="Times New Roman" w:cs="Times New Roman"/>
          <w:b w:val="0"/>
          <w:i/>
          <w:color w:val="000000" w:themeColor="text1"/>
          <w:sz w:val="20"/>
          <w:szCs w:val="20"/>
          <w:lang w:val="en-US"/>
        </w:rPr>
        <w:t>p</w:t>
      </w:r>
      <w:r w:rsidRPr="008358DE">
        <w:rPr>
          <w:rFonts w:ascii="Times New Roman" w:hAnsi="Times New Roman" w:cs="Times New Roman"/>
          <w:b w:val="0"/>
          <w:color w:val="000000" w:themeColor="text1"/>
          <w:sz w:val="20"/>
          <w:szCs w:val="20"/>
          <w:lang w:val="en-US"/>
        </w:rPr>
        <w:t xml:space="preserve"> – level of significance, n – number of studied patients</w:t>
      </w:r>
    </w:p>
    <w:tbl>
      <w:tblPr>
        <w:tblStyle w:val="TableGrid"/>
        <w:tblW w:w="974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954"/>
      </w:tblGrid>
      <w:tr w:rsidR="004C7C8E" w:rsidRPr="008358DE" w:rsidTr="00D82FD5">
        <w:tc>
          <w:tcPr>
            <w:tcW w:w="4794" w:type="dxa"/>
          </w:tcPr>
          <w:p w:rsidR="004C7C8E" w:rsidRPr="008358DE" w:rsidRDefault="004C7C8E" w:rsidP="00D82FD5">
            <w:pPr>
              <w:pStyle w:val="BalloonText"/>
              <w:spacing w:after="20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58DE">
              <w:rPr>
                <w:color w:val="000000" w:themeColor="text1"/>
              </w:rPr>
              <w:object w:dxaOrig="3090" w:dyaOrig="20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9.75pt;height:147.75pt" o:ole="">
                  <v:imagedata r:id="rId6" o:title=""/>
                </v:shape>
                <o:OLEObject Type="Embed" ProgID="PBrush" ShapeID="_x0000_i1025" DrawAspect="Content" ObjectID="_1759043545" r:id="rId7"/>
              </w:object>
            </w:r>
          </w:p>
          <w:p w:rsidR="004C7C8E" w:rsidRPr="008358DE" w:rsidRDefault="006F1900" w:rsidP="00D82FD5">
            <w:pPr>
              <w:pStyle w:val="BalloonText"/>
              <w:spacing w:after="20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Fig. 1</w:t>
            </w:r>
            <w:r w:rsidR="004C7C8E" w:rsidRPr="008358D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.</w:t>
            </w:r>
            <w:r w:rsidR="004C7C8E" w:rsidRPr="008358D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relation between the number of fingers with normal photoplethysmographic curve and the presence of neuropathy in group A</w:t>
            </w:r>
          </w:p>
        </w:tc>
        <w:tc>
          <w:tcPr>
            <w:tcW w:w="4954" w:type="dxa"/>
          </w:tcPr>
          <w:p w:rsidR="004C7C8E" w:rsidRPr="008358DE" w:rsidRDefault="004C7C8E" w:rsidP="00D82FD5">
            <w:pPr>
              <w:pStyle w:val="BalloonText"/>
              <w:spacing w:after="20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58DE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IN" w:eastAsia="en-IN"/>
              </w:rPr>
              <w:drawing>
                <wp:inline distT="0" distB="0" distL="0" distR="0" wp14:anchorId="440375D3" wp14:editId="53CBF67E">
                  <wp:extent cx="2897944" cy="1887701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151" cy="189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7C8E" w:rsidRPr="008358DE" w:rsidRDefault="004C7C8E" w:rsidP="006F1900">
            <w:pPr>
              <w:pStyle w:val="BalloonText"/>
              <w:spacing w:after="20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8358D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Fig. </w:t>
            </w:r>
            <w:r w:rsidR="006F1900" w:rsidRPr="008358D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8358D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relation between the number of fingers with photoplethysmographic curve indicating </w:t>
            </w:r>
            <w:r w:rsidRPr="008358DE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flow disturbances </w:t>
            </w:r>
            <w:r w:rsidRPr="008358D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and presence of neuropathy in group A</w:t>
            </w:r>
          </w:p>
        </w:tc>
      </w:tr>
    </w:tbl>
    <w:p w:rsidR="004C7C8E" w:rsidRPr="008358DE" w:rsidRDefault="004C7C8E" w:rsidP="004C7C8E">
      <w:pPr>
        <w:keepNext/>
        <w:rPr>
          <w:color w:val="000000" w:themeColor="text1"/>
          <w:lang w:val="en-US"/>
        </w:rPr>
      </w:pPr>
    </w:p>
    <w:p w:rsidR="00E211C7" w:rsidRPr="008358DE" w:rsidRDefault="00E211C7">
      <w:pPr>
        <w:rPr>
          <w:color w:val="000000" w:themeColor="text1"/>
          <w:lang w:val="en-US"/>
        </w:rPr>
      </w:pPr>
    </w:p>
    <w:sectPr w:rsidR="00E211C7" w:rsidRPr="008358DE" w:rsidSect="008358DE">
      <w:footerReference w:type="default" r:id="rId9"/>
      <w:footerReference w:type="first" r:id="rId10"/>
      <w:pgSz w:w="11906" w:h="16838"/>
      <w:pgMar w:top="1276" w:right="1417" w:bottom="1134" w:left="1417" w:header="708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757" w:rsidRDefault="00041757">
      <w:pPr>
        <w:spacing w:after="0" w:line="240" w:lineRule="auto"/>
      </w:pPr>
      <w:r>
        <w:separator/>
      </w:r>
    </w:p>
  </w:endnote>
  <w:endnote w:type="continuationSeparator" w:id="0">
    <w:p w:rsidR="00041757" w:rsidRDefault="00041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26900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D2B7C" w:rsidRPr="00854589" w:rsidRDefault="000866AB">
        <w:pPr>
          <w:pStyle w:val="Footer"/>
          <w:jc w:val="right"/>
          <w:rPr>
            <w:rFonts w:ascii="Times New Roman" w:hAnsi="Times New Roman" w:cs="Times New Roman"/>
          </w:rPr>
        </w:pPr>
        <w:r w:rsidRPr="00854589">
          <w:rPr>
            <w:rFonts w:ascii="Times New Roman" w:hAnsi="Times New Roman" w:cs="Times New Roman"/>
          </w:rPr>
          <w:fldChar w:fldCharType="begin"/>
        </w:r>
        <w:r w:rsidRPr="00854589">
          <w:rPr>
            <w:rFonts w:ascii="Times New Roman" w:hAnsi="Times New Roman" w:cs="Times New Roman"/>
          </w:rPr>
          <w:instrText>PAGE   \* MERGEFORMAT</w:instrText>
        </w:r>
        <w:r w:rsidRPr="00854589">
          <w:rPr>
            <w:rFonts w:ascii="Times New Roman" w:hAnsi="Times New Roman" w:cs="Times New Roman"/>
          </w:rPr>
          <w:fldChar w:fldCharType="separate"/>
        </w:r>
        <w:r w:rsidR="006F1900">
          <w:rPr>
            <w:rFonts w:ascii="Times New Roman" w:hAnsi="Times New Roman" w:cs="Times New Roman"/>
            <w:noProof/>
          </w:rPr>
          <w:t>2</w:t>
        </w:r>
        <w:r w:rsidRPr="00854589">
          <w:rPr>
            <w:rFonts w:ascii="Times New Roman" w:hAnsi="Times New Roman" w:cs="Times New Roman"/>
          </w:rPr>
          <w:fldChar w:fldCharType="end"/>
        </w:r>
      </w:p>
    </w:sdtContent>
  </w:sdt>
  <w:p w:rsidR="00BD2B7C" w:rsidRPr="00854589" w:rsidRDefault="00A6610B" w:rsidP="00654AB2">
    <w:pPr>
      <w:jc w:val="right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05800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D2B7C" w:rsidRPr="00854589" w:rsidRDefault="000866AB">
        <w:pPr>
          <w:pStyle w:val="Footer"/>
          <w:jc w:val="right"/>
          <w:rPr>
            <w:rFonts w:ascii="Times New Roman" w:hAnsi="Times New Roman" w:cs="Times New Roman"/>
          </w:rPr>
        </w:pPr>
        <w:r w:rsidRPr="00854589">
          <w:rPr>
            <w:rFonts w:ascii="Times New Roman" w:hAnsi="Times New Roman" w:cs="Times New Roman"/>
          </w:rPr>
          <w:t>1</w:t>
        </w:r>
      </w:p>
    </w:sdtContent>
  </w:sdt>
  <w:p w:rsidR="00BD2B7C" w:rsidRDefault="00A66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757" w:rsidRDefault="00041757">
      <w:pPr>
        <w:spacing w:after="0" w:line="240" w:lineRule="auto"/>
      </w:pPr>
      <w:r>
        <w:separator/>
      </w:r>
    </w:p>
  </w:footnote>
  <w:footnote w:type="continuationSeparator" w:id="0">
    <w:p w:rsidR="00041757" w:rsidRDefault="000417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wMzUwMjM2N7E0NTRX0lEKTi0uzszPAykwqgUAETNEWCwAAAA="/>
  </w:docVars>
  <w:rsids>
    <w:rsidRoot w:val="004C7C8E"/>
    <w:rsid w:val="00041757"/>
    <w:rsid w:val="000866AB"/>
    <w:rsid w:val="004C7C8E"/>
    <w:rsid w:val="006F1900"/>
    <w:rsid w:val="008358DE"/>
    <w:rsid w:val="00A6610B"/>
    <w:rsid w:val="00E211C7"/>
    <w:rsid w:val="00E7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9873E754-87DA-493E-815C-439754E8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C8E"/>
  </w:style>
  <w:style w:type="paragraph" w:styleId="Heading1">
    <w:name w:val="heading 1"/>
    <w:basedOn w:val="Normal"/>
    <w:next w:val="Normal"/>
    <w:link w:val="Heading1Char"/>
    <w:uiPriority w:val="9"/>
    <w:qFormat/>
    <w:rsid w:val="004C7C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C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unhideWhenUsed/>
    <w:rsid w:val="004C7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C7C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C7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7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C8E"/>
  </w:style>
  <w:style w:type="paragraph" w:styleId="Caption">
    <w:name w:val="caption"/>
    <w:basedOn w:val="Normal"/>
    <w:next w:val="Normal"/>
    <w:uiPriority w:val="35"/>
    <w:unhideWhenUsed/>
    <w:qFormat/>
    <w:rsid w:val="004C7C8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kl.bogusz@gmail.com</dc:creator>
  <cp:lastModifiedBy>Chandravadhana Ramesh</cp:lastModifiedBy>
  <cp:revision>5</cp:revision>
  <cp:lastPrinted>2023-06-24T07:24:00Z</cp:lastPrinted>
  <dcterms:created xsi:type="dcterms:W3CDTF">2023-06-24T07:23:00Z</dcterms:created>
  <dcterms:modified xsi:type="dcterms:W3CDTF">2023-10-17T04:56:00Z</dcterms:modified>
</cp:coreProperties>
</file>