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9D0C6" w14:textId="6BAFC383" w:rsidR="00066E5A" w:rsidRPr="00AD2C5D" w:rsidRDefault="00066E5A" w:rsidP="00C156FC">
      <w:pPr>
        <w:spacing w:after="240" w:line="48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bookmarkStart w:id="0" w:name="_GoBack"/>
      <w:r w:rsidRPr="00AD2C5D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 w:bidi="ar-SA"/>
        </w:rPr>
        <w:drawing>
          <wp:inline distT="0" distB="0" distL="0" distR="0" wp14:anchorId="2D35B48F" wp14:editId="4D66AE5A">
            <wp:extent cx="8229600" cy="535241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5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DDC71" w14:textId="59446D9F" w:rsidR="00C156FC" w:rsidRPr="00AD2C5D" w:rsidRDefault="00C156FC" w:rsidP="005973B5">
      <w:pPr>
        <w:spacing w:after="240" w:line="48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D2C5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Additional File </w:t>
      </w:r>
      <w:r w:rsidR="006E6D3B" w:rsidRPr="00AD2C5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10</w:t>
      </w:r>
      <w:r w:rsidRPr="00AD2C5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. ITT Analysis of Clinical Outcomes in Adults With T2D and ASCVD on OW GLP-1 RAs or DPP-4is. </w:t>
      </w:r>
      <w:r w:rsidR="006E6D3B" w:rsidRPr="00AD2C5D">
        <w:rPr>
          <w:rFonts w:ascii="Times New Roman" w:hAnsi="Times New Roman" w:cs="Times New Roman"/>
          <w:color w:val="000000" w:themeColor="text1"/>
          <w:sz w:val="32"/>
          <w:szCs w:val="32"/>
        </w:rPr>
        <w:t>ITT analysis of w</w:t>
      </w:r>
      <w:r w:rsidRPr="00AD2C5D">
        <w:rPr>
          <w:rFonts w:ascii="Times New Roman" w:hAnsi="Times New Roman" w:cs="Times New Roman"/>
          <w:color w:val="000000" w:themeColor="text1"/>
          <w:sz w:val="32"/>
          <w:szCs w:val="32"/>
        </w:rPr>
        <w:t>eighted incidence rates, hazard ratios, and cumulative incidence curves of clinical outcomes comparing OW GLP-1 RAs with DPP-4is among adults with T2D and ASCVD. *Indicates statistical significance (</w:t>
      </w:r>
      <w:r w:rsidRPr="00AD2C5D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>P</w:t>
      </w:r>
      <w:r w:rsidRPr="00AD2C5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&lt;0.05). ASCVD, atherosclerotic cardiovascular disease; DPP-4is, dipeptidyl peptidase-4 inhibitors; GLP-1 RAs, glucagon-like peptide-1 receptor agonists; </w:t>
      </w:r>
      <w:r w:rsidR="00066E5A" w:rsidRPr="00AD2C5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ITT, intention-to-treat; </w:t>
      </w:r>
      <w:r w:rsidRPr="00AD2C5D">
        <w:rPr>
          <w:rFonts w:ascii="Times New Roman" w:hAnsi="Times New Roman" w:cs="Times New Roman"/>
          <w:color w:val="000000" w:themeColor="text1"/>
          <w:sz w:val="32"/>
          <w:szCs w:val="32"/>
        </w:rPr>
        <w:t>OW, once-weekly; T2D, type 2 diabetes.</w:t>
      </w:r>
      <w:bookmarkEnd w:id="0"/>
    </w:p>
    <w:sectPr w:rsidR="00C156FC" w:rsidRPr="00AD2C5D" w:rsidSect="00AD2C5D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altName w:val="Arial"/>
    <w:charset w:val="00"/>
    <w:family w:val="swiss"/>
    <w:pitch w:val="variable"/>
    <w:sig w:usb0="00000001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6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3"/>
  </w:num>
  <w:num w:numId="10">
    <w:abstractNumId w:val="10"/>
  </w:num>
  <w:num w:numId="11">
    <w:abstractNumId w:val="8"/>
  </w:num>
  <w:num w:numId="12">
    <w:abstractNumId w:val="12"/>
  </w:num>
  <w:num w:numId="13">
    <w:abstractNumId w:val="7"/>
  </w:num>
  <w:num w:numId="14">
    <w:abstractNumId w:val="18"/>
  </w:num>
  <w:num w:numId="15">
    <w:abstractNumId w:val="3"/>
  </w:num>
  <w:num w:numId="16">
    <w:abstractNumId w:val="19"/>
  </w:num>
  <w:num w:numId="17">
    <w:abstractNumId w:val="2"/>
  </w:num>
  <w:num w:numId="18">
    <w:abstractNumId w:val="1"/>
  </w:num>
  <w:num w:numId="19">
    <w:abstractNumId w:val="11"/>
  </w:num>
  <w:num w:numId="20">
    <w:abstractNumId w:val="16"/>
  </w:num>
  <w:num w:numId="21">
    <w:abstractNumId w:val="5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4342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D76F6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872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3676D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10F5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592D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3B5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2CE9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2C5D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6DE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3B5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B3D043-97FD-46A3-8829-66111A6DE2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Nithya sudalai</cp:lastModifiedBy>
  <cp:revision>4</cp:revision>
  <dcterms:created xsi:type="dcterms:W3CDTF">2023-10-31T13:20:00Z</dcterms:created>
  <dcterms:modified xsi:type="dcterms:W3CDTF">2023-11-09T02:43:00Z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