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11FCF" w14:textId="77777777" w:rsidR="00C156FC" w:rsidRPr="00BE1020" w:rsidRDefault="00C156FC" w:rsidP="00C156FC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BE1020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en-IN" w:eastAsia="en-IN" w:bidi="ar-SA"/>
        </w:rPr>
        <w:drawing>
          <wp:inline distT="0" distB="0" distL="0" distR="0" wp14:anchorId="47C54F2B" wp14:editId="777AFFF5">
            <wp:extent cx="7406640" cy="4610166"/>
            <wp:effectExtent l="762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6640" cy="461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DC71" w14:textId="65641F12" w:rsidR="00C156FC" w:rsidRPr="00BE1020" w:rsidRDefault="00C156FC" w:rsidP="00612697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0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Additional File 3. Patient attrition flow chart.</w:t>
      </w:r>
      <w:r w:rsidRPr="00BE10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ASCVD, atherosclerotic cardiovascular disease; DPP-4i, dipeptidyl peptidase-4 inhibitor; GLP-1 RA, glucagon-like peptide-1 receptor agonist; T1D, type 1 diabetes; T2D, type 2 diabetes.</w:t>
      </w:r>
      <w:bookmarkEnd w:id="0"/>
    </w:p>
    <w:sectPr w:rsidR="00C156FC" w:rsidRPr="00BE1020" w:rsidSect="00BE102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altName w:val="Arial"/>
    <w:charset w:val="00"/>
    <w:family w:val="swiss"/>
    <w:pitch w:val="variable"/>
    <w:sig w:usb0="00000001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6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10"/>
  </w:num>
  <w:num w:numId="11">
    <w:abstractNumId w:val="8"/>
  </w:num>
  <w:num w:numId="12">
    <w:abstractNumId w:val="12"/>
  </w:num>
  <w:num w:numId="13">
    <w:abstractNumId w:val="7"/>
  </w:num>
  <w:num w:numId="14">
    <w:abstractNumId w:val="18"/>
  </w:num>
  <w:num w:numId="15">
    <w:abstractNumId w:val="3"/>
  </w:num>
  <w:num w:numId="16">
    <w:abstractNumId w:val="19"/>
  </w:num>
  <w:num w:numId="17">
    <w:abstractNumId w:val="2"/>
  </w:num>
  <w:num w:numId="18">
    <w:abstractNumId w:val="1"/>
  </w:num>
  <w:num w:numId="19">
    <w:abstractNumId w:val="11"/>
  </w:num>
  <w:num w:numId="20">
    <w:abstractNumId w:val="16"/>
  </w:num>
  <w:num w:numId="21">
    <w:abstractNumId w:val="5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2697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1020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BD9AF5-0777-4EBA-BEA6-36477219A1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Nithya sudalai</cp:lastModifiedBy>
  <cp:revision>4</cp:revision>
  <dcterms:created xsi:type="dcterms:W3CDTF">2023-10-31T13:17:00Z</dcterms:created>
  <dcterms:modified xsi:type="dcterms:W3CDTF">2023-11-09T02:38:00Z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