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Table 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Univariate analysis: risk factors of in-hospital and 1-year mortality.</w:t>
      </w:r>
    </w:p>
    <w:tbl>
      <w:tblPr>
        <w:tblStyle w:val="5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655"/>
        <w:gridCol w:w="1145"/>
        <w:gridCol w:w="2467"/>
        <w:gridCol w:w="11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282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Variable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3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 w:bidi="ar-SA"/>
              </w:rPr>
              <w:t xml:space="preserve">Logistic analysis for in-hospital mortality </w:t>
            </w:r>
          </w:p>
        </w:tc>
        <w:tc>
          <w:tcPr>
            <w:tcW w:w="35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 w:bidi="ar-SA"/>
              </w:rPr>
              <w:t>Cox analysis for 1-year mortality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82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6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(95% CI)</w:t>
            </w:r>
          </w:p>
        </w:tc>
        <w:tc>
          <w:tcPr>
            <w:tcW w:w="11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value</w:t>
            </w:r>
          </w:p>
        </w:tc>
        <w:tc>
          <w:tcPr>
            <w:tcW w:w="24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HR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(95% CI)</w:t>
            </w:r>
          </w:p>
        </w:tc>
        <w:tc>
          <w:tcPr>
            <w:tcW w:w="11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SHR</w:t>
            </w:r>
          </w:p>
        </w:tc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2.288 (1.835-2.854)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1.639 (1.457-1.845)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GV</w:t>
            </w:r>
          </w:p>
        </w:tc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1.021 (1.012-1.031)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1.017 (1.012-1.023)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1.025 (1.009-1.042)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1.045 (1.035-1.055)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1.212 (0.844-1.741)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0.297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1.553 (1.272-1.896)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Body mass index</w:t>
            </w:r>
          </w:p>
        </w:tc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0.982 (0.95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-1.016)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0.296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0.981 (0.962-1.001)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spacing w:before="100" w:after="100" w:line="48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Systolic blood pressure</w:t>
            </w:r>
          </w:p>
        </w:tc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0.996 (0.988-1.004)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0.346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1.004 (0.999-1.008)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spacing w:before="100" w:after="100" w:line="48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Diastolic blood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pressure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.000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0.053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(1.005-1.016)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spacing w:before="100" w:after="100" w:line="48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Heart rate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1.024 (1.015-1.034)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1.019 (1.013-1.024)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AMI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5.936 (3.636-9.692)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2.919 (2.329-3.659)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History of MI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(0.452-1.243)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0.264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(0.678-1.169)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1.259 (0.79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-2.006)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0.332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1.504 (1.134-1.995)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Diabetes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0.952 (0.675-1.342)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0.778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1.256 (1.033-1.527)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 xml:space="preserve">hronic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heart failure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3.016 (2.099-4.333)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2.853 (2.325-3.499)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Peripheral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vascular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disease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1.517 (1.004-2.293)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0.048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1.462 (1.154-1.851)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Cerebrovascular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disease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2.555 (1.755-3.719)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2.252 (1.812-2.799)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Antiplatelet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1.046 (0.637-1.719)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0.859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0.762 (0.591-0.983)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Statin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</w:p>
        </w:tc>
        <w:tc>
          <w:tcPr>
            <w:tcW w:w="26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0.784 (0.534-1.152)</w:t>
            </w:r>
          </w:p>
        </w:tc>
        <w:tc>
          <w:tcPr>
            <w:tcW w:w="114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0.215</w:t>
            </w:r>
          </w:p>
        </w:tc>
        <w:tc>
          <w:tcPr>
            <w:tcW w:w="246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0.846 (0.677-1.057)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4"/>
                <w:szCs w:val="24"/>
              </w:rPr>
              <w:t>ACEI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Arial" w:cs="Times New Roman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default" w:ascii="Times New Roman" w:hAnsi="Times New Roman" w:eastAsia="Arial" w:cs="Times New Roman"/>
                <w:color w:val="auto"/>
                <w:sz w:val="24"/>
                <w:szCs w:val="24"/>
              </w:rPr>
              <w:t>ARB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26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0.328 (0.19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-0.564)</w:t>
            </w:r>
          </w:p>
        </w:tc>
        <w:tc>
          <w:tcPr>
            <w:tcW w:w="114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0.772 (0.611-0.976)</w:t>
            </w:r>
          </w:p>
        </w:tc>
        <w:tc>
          <w:tcPr>
            <w:tcW w:w="110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Beta</w:t>
            </w:r>
            <w:r>
              <w:rPr>
                <w:rFonts w:hint="default" w:ascii="Times New Roman" w:hAnsi="Times New Roman" w:eastAsia="Arial" w:cs="Times New Roman"/>
                <w:color w:val="auto"/>
                <w:sz w:val="24"/>
                <w:szCs w:val="24"/>
              </w:rPr>
              <w:t>-blocker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1.078 (0.764-1.521)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1.054 (0.867-1.282)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Vasoactive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drugs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3.051 (1.904-4.887)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0.942 (0.769-1.155)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Insulin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1.776 (1.22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-2.586)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0.938 (0.77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-1.142)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Other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antidiabetic drugs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0.441 (0.161-1.207)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0.111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0.447 (0.252-0.794)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Renal replacement therapy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(5.49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-12.187)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4.325 (3.381-5.532)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Ventilation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2.404 (1.396-4.141)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0.701 (0.565-0.87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eGFR</w:t>
            </w:r>
          </w:p>
        </w:tc>
        <w:tc>
          <w:tcPr>
            <w:tcW w:w="26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0.975 (0.969-0.981)</w:t>
            </w:r>
          </w:p>
        </w:tc>
        <w:tc>
          <w:tcPr>
            <w:tcW w:w="114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6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(0.976-0.983)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Abbreviations: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ACEI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/ARB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angiotensin-converting enzyme inhibitor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/angiotensin receptor blocker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s;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MI,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acute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myocardial infarction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; CI, confidence interval; eGFR,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estimated glomerular filtration rate; GV, glycemic variability; HR, hazard ratio;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MI, myocardial infarction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; OR, odds ratio; SHR, stress hyperglycemia ratio.</w:t>
      </w: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2NzMwNTE0MmE0OWY1MmE2MmFlNDcyNmI5ZDJlMDAifQ=="/>
  </w:docVars>
  <w:rsids>
    <w:rsidRoot w:val="30F4691B"/>
    <w:rsid w:val="028D5DB7"/>
    <w:rsid w:val="02A227A1"/>
    <w:rsid w:val="03413725"/>
    <w:rsid w:val="04904FA7"/>
    <w:rsid w:val="04B14F1D"/>
    <w:rsid w:val="0560706F"/>
    <w:rsid w:val="056D178C"/>
    <w:rsid w:val="057228FE"/>
    <w:rsid w:val="05850883"/>
    <w:rsid w:val="06BA27AF"/>
    <w:rsid w:val="078D3A1F"/>
    <w:rsid w:val="07F12200"/>
    <w:rsid w:val="092403B3"/>
    <w:rsid w:val="09681DAF"/>
    <w:rsid w:val="0A7F7F97"/>
    <w:rsid w:val="0A892BC4"/>
    <w:rsid w:val="0A9450C5"/>
    <w:rsid w:val="0AF12519"/>
    <w:rsid w:val="0B5036E2"/>
    <w:rsid w:val="0BE1050C"/>
    <w:rsid w:val="0C590374"/>
    <w:rsid w:val="0C8F023A"/>
    <w:rsid w:val="0CEB3524"/>
    <w:rsid w:val="0DAE649D"/>
    <w:rsid w:val="0E7E0566"/>
    <w:rsid w:val="0EF40828"/>
    <w:rsid w:val="107B4D5D"/>
    <w:rsid w:val="10C83D1A"/>
    <w:rsid w:val="10CE7EBA"/>
    <w:rsid w:val="110079DA"/>
    <w:rsid w:val="110411F6"/>
    <w:rsid w:val="120509AC"/>
    <w:rsid w:val="1323348A"/>
    <w:rsid w:val="139B6F6B"/>
    <w:rsid w:val="141E2F91"/>
    <w:rsid w:val="14860174"/>
    <w:rsid w:val="15910B7E"/>
    <w:rsid w:val="15FF71F0"/>
    <w:rsid w:val="16B25250"/>
    <w:rsid w:val="16C90CFD"/>
    <w:rsid w:val="18137F71"/>
    <w:rsid w:val="182F467F"/>
    <w:rsid w:val="188E5849"/>
    <w:rsid w:val="193418DA"/>
    <w:rsid w:val="193A5D5C"/>
    <w:rsid w:val="199E6903"/>
    <w:rsid w:val="1A465407"/>
    <w:rsid w:val="1ACB4B33"/>
    <w:rsid w:val="1BA36F23"/>
    <w:rsid w:val="1BB04ED2"/>
    <w:rsid w:val="1BCA303C"/>
    <w:rsid w:val="1BF64FD6"/>
    <w:rsid w:val="1C965875"/>
    <w:rsid w:val="1D792624"/>
    <w:rsid w:val="1DD737EE"/>
    <w:rsid w:val="1E004AF3"/>
    <w:rsid w:val="1F3676C7"/>
    <w:rsid w:val="1F4924CA"/>
    <w:rsid w:val="1F882FF2"/>
    <w:rsid w:val="1F984E09"/>
    <w:rsid w:val="1FAA740D"/>
    <w:rsid w:val="1FD61FB0"/>
    <w:rsid w:val="20294E32"/>
    <w:rsid w:val="203D3B4F"/>
    <w:rsid w:val="20E474B6"/>
    <w:rsid w:val="230E380E"/>
    <w:rsid w:val="232D7EC9"/>
    <w:rsid w:val="23E32EED"/>
    <w:rsid w:val="24186BBC"/>
    <w:rsid w:val="258C1362"/>
    <w:rsid w:val="26207C03"/>
    <w:rsid w:val="26320878"/>
    <w:rsid w:val="28335AC5"/>
    <w:rsid w:val="28C50E13"/>
    <w:rsid w:val="28EC2844"/>
    <w:rsid w:val="2A4D57CE"/>
    <w:rsid w:val="2AE21493"/>
    <w:rsid w:val="2AFC4894"/>
    <w:rsid w:val="2B710DDE"/>
    <w:rsid w:val="2B7B57AC"/>
    <w:rsid w:val="2BE733F6"/>
    <w:rsid w:val="2C22032B"/>
    <w:rsid w:val="2C372028"/>
    <w:rsid w:val="2D984D48"/>
    <w:rsid w:val="2DDF67DB"/>
    <w:rsid w:val="2E3429CF"/>
    <w:rsid w:val="2E426A62"/>
    <w:rsid w:val="2E47051C"/>
    <w:rsid w:val="2E4F0571"/>
    <w:rsid w:val="2EFF1B09"/>
    <w:rsid w:val="2F3E36CD"/>
    <w:rsid w:val="2F7215C9"/>
    <w:rsid w:val="2FCD4A51"/>
    <w:rsid w:val="305B3E0B"/>
    <w:rsid w:val="3086532C"/>
    <w:rsid w:val="30D60DAE"/>
    <w:rsid w:val="30F4691B"/>
    <w:rsid w:val="31844B16"/>
    <w:rsid w:val="318D450C"/>
    <w:rsid w:val="31922692"/>
    <w:rsid w:val="3216623C"/>
    <w:rsid w:val="32EC2057"/>
    <w:rsid w:val="33A855B9"/>
    <w:rsid w:val="3632560E"/>
    <w:rsid w:val="36664117"/>
    <w:rsid w:val="36AE1139"/>
    <w:rsid w:val="36C33119"/>
    <w:rsid w:val="37DC7F27"/>
    <w:rsid w:val="386D6DD1"/>
    <w:rsid w:val="3A157721"/>
    <w:rsid w:val="3ACC6031"/>
    <w:rsid w:val="3B53405D"/>
    <w:rsid w:val="3BCF77BE"/>
    <w:rsid w:val="3BDA652C"/>
    <w:rsid w:val="3C3D06E1"/>
    <w:rsid w:val="3C7B6538"/>
    <w:rsid w:val="3CA228E3"/>
    <w:rsid w:val="3CBB45AF"/>
    <w:rsid w:val="3E4E3201"/>
    <w:rsid w:val="3EC138D5"/>
    <w:rsid w:val="3EC55271"/>
    <w:rsid w:val="3EF913BF"/>
    <w:rsid w:val="3FA43C9B"/>
    <w:rsid w:val="3FA550A3"/>
    <w:rsid w:val="409420DA"/>
    <w:rsid w:val="411059D4"/>
    <w:rsid w:val="417C4D58"/>
    <w:rsid w:val="417E5BAB"/>
    <w:rsid w:val="430D2F90"/>
    <w:rsid w:val="435E5C94"/>
    <w:rsid w:val="43617533"/>
    <w:rsid w:val="4554734F"/>
    <w:rsid w:val="4B1F5D09"/>
    <w:rsid w:val="4B3313E7"/>
    <w:rsid w:val="4B6322BC"/>
    <w:rsid w:val="4B7F1D4E"/>
    <w:rsid w:val="4B9F1D50"/>
    <w:rsid w:val="4CC052CA"/>
    <w:rsid w:val="4D2158B2"/>
    <w:rsid w:val="4D4C3002"/>
    <w:rsid w:val="4DF72D81"/>
    <w:rsid w:val="4F8847C5"/>
    <w:rsid w:val="50834F8C"/>
    <w:rsid w:val="5184720E"/>
    <w:rsid w:val="51CE66DB"/>
    <w:rsid w:val="52A85BF9"/>
    <w:rsid w:val="531B14AC"/>
    <w:rsid w:val="534A7FE3"/>
    <w:rsid w:val="534F1565"/>
    <w:rsid w:val="53BB56C6"/>
    <w:rsid w:val="55517407"/>
    <w:rsid w:val="56D73EF4"/>
    <w:rsid w:val="573945F7"/>
    <w:rsid w:val="58262DCD"/>
    <w:rsid w:val="58BA52C3"/>
    <w:rsid w:val="591744C4"/>
    <w:rsid w:val="5A0507C0"/>
    <w:rsid w:val="5A7700FC"/>
    <w:rsid w:val="5AEB02B4"/>
    <w:rsid w:val="5AF251E8"/>
    <w:rsid w:val="5AFE1DDF"/>
    <w:rsid w:val="5BB56B61"/>
    <w:rsid w:val="5BFF5F3F"/>
    <w:rsid w:val="5C8A31FF"/>
    <w:rsid w:val="5E6F4DA2"/>
    <w:rsid w:val="5E7E6D93"/>
    <w:rsid w:val="5F555D46"/>
    <w:rsid w:val="5FD62369"/>
    <w:rsid w:val="61497B2C"/>
    <w:rsid w:val="61FA4982"/>
    <w:rsid w:val="630A5099"/>
    <w:rsid w:val="63147CC6"/>
    <w:rsid w:val="63660521"/>
    <w:rsid w:val="638702D0"/>
    <w:rsid w:val="6424513F"/>
    <w:rsid w:val="649E158D"/>
    <w:rsid w:val="65DA0D53"/>
    <w:rsid w:val="66C57C55"/>
    <w:rsid w:val="66E001B8"/>
    <w:rsid w:val="67904253"/>
    <w:rsid w:val="679045BB"/>
    <w:rsid w:val="67DC5D00"/>
    <w:rsid w:val="68E02B24"/>
    <w:rsid w:val="699346E7"/>
    <w:rsid w:val="6A152CA1"/>
    <w:rsid w:val="6A837C0B"/>
    <w:rsid w:val="6AD2040A"/>
    <w:rsid w:val="6AFE715F"/>
    <w:rsid w:val="6EC16F54"/>
    <w:rsid w:val="6EF74444"/>
    <w:rsid w:val="6FB645DF"/>
    <w:rsid w:val="706F0B3B"/>
    <w:rsid w:val="70A531CA"/>
    <w:rsid w:val="72661558"/>
    <w:rsid w:val="72897D89"/>
    <w:rsid w:val="72A057C0"/>
    <w:rsid w:val="72C40DC1"/>
    <w:rsid w:val="73816CB2"/>
    <w:rsid w:val="7469612C"/>
    <w:rsid w:val="76EE5700"/>
    <w:rsid w:val="778B42C3"/>
    <w:rsid w:val="78476316"/>
    <w:rsid w:val="79200D1B"/>
    <w:rsid w:val="793A6280"/>
    <w:rsid w:val="7B5B2E13"/>
    <w:rsid w:val="7B8769A1"/>
    <w:rsid w:val="7C52031C"/>
    <w:rsid w:val="7D5D078F"/>
    <w:rsid w:val="7E28638D"/>
    <w:rsid w:val="7E3A6EB0"/>
    <w:rsid w:val="7E9B043D"/>
    <w:rsid w:val="7EEA1BAF"/>
    <w:rsid w:val="7F0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680"/>
        <w:tab w:val="right" w:pos="9360"/>
      </w:tabs>
    </w:pPr>
    <w:rPr>
      <w:rFonts w:eastAsiaTheme="minorHAnsi"/>
    </w:rPr>
  </w:style>
  <w:style w:type="paragraph" w:styleId="3">
    <w:name w:val="header"/>
    <w:basedOn w:val="1"/>
    <w:autoRedefine/>
    <w:unhideWhenUsed/>
    <w:qFormat/>
    <w:uiPriority w:val="99"/>
    <w:pPr>
      <w:tabs>
        <w:tab w:val="center" w:pos="4680"/>
        <w:tab w:val="right" w:pos="9360"/>
      </w:tabs>
    </w:pPr>
    <w:rPr>
      <w:rFonts w:eastAsiaTheme="minorHAnsi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semiHidden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2023-08-29T11:53:00Z</dcterms:created>
  <dc:creator>71906</dc:creator>
  <cp:lastModifiedBy>烟消云散</cp:lastModifiedBy>
  <dcterms:modified xsi:type="dcterms:W3CDTF">2024-01-16T15:53:35Z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22C77D91F58A4543A845D905314EDE56_11</vt:lpwstr>
  </property>
</Properties>
</file>