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b w:val="0"/>
          <w:bCs w:val="0"/>
          <w:color w:val="auto"/>
          <w:sz w:val="24"/>
          <w:szCs w:val="24"/>
          <w:vertAlign w:val="baseline"/>
          <w:lang w:val="en-US" w:eastAsia="zh-CN"/>
        </w:rPr>
      </w:pPr>
      <w:bookmarkStart w:id="0" w:name="_GoBack"/>
      <w:r>
        <w:rPr>
          <w:rFonts w:hint="default" w:ascii="Times New Roman" w:hAnsi="Times New Roman" w:cs="Times New Roman"/>
          <w:b/>
          <w:bCs/>
          <w:color w:val="auto"/>
          <w:sz w:val="24"/>
          <w:szCs w:val="24"/>
          <w:lang w:val="en-US" w:eastAsia="zh-CN"/>
        </w:rPr>
        <w:t xml:space="preserve">Supplementary Table 3. </w:t>
      </w:r>
      <w:r>
        <w:rPr>
          <w:rFonts w:hint="default" w:ascii="Times New Roman" w:hAnsi="Times New Roman" w:cs="Times New Roman"/>
          <w:b w:val="0"/>
          <w:bCs w:val="0"/>
          <w:color w:val="auto"/>
          <w:sz w:val="24"/>
          <w:szCs w:val="24"/>
          <w:lang w:val="en-US" w:eastAsia="zh-CN"/>
        </w:rPr>
        <w:t>Sensitivity analysis: the association of the combination of SHR and GV with mortality in patients with or without diabetes (GV was calculated by using blood glucose measurements within 72 hours after ICU admission).</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1754"/>
        <w:gridCol w:w="1754"/>
        <w:gridCol w:w="1754"/>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75" w:type="pct"/>
            <w:tcBorders>
              <w:top w:val="single" w:color="auto" w:sz="4" w:space="0"/>
              <w:left w:val="nil"/>
              <w:bottom w:val="nil"/>
              <w:right w:val="nil"/>
            </w:tcBorders>
            <w:vAlign w:val="center"/>
          </w:tcPr>
          <w:p>
            <w:pPr>
              <w:spacing w:line="240" w:lineRule="auto"/>
              <w:rPr>
                <w:rFonts w:hint="default" w:ascii="Times New Roman" w:hAnsi="Times New Roman" w:eastAsia="宋体" w:cs="Times New Roman"/>
                <w:i w:val="0"/>
                <w:iCs w:val="0"/>
                <w:color w:val="auto"/>
                <w:kern w:val="2"/>
                <w:sz w:val="24"/>
                <w:szCs w:val="24"/>
                <w:u w:val="none"/>
                <w:lang w:val="en-US" w:eastAsia="zh-CN" w:bidi="ar-SA"/>
              </w:rPr>
            </w:pPr>
          </w:p>
        </w:tc>
        <w:tc>
          <w:tcPr>
            <w:tcW w:w="4124" w:type="pct"/>
            <w:gridSpan w:val="4"/>
            <w:tcBorders>
              <w:top w:val="single" w:color="auto" w:sz="4" w:space="0"/>
              <w:left w:val="nil"/>
              <w:bottom w:val="single" w:color="auto" w:sz="4" w:space="0"/>
              <w:right w:val="nil"/>
            </w:tcBorders>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75" w:type="pct"/>
            <w:tcBorders>
              <w:top w:val="nil"/>
              <w:left w:val="nil"/>
              <w:bottom w:val="single" w:color="auto" w:sz="4" w:space="0"/>
              <w:right w:val="nil"/>
            </w:tcBorders>
            <w:vAlign w:val="center"/>
          </w:tcPr>
          <w:p>
            <w:pPr>
              <w:spacing w:line="240" w:lineRule="auto"/>
              <w:rPr>
                <w:rFonts w:hint="default" w:ascii="Times New Roman" w:hAnsi="Times New Roman" w:eastAsia="宋体" w:cs="Times New Roman"/>
                <w:i w:val="0"/>
                <w:iCs w:val="0"/>
                <w:color w:val="auto"/>
                <w:kern w:val="2"/>
                <w:sz w:val="24"/>
                <w:szCs w:val="24"/>
                <w:u w:val="none"/>
                <w:lang w:val="en-US" w:eastAsia="zh-CN" w:bidi="ar-SA"/>
              </w:rPr>
            </w:pPr>
          </w:p>
        </w:tc>
        <w:tc>
          <w:tcPr>
            <w:tcW w:w="1029" w:type="pct"/>
            <w:tcBorders>
              <w:top w:val="single" w:color="auto" w:sz="4" w:space="0"/>
              <w:left w:val="nil"/>
              <w:bottom w:val="single" w:color="auto" w:sz="4" w:space="0"/>
              <w:right w:val="nil"/>
            </w:tcBorders>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Low SHR and low GV</w:t>
            </w:r>
          </w:p>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(SHR &lt;1.16 and GV &lt;27.3)</w:t>
            </w:r>
          </w:p>
        </w:tc>
        <w:tc>
          <w:tcPr>
            <w:tcW w:w="1029" w:type="pct"/>
            <w:tcBorders>
              <w:top w:val="single" w:color="auto" w:sz="4" w:space="0"/>
              <w:left w:val="nil"/>
              <w:bottom w:val="single" w:color="auto" w:sz="4" w:space="0"/>
              <w:right w:val="nil"/>
            </w:tcBorders>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High SHR and low GV</w:t>
            </w:r>
          </w:p>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(SHR &gt;1.16 and GV &lt;27.3)</w:t>
            </w:r>
          </w:p>
        </w:tc>
        <w:tc>
          <w:tcPr>
            <w:tcW w:w="1029" w:type="pct"/>
            <w:tcBorders>
              <w:top w:val="single" w:color="auto" w:sz="4" w:space="0"/>
              <w:left w:val="nil"/>
              <w:bottom w:val="single" w:color="auto" w:sz="4" w:space="0"/>
              <w:right w:val="nil"/>
            </w:tcBorders>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Low SHR and high GV</w:t>
            </w:r>
          </w:p>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(SHR &lt;1.16 and GV &gt;27.3)</w:t>
            </w:r>
          </w:p>
        </w:tc>
        <w:tc>
          <w:tcPr>
            <w:tcW w:w="1036" w:type="pct"/>
            <w:tcBorders>
              <w:top w:val="single" w:color="auto" w:sz="4" w:space="0"/>
              <w:left w:val="nil"/>
              <w:bottom w:val="single" w:color="auto" w:sz="4" w:space="0"/>
              <w:right w:val="nil"/>
            </w:tcBorders>
            <w:vAlign w:val="center"/>
          </w:tcPr>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High SHR and high GV</w:t>
            </w:r>
          </w:p>
          <w:p>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(SHR &gt;1.16 and GV &gt;27.3)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eastAsia="宋体" w:cs="Times New Roman"/>
                <w:b/>
                <w:bCs/>
                <w:i w:val="0"/>
                <w:iCs w:val="0"/>
                <w:color w:val="auto"/>
                <w:sz w:val="24"/>
                <w:szCs w:val="24"/>
                <w:u w:val="none"/>
                <w:lang w:val="en-US" w:eastAsia="zh-CN"/>
              </w:rPr>
              <w:t>In-hospital mortality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Overall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3.113 (1.971-4.916)</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1.028 (0.540-1.955)</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4.794 (3.037-7.568)</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4.233 (2.522-7.105)</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0.854 (0.383-1.902)</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6.282 (3.703-10.658)</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2</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sz w:val="24"/>
                <w:szCs w:val="24"/>
                <w:vertAlign w:val="baseline"/>
                <w:lang w:val="en-US" w:eastAsia="zh-CN"/>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3.368 (1.887-6.009)</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0.779 (0.336-1.803)</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4.000 (2.201-7.270)</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Patients without diabetes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3.657 (1.978-6.761)</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1.380 (0.399-4.768)</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10.268 (5.429-19.418)</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5.091 (2.536-10.219)</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1.854 (0.517-6.653)</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13.228 (6.370-27.467)</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2</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4.293 (1.983-9.293)</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1.569 (0.408-6.032)</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7.727 (3.366-17.737)</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Patients with diabetes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2.608 (1.300-5.231)</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0.750 (0.342-1.644)</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2.309 (1.189-4.484)</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3.456 (1.559-7.663)</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0.510 (0.180-1.448)</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3.033 (1.387-6.635)</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2</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3.527 (1.349-9.221)</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0.607 (0.199-1.852)</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3.222 (1.290-8.046)</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1-year mortality</w:t>
            </w:r>
            <w:r>
              <w:rPr>
                <w:rFonts w:hint="default" w:ascii="Times New Roman" w:hAnsi="Times New Roman" w:cs="Times New Roman"/>
                <w:b/>
                <w:bCs/>
                <w:color w:val="auto"/>
                <w:sz w:val="24"/>
                <w:szCs w:val="24"/>
                <w:vertAlign w:val="superscript"/>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Overall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75" w:type="pct"/>
            <w:tcBorders>
              <w:top w:val="nil"/>
              <w:left w:val="nil"/>
              <w:bottom w:val="single" w:color="auto" w:sz="4" w:space="0"/>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2.171 (1.659-2.842)</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1.424 (1.012-2.002)</w:t>
            </w:r>
            <w:r>
              <w:rPr>
                <w:rFonts w:hint="default" w:ascii="Times New Roman" w:hAnsi="Times New Roman" w:eastAsia="宋体" w:cs="Times New Roman"/>
                <w:color w:val="auto"/>
                <w:sz w:val="24"/>
                <w:szCs w:val="24"/>
                <w:highlight w:val="none"/>
                <w:vertAlign w:val="superscript"/>
                <w:lang w:val="en-US" w:eastAsia="zh-CN"/>
              </w:rPr>
              <w:t>*</w:t>
            </w:r>
          </w:p>
        </w:tc>
        <w:tc>
          <w:tcPr>
            <w:tcW w:w="1036" w:type="pct"/>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3.227 (2.293-4.543)</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single" w:color="auto" w:sz="4" w:space="0"/>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single" w:color="auto" w:sz="4" w:space="0"/>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2.992 (2.186-4.096)</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single" w:color="auto" w:sz="4" w:space="0"/>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1.751 (1.170-2.621)</w:t>
            </w:r>
            <w:r>
              <w:rPr>
                <w:rFonts w:hint="default" w:ascii="Times New Roman" w:hAnsi="Times New Roman" w:eastAsia="宋体" w:cs="Times New Roman"/>
                <w:color w:val="auto"/>
                <w:sz w:val="24"/>
                <w:szCs w:val="24"/>
                <w:highlight w:val="none"/>
                <w:vertAlign w:val="superscript"/>
                <w:lang w:val="en-US" w:eastAsia="zh-CN"/>
              </w:rPr>
              <w:t>†</w:t>
            </w:r>
          </w:p>
        </w:tc>
        <w:tc>
          <w:tcPr>
            <w:tcW w:w="1036" w:type="pct"/>
            <w:tcBorders>
              <w:top w:val="single" w:color="auto" w:sz="4" w:space="0"/>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4.219 (2.792-6.373)</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3</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75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2.413 (1.756-3.316)</w:t>
            </w:r>
            <w:r>
              <w:rPr>
                <w:rFonts w:hint="default" w:ascii="Times New Roman" w:hAnsi="Times New Roman" w:eastAsia="宋体" w:cs="Times New Roman"/>
                <w:color w:val="auto"/>
                <w:sz w:val="24"/>
                <w:szCs w:val="24"/>
                <w:highlight w:val="none"/>
                <w:vertAlign w:val="superscript"/>
                <w:lang w:val="en-US" w:eastAsia="zh-CN"/>
              </w:rPr>
              <w:t>‡</w:t>
            </w:r>
          </w:p>
        </w:tc>
        <w:tc>
          <w:tcPr>
            <w:tcW w:w="175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1.674 (1.114-2.517)</w:t>
            </w:r>
            <w:r>
              <w:rPr>
                <w:rFonts w:hint="default" w:ascii="Times New Roman" w:hAnsi="Times New Roman" w:eastAsia="宋体" w:cs="Times New Roman"/>
                <w:color w:val="auto"/>
                <w:sz w:val="24"/>
                <w:szCs w:val="24"/>
                <w:highlight w:val="none"/>
                <w:vertAlign w:val="superscript"/>
                <w:lang w:val="en-US" w:eastAsia="zh-CN"/>
              </w:rPr>
              <w:t>*</w:t>
            </w:r>
          </w:p>
        </w:tc>
        <w:tc>
          <w:tcPr>
            <w:tcW w:w="1766"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2.851 (1.873-4.340)</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Patients without diabetes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2.353 (1.612-3.434)</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2.416 (1.312-4.446)</w:t>
            </w:r>
            <w:r>
              <w:rPr>
                <w:rFonts w:hint="default" w:ascii="Times New Roman" w:hAnsi="Times New Roman" w:eastAsia="宋体" w:cs="Times New Roman"/>
                <w:color w:val="auto"/>
                <w:sz w:val="24"/>
                <w:szCs w:val="24"/>
                <w:highlight w:val="none"/>
                <w:vertAlign w:val="superscript"/>
                <w:lang w:val="en-US" w:eastAsia="zh-CN"/>
              </w:rPr>
              <w:t>†</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5.549 (3.356-9.174)</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3.886 (2.455-6.150)</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3.538 (1.729-7.240)</w:t>
            </w:r>
            <w:r>
              <w:rPr>
                <w:rFonts w:hint="default" w:ascii="Times New Roman" w:hAnsi="Times New Roman" w:eastAsia="宋体" w:cs="Times New Roman"/>
                <w:color w:val="auto"/>
                <w:sz w:val="24"/>
                <w:szCs w:val="24"/>
                <w:highlight w:val="none"/>
                <w:vertAlign w:val="superscript"/>
                <w:lang w:val="en-US" w:eastAsia="zh-CN"/>
              </w:rPr>
              <w:t>‡</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8.607 (4.678-15.835)</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3</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75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3.199 (2.010-5.092)</w:t>
            </w:r>
            <w:r>
              <w:rPr>
                <w:rFonts w:hint="default" w:ascii="Times New Roman" w:hAnsi="Times New Roman" w:eastAsia="宋体" w:cs="Times New Roman"/>
                <w:color w:val="auto"/>
                <w:sz w:val="24"/>
                <w:szCs w:val="24"/>
                <w:highlight w:val="none"/>
                <w:vertAlign w:val="superscript"/>
                <w:lang w:val="en-US" w:eastAsia="zh-CN"/>
              </w:rPr>
              <w:t>‡</w:t>
            </w:r>
          </w:p>
        </w:tc>
        <w:tc>
          <w:tcPr>
            <w:tcW w:w="1754"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2.962 (1.438-6.102)</w:t>
            </w:r>
            <w:r>
              <w:rPr>
                <w:rFonts w:hint="default" w:ascii="Times New Roman" w:hAnsi="Times New Roman" w:eastAsia="宋体" w:cs="Times New Roman"/>
                <w:color w:val="auto"/>
                <w:sz w:val="24"/>
                <w:szCs w:val="24"/>
                <w:highlight w:val="none"/>
                <w:vertAlign w:val="superscript"/>
                <w:lang w:val="en-US" w:eastAsia="zh-CN"/>
              </w:rPr>
              <w:t>†</w:t>
            </w:r>
          </w:p>
        </w:tc>
        <w:tc>
          <w:tcPr>
            <w:tcW w:w="1766" w:type="dxa"/>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5.512 (2.967-10.242)</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5"/>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color w:val="auto"/>
                <w:sz w:val="24"/>
                <w:szCs w:val="24"/>
                <w:vertAlign w:val="baseline"/>
                <w:lang w:val="en-US" w:eastAsia="zh-CN"/>
              </w:rPr>
            </w:pPr>
            <w:r>
              <w:rPr>
                <w:rFonts w:hint="default" w:ascii="Times New Roman" w:hAnsi="Times New Roman" w:cs="Times New Roman"/>
                <w:b/>
                <w:bCs/>
                <w:color w:val="auto"/>
                <w:sz w:val="24"/>
                <w:szCs w:val="24"/>
                <w:vertAlign w:val="baseline"/>
                <w:lang w:val="en-US" w:eastAsia="zh-CN"/>
              </w:rPr>
              <w:t>Patients with diabetes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Unadjusted</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2.342 (1.568-3.497)</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1.012 (0.651-1.574)</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2.134 (1.313-3.468)</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nil"/>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1</w:t>
            </w:r>
          </w:p>
        </w:tc>
        <w:tc>
          <w:tcPr>
            <w:tcW w:w="1029" w:type="pct"/>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2.885 (1.806-4.607)</w:t>
            </w:r>
            <w:r>
              <w:rPr>
                <w:rFonts w:hint="default" w:ascii="Times New Roman" w:hAnsi="Times New Roman" w:eastAsia="宋体" w:cs="Times New Roman"/>
                <w:color w:val="auto"/>
                <w:sz w:val="24"/>
                <w:szCs w:val="24"/>
                <w:highlight w:val="none"/>
                <w:vertAlign w:val="superscript"/>
                <w:lang w:val="en-US" w:eastAsia="zh-CN"/>
              </w:rPr>
              <w:t>‡</w:t>
            </w:r>
          </w:p>
        </w:tc>
        <w:tc>
          <w:tcPr>
            <w:tcW w:w="1029"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1.107 (0.656-1.867)</w:t>
            </w:r>
          </w:p>
        </w:tc>
        <w:tc>
          <w:tcPr>
            <w:tcW w:w="1036" w:type="pct"/>
            <w:tcBorders>
              <w:top w:val="nil"/>
              <w:left w:val="nil"/>
              <w:bottom w:val="nil"/>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2.488 (1.376-4.501)</w:t>
            </w:r>
            <w:r>
              <w:rPr>
                <w:rFonts w:hint="default" w:ascii="Times New Roman" w:hAnsi="Times New Roman" w:eastAsia="宋体" w:cs="Times New Roman"/>
                <w:color w:val="auto"/>
                <w:sz w:val="24"/>
                <w:szCs w:val="24"/>
                <w:highlight w:val="none"/>
                <w:vertAlign w:val="superscrip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5" w:type="pct"/>
            <w:tcBorders>
              <w:top w:val="nil"/>
              <w:left w:val="nil"/>
              <w:bottom w:val="single" w:color="auto" w:sz="4" w:space="0"/>
              <w:right w:val="nil"/>
            </w:tcBorders>
            <w:vAlign w:val="center"/>
          </w:tcPr>
          <w:p>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Model 3</w:t>
            </w:r>
          </w:p>
        </w:tc>
        <w:tc>
          <w:tcPr>
            <w:tcW w:w="1029" w:type="pct"/>
            <w:tcBorders>
              <w:top w:val="nil"/>
              <w:left w:val="nil"/>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cs="Times New Roman"/>
                <w:b w:val="0"/>
                <w:bCs w:val="0"/>
                <w:color w:val="auto"/>
                <w:sz w:val="24"/>
                <w:szCs w:val="24"/>
                <w:vertAlign w:val="baseline"/>
                <w:lang w:val="en-US" w:eastAsia="zh-CN"/>
              </w:rPr>
              <w:t>1.000</w:t>
            </w:r>
          </w:p>
        </w:tc>
        <w:tc>
          <w:tcPr>
            <w:tcW w:w="1754" w:type="dxa"/>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2.129 (1.315-3.445)</w:t>
            </w:r>
            <w:r>
              <w:rPr>
                <w:rFonts w:hint="default" w:ascii="Times New Roman" w:hAnsi="Times New Roman" w:eastAsia="宋体" w:cs="Times New Roman"/>
                <w:color w:val="auto"/>
                <w:sz w:val="24"/>
                <w:szCs w:val="24"/>
                <w:highlight w:val="none"/>
                <w:vertAlign w:val="superscript"/>
                <w:lang w:val="en-US" w:eastAsia="zh-CN"/>
              </w:rPr>
              <w:t>†</w:t>
            </w:r>
          </w:p>
        </w:tc>
        <w:tc>
          <w:tcPr>
            <w:tcW w:w="1754" w:type="dxa"/>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1.279 (0.754-2.167)</w:t>
            </w:r>
          </w:p>
        </w:tc>
        <w:tc>
          <w:tcPr>
            <w:tcW w:w="1766" w:type="dxa"/>
            <w:tcBorders>
              <w:top w:val="nil"/>
              <w:left w:val="nil"/>
              <w:bottom w:val="single" w:color="auto" w:sz="4" w:space="0"/>
              <w:right w:val="nil"/>
            </w:tcBorders>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val="0"/>
                <w:color w:val="auto"/>
                <w:kern w:val="2"/>
                <w:sz w:val="24"/>
                <w:szCs w:val="24"/>
                <w:vertAlign w:val="baseli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1.986 (1.083-3.640)</w:t>
            </w:r>
            <w:r>
              <w:rPr>
                <w:rFonts w:hint="default" w:ascii="Times New Roman" w:hAnsi="Times New Roman" w:eastAsia="宋体" w:cs="Times New Roman"/>
                <w:color w:val="auto"/>
                <w:sz w:val="24"/>
                <w:szCs w:val="24"/>
                <w:highlight w:val="none"/>
                <w:vertAlign w:val="superscript"/>
                <w:lang w:val="en-US" w:eastAsia="zh-CN"/>
              </w:rPr>
              <w:t>*</w:t>
            </w:r>
          </w:p>
        </w:tc>
      </w:tr>
    </w:tbl>
    <w:p>
      <w:pPr>
        <w:spacing w:line="480" w:lineRule="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Abbreviations: ICU, intensive care unit; GV, glycemic variability; SHR, stress hyperglycemia ratio.</w:t>
      </w:r>
    </w:p>
    <w:p>
      <w:pPr>
        <w:spacing w:line="480" w:lineRule="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vertAlign w:val="superscript"/>
          <w:lang w:val="en-US" w:eastAsia="zh-CN"/>
        </w:rPr>
        <w:t>a</w:t>
      </w:r>
      <w:r>
        <w:rPr>
          <w:rFonts w:hint="eastAsia" w:ascii="Times New Roman" w:hAnsi="Times New Roman" w:cs="Times New Roman"/>
          <w:b w:val="0"/>
          <w:bCs w:val="0"/>
          <w:color w:val="auto"/>
          <w:sz w:val="24"/>
          <w:szCs w:val="24"/>
          <w:lang w:val="en-US" w:eastAsia="zh-CN"/>
        </w:rPr>
        <w:t>The assumption of proportional hazards was not met. Therefore, HRs were calculated using Cox regression analysis with time-dependent covariates.</w:t>
      </w:r>
    </w:p>
    <w:p>
      <w:pPr>
        <w:spacing w:line="480" w:lineRule="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Model 1: </w:t>
      </w:r>
      <w:r>
        <w:rPr>
          <w:rFonts w:hint="default"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rPr>
        <w:t>djust</w:t>
      </w:r>
      <w:r>
        <w:rPr>
          <w:rFonts w:hint="default" w:ascii="Times New Roman" w:hAnsi="Times New Roman" w:cs="Times New Roman"/>
          <w:color w:val="auto"/>
          <w:sz w:val="24"/>
          <w:szCs w:val="24"/>
          <w:lang w:val="en-US" w:eastAsia="zh-CN"/>
        </w:rPr>
        <w:t xml:space="preserve">ed </w:t>
      </w:r>
      <w:r>
        <w:rPr>
          <w:rFonts w:hint="default" w:ascii="Times New Roman" w:hAnsi="Times New Roman" w:cs="Times New Roman"/>
          <w:color w:val="auto"/>
          <w:sz w:val="24"/>
          <w:szCs w:val="24"/>
        </w:rPr>
        <w:t xml:space="preserve">for </w:t>
      </w:r>
      <w:r>
        <w:rPr>
          <w:rFonts w:hint="default" w:ascii="Times New Roman" w:hAnsi="Times New Roman" w:cs="Times New Roman"/>
          <w:color w:val="auto"/>
          <w:sz w:val="24"/>
          <w:szCs w:val="24"/>
          <w:lang w:val="en-US" w:eastAsia="zh-CN"/>
        </w:rPr>
        <w:t>age, female, and body mass index.</w:t>
      </w:r>
    </w:p>
    <w:p>
      <w:pPr>
        <w:spacing w:line="480" w:lineRule="auto"/>
        <w:jc w:val="both"/>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Model 2: adjusted for Model 1 plus </w:t>
      </w:r>
      <w:r>
        <w:rPr>
          <w:rFonts w:hint="default" w:ascii="Times New Roman" w:hAnsi="Times New Roman" w:cs="Times New Roman"/>
          <w:color w:val="auto"/>
          <w:sz w:val="24"/>
          <w:szCs w:val="24"/>
          <w:lang w:val="en-US" w:eastAsia="zh-CN"/>
        </w:rPr>
        <w:t xml:space="preserve">acute myocardial infarction, chronic heart failure, cerebrovascular disease, angiotensin-converting enzyme inhibitors/angiotensin receptor blockers, vasoactive drugs, insulin, </w:t>
      </w:r>
      <w:r>
        <w:rPr>
          <w:rFonts w:hint="eastAsia" w:ascii="Times New Roman" w:hAnsi="Times New Roman" w:cs="Times New Roman"/>
          <w:color w:val="auto"/>
          <w:sz w:val="24"/>
          <w:szCs w:val="24"/>
          <w:lang w:val="en-US" w:eastAsia="zh-CN"/>
        </w:rPr>
        <w:t xml:space="preserve">other </w:t>
      </w:r>
      <w:r>
        <w:rPr>
          <w:rFonts w:hint="default" w:ascii="Times New Roman" w:hAnsi="Times New Roman" w:cs="Times New Roman"/>
          <w:color w:val="auto"/>
          <w:sz w:val="24"/>
          <w:szCs w:val="24"/>
          <w:lang w:val="en-US" w:eastAsia="zh-CN"/>
        </w:rPr>
        <w:t xml:space="preserve">antidiabetic drugs, renal replacement therapy, ventilation, and </w:t>
      </w:r>
      <w:r>
        <w:rPr>
          <w:rFonts w:hint="default" w:ascii="Times New Roman" w:hAnsi="Times New Roman" w:cs="Times New Roman"/>
          <w:color w:val="auto"/>
          <w:sz w:val="24"/>
          <w:szCs w:val="24"/>
          <w:lang w:val="en-US"/>
        </w:rPr>
        <w:t>estimated glomerular filtration rate</w:t>
      </w:r>
      <w:r>
        <w:rPr>
          <w:rFonts w:hint="default" w:ascii="Times New Roman" w:hAnsi="Times New Roman" w:cs="Times New Roman"/>
          <w:color w:val="auto"/>
          <w:sz w:val="24"/>
          <w:szCs w:val="24"/>
          <w:lang w:val="en-US" w:eastAsia="zh-CN"/>
        </w:rPr>
        <w:t>.</w:t>
      </w:r>
    </w:p>
    <w:p>
      <w:pPr>
        <w:spacing w:line="480" w:lineRule="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Model 3: </w:t>
      </w:r>
      <w:r>
        <w:rPr>
          <w:rFonts w:hint="default"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rPr>
        <w:t>djust</w:t>
      </w:r>
      <w:r>
        <w:rPr>
          <w:rFonts w:hint="default" w:ascii="Times New Roman" w:hAnsi="Times New Roman" w:cs="Times New Roman"/>
          <w:color w:val="auto"/>
          <w:sz w:val="24"/>
          <w:szCs w:val="24"/>
          <w:lang w:val="en-US" w:eastAsia="zh-CN"/>
        </w:rPr>
        <w:t xml:space="preserve">ed </w:t>
      </w:r>
      <w:r>
        <w:rPr>
          <w:rFonts w:hint="default" w:ascii="Times New Roman" w:hAnsi="Times New Roman" w:cs="Times New Roman"/>
          <w:color w:val="auto"/>
          <w:sz w:val="24"/>
          <w:szCs w:val="24"/>
        </w:rPr>
        <w:t xml:space="preserve">for </w:t>
      </w:r>
      <w:r>
        <w:rPr>
          <w:rFonts w:hint="default" w:ascii="Times New Roman" w:hAnsi="Times New Roman" w:cs="Times New Roman"/>
          <w:color w:val="auto"/>
          <w:sz w:val="24"/>
          <w:szCs w:val="24"/>
          <w:lang w:val="en-US" w:eastAsia="zh-CN"/>
        </w:rPr>
        <w:t xml:space="preserve">Model 1 plus acute myocardial infarction, chronic heart failure, cerebrovascular disease, insulin, </w:t>
      </w:r>
      <w:r>
        <w:rPr>
          <w:rFonts w:hint="eastAsia" w:ascii="Times New Roman" w:hAnsi="Times New Roman" w:cs="Times New Roman"/>
          <w:color w:val="auto"/>
          <w:sz w:val="24"/>
          <w:szCs w:val="24"/>
          <w:lang w:val="en-US" w:eastAsia="zh-CN"/>
        </w:rPr>
        <w:t xml:space="preserve">other </w:t>
      </w:r>
      <w:r>
        <w:rPr>
          <w:rFonts w:hint="default" w:ascii="Times New Roman" w:hAnsi="Times New Roman" w:cs="Times New Roman"/>
          <w:color w:val="auto"/>
          <w:sz w:val="24"/>
          <w:szCs w:val="24"/>
          <w:lang w:val="en-US" w:eastAsia="zh-CN"/>
        </w:rPr>
        <w:t xml:space="preserve">antidiabetic drugs, renal replacement therapy, and </w:t>
      </w:r>
      <w:r>
        <w:rPr>
          <w:rFonts w:hint="default" w:ascii="Times New Roman" w:hAnsi="Times New Roman" w:cs="Times New Roman"/>
          <w:color w:val="auto"/>
          <w:sz w:val="24"/>
          <w:szCs w:val="24"/>
          <w:lang w:val="en-US"/>
        </w:rPr>
        <w:t>estimated glomerular filtration rate</w:t>
      </w:r>
      <w:r>
        <w:rPr>
          <w:rFonts w:hint="default" w:ascii="Times New Roman" w:hAnsi="Times New Roman"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lang w:val="en-US" w:eastAsia="zh-CN"/>
        </w:rPr>
        <w:t xml:space="preserve">P&lt;0.05, </w:t>
      </w:r>
      <w:r>
        <w:rPr>
          <w:rFonts w:hint="default" w:ascii="Times New Roman" w:hAnsi="Times New Roman" w:eastAsia="宋体"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lang w:val="en-US" w:eastAsia="zh-CN"/>
        </w:rPr>
        <w:t xml:space="preserve">P&lt;0.01, </w:t>
      </w:r>
      <w:r>
        <w:rPr>
          <w:rFonts w:hint="default" w:ascii="Times New Roman" w:hAnsi="Times New Roman" w:eastAsia="宋体"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lang w:val="en-US" w:eastAsia="zh-CN"/>
        </w:rPr>
        <w:t>P&lt;0.001.</w:t>
      </w:r>
    </w:p>
    <w:bookmarkEnd w:id="0"/>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NzMwNTE0MmE0OWY1MmE2MmFlNDcyNmI5ZDJlMDAifQ=="/>
    <w:docVar w:name="KY_MEDREF_DOCUID" w:val="{D96CE6D9-3B34-4E57-A7EC-DD79F8B62893}"/>
    <w:docVar w:name="KY_MEDREF_VERSION" w:val="3"/>
  </w:docVars>
  <w:rsids>
    <w:rsidRoot w:val="00172A27"/>
    <w:rsid w:val="00044EF2"/>
    <w:rsid w:val="001F7F7E"/>
    <w:rsid w:val="00867C9C"/>
    <w:rsid w:val="009D0EA3"/>
    <w:rsid w:val="00BC7757"/>
    <w:rsid w:val="00BF0E19"/>
    <w:rsid w:val="00E060AA"/>
    <w:rsid w:val="00FB4547"/>
    <w:rsid w:val="0127533C"/>
    <w:rsid w:val="0132783D"/>
    <w:rsid w:val="01634E2E"/>
    <w:rsid w:val="016519C1"/>
    <w:rsid w:val="019F636B"/>
    <w:rsid w:val="01A050EF"/>
    <w:rsid w:val="01A7022B"/>
    <w:rsid w:val="01CF1530"/>
    <w:rsid w:val="021F2A51"/>
    <w:rsid w:val="02A1111E"/>
    <w:rsid w:val="02B53517"/>
    <w:rsid w:val="02F520D1"/>
    <w:rsid w:val="03250913"/>
    <w:rsid w:val="03470C5D"/>
    <w:rsid w:val="03791753"/>
    <w:rsid w:val="037936EC"/>
    <w:rsid w:val="038325D2"/>
    <w:rsid w:val="039E11BA"/>
    <w:rsid w:val="03A75EC1"/>
    <w:rsid w:val="03C63AB9"/>
    <w:rsid w:val="04043713"/>
    <w:rsid w:val="0406304E"/>
    <w:rsid w:val="04190023"/>
    <w:rsid w:val="0473605D"/>
    <w:rsid w:val="04930DA5"/>
    <w:rsid w:val="04AF4B6F"/>
    <w:rsid w:val="04C256F2"/>
    <w:rsid w:val="04C86939"/>
    <w:rsid w:val="04CD61FB"/>
    <w:rsid w:val="05105DDD"/>
    <w:rsid w:val="05364797"/>
    <w:rsid w:val="05445D91"/>
    <w:rsid w:val="05467D5B"/>
    <w:rsid w:val="05A30D0A"/>
    <w:rsid w:val="05D11D1B"/>
    <w:rsid w:val="05D84E57"/>
    <w:rsid w:val="05E0020A"/>
    <w:rsid w:val="05E76E48"/>
    <w:rsid w:val="05F41565"/>
    <w:rsid w:val="05F72E03"/>
    <w:rsid w:val="06043E9E"/>
    <w:rsid w:val="061E65E2"/>
    <w:rsid w:val="06475B39"/>
    <w:rsid w:val="068B1EC9"/>
    <w:rsid w:val="06B56F46"/>
    <w:rsid w:val="06C4362D"/>
    <w:rsid w:val="06D33870"/>
    <w:rsid w:val="07035F04"/>
    <w:rsid w:val="070F6488"/>
    <w:rsid w:val="072E57F1"/>
    <w:rsid w:val="074A1D85"/>
    <w:rsid w:val="07854B6B"/>
    <w:rsid w:val="07881F56"/>
    <w:rsid w:val="07F029B7"/>
    <w:rsid w:val="08031F33"/>
    <w:rsid w:val="084E5DED"/>
    <w:rsid w:val="08E13C0F"/>
    <w:rsid w:val="092A5C83"/>
    <w:rsid w:val="09572537"/>
    <w:rsid w:val="09CB082F"/>
    <w:rsid w:val="0A0C3321"/>
    <w:rsid w:val="0A1413F7"/>
    <w:rsid w:val="0A1B5312"/>
    <w:rsid w:val="0A2979F9"/>
    <w:rsid w:val="0A786C09"/>
    <w:rsid w:val="0A951569"/>
    <w:rsid w:val="0A9B28F7"/>
    <w:rsid w:val="0A9D041D"/>
    <w:rsid w:val="0AA3007B"/>
    <w:rsid w:val="0AAA48E8"/>
    <w:rsid w:val="0AD342F0"/>
    <w:rsid w:val="0AF65D7F"/>
    <w:rsid w:val="0AF77CE2"/>
    <w:rsid w:val="0B5166AE"/>
    <w:rsid w:val="0B584344"/>
    <w:rsid w:val="0BD15D49"/>
    <w:rsid w:val="0C304FE4"/>
    <w:rsid w:val="0C537E95"/>
    <w:rsid w:val="0C656D19"/>
    <w:rsid w:val="0CA06999"/>
    <w:rsid w:val="0CAF1A02"/>
    <w:rsid w:val="0CB26E48"/>
    <w:rsid w:val="0CFE2CC9"/>
    <w:rsid w:val="0D044784"/>
    <w:rsid w:val="0DB31D06"/>
    <w:rsid w:val="0DC814D4"/>
    <w:rsid w:val="0DEE39B4"/>
    <w:rsid w:val="0E10604C"/>
    <w:rsid w:val="0E194D6D"/>
    <w:rsid w:val="0E6D0107"/>
    <w:rsid w:val="0E7E2314"/>
    <w:rsid w:val="0EB126E9"/>
    <w:rsid w:val="0F2F4DC0"/>
    <w:rsid w:val="0F5D63CD"/>
    <w:rsid w:val="0F615EBD"/>
    <w:rsid w:val="0F76748F"/>
    <w:rsid w:val="0F85062C"/>
    <w:rsid w:val="0F8C7069"/>
    <w:rsid w:val="0FA80F53"/>
    <w:rsid w:val="0FD52407"/>
    <w:rsid w:val="0FD74DED"/>
    <w:rsid w:val="102351BA"/>
    <w:rsid w:val="102B21FA"/>
    <w:rsid w:val="10515BB4"/>
    <w:rsid w:val="1092654A"/>
    <w:rsid w:val="10C61D50"/>
    <w:rsid w:val="10D7072D"/>
    <w:rsid w:val="10E232A0"/>
    <w:rsid w:val="110A553C"/>
    <w:rsid w:val="113028E2"/>
    <w:rsid w:val="11515ABE"/>
    <w:rsid w:val="115C10B1"/>
    <w:rsid w:val="11692E07"/>
    <w:rsid w:val="11936342"/>
    <w:rsid w:val="11D02E86"/>
    <w:rsid w:val="121C60CC"/>
    <w:rsid w:val="123C051C"/>
    <w:rsid w:val="12A6008B"/>
    <w:rsid w:val="131B2827"/>
    <w:rsid w:val="13266764"/>
    <w:rsid w:val="13372814"/>
    <w:rsid w:val="133D1166"/>
    <w:rsid w:val="13451652"/>
    <w:rsid w:val="13651010"/>
    <w:rsid w:val="13AE5449"/>
    <w:rsid w:val="13BE4ED6"/>
    <w:rsid w:val="13F516F2"/>
    <w:rsid w:val="13FD3CDB"/>
    <w:rsid w:val="14B73491"/>
    <w:rsid w:val="15000D6C"/>
    <w:rsid w:val="156A6FD9"/>
    <w:rsid w:val="15B55C69"/>
    <w:rsid w:val="15D168FF"/>
    <w:rsid w:val="15D849FF"/>
    <w:rsid w:val="15E83826"/>
    <w:rsid w:val="15ED7568"/>
    <w:rsid w:val="15FC644E"/>
    <w:rsid w:val="160A6A90"/>
    <w:rsid w:val="16105F47"/>
    <w:rsid w:val="165D20B6"/>
    <w:rsid w:val="16933115"/>
    <w:rsid w:val="16BE3BF5"/>
    <w:rsid w:val="16C45831"/>
    <w:rsid w:val="16D47753"/>
    <w:rsid w:val="16E648E1"/>
    <w:rsid w:val="16ED0036"/>
    <w:rsid w:val="172F68A1"/>
    <w:rsid w:val="173B5495"/>
    <w:rsid w:val="17667DE9"/>
    <w:rsid w:val="176F3141"/>
    <w:rsid w:val="17BC4FF1"/>
    <w:rsid w:val="18471783"/>
    <w:rsid w:val="1867206B"/>
    <w:rsid w:val="18876269"/>
    <w:rsid w:val="188B3FAB"/>
    <w:rsid w:val="188C4DE8"/>
    <w:rsid w:val="18A40BC9"/>
    <w:rsid w:val="18DF1F83"/>
    <w:rsid w:val="193463F1"/>
    <w:rsid w:val="1935655D"/>
    <w:rsid w:val="19486114"/>
    <w:rsid w:val="198A015E"/>
    <w:rsid w:val="198A46D6"/>
    <w:rsid w:val="1A4245C3"/>
    <w:rsid w:val="1A534654"/>
    <w:rsid w:val="1A5A4033"/>
    <w:rsid w:val="1A8E1B30"/>
    <w:rsid w:val="1A9C023A"/>
    <w:rsid w:val="1B083691"/>
    <w:rsid w:val="1B3E5305"/>
    <w:rsid w:val="1B544B28"/>
    <w:rsid w:val="1B612DA1"/>
    <w:rsid w:val="1B8B470D"/>
    <w:rsid w:val="1B9832CE"/>
    <w:rsid w:val="1BE835D7"/>
    <w:rsid w:val="1C0628B7"/>
    <w:rsid w:val="1C277718"/>
    <w:rsid w:val="1C3F55D8"/>
    <w:rsid w:val="1C5E5533"/>
    <w:rsid w:val="1CB810E7"/>
    <w:rsid w:val="1CC014D3"/>
    <w:rsid w:val="1CF35986"/>
    <w:rsid w:val="1D061E52"/>
    <w:rsid w:val="1D2337C2"/>
    <w:rsid w:val="1D525097"/>
    <w:rsid w:val="1D5C5F16"/>
    <w:rsid w:val="1D6A20D8"/>
    <w:rsid w:val="1D7141FA"/>
    <w:rsid w:val="1DF3687A"/>
    <w:rsid w:val="1E0B5246"/>
    <w:rsid w:val="1E1815CC"/>
    <w:rsid w:val="1E1C4EBD"/>
    <w:rsid w:val="1E206F43"/>
    <w:rsid w:val="1E326EDA"/>
    <w:rsid w:val="1E407150"/>
    <w:rsid w:val="1E4744D0"/>
    <w:rsid w:val="1E480248"/>
    <w:rsid w:val="1E5935A7"/>
    <w:rsid w:val="1E7D035A"/>
    <w:rsid w:val="1EA9518B"/>
    <w:rsid w:val="1EF87946"/>
    <w:rsid w:val="1FA66E63"/>
    <w:rsid w:val="1FB2006F"/>
    <w:rsid w:val="1FD224BF"/>
    <w:rsid w:val="200C1F5C"/>
    <w:rsid w:val="202B1BD0"/>
    <w:rsid w:val="204A2F8F"/>
    <w:rsid w:val="20511636"/>
    <w:rsid w:val="20A071B5"/>
    <w:rsid w:val="20BC37C8"/>
    <w:rsid w:val="210C1A01"/>
    <w:rsid w:val="21134B3E"/>
    <w:rsid w:val="2188552B"/>
    <w:rsid w:val="22097CEF"/>
    <w:rsid w:val="224512EB"/>
    <w:rsid w:val="22EC1AEA"/>
    <w:rsid w:val="22F02729"/>
    <w:rsid w:val="23660FB8"/>
    <w:rsid w:val="23841D23"/>
    <w:rsid w:val="23A91789"/>
    <w:rsid w:val="23D305B4"/>
    <w:rsid w:val="23FD11A2"/>
    <w:rsid w:val="243B4AD7"/>
    <w:rsid w:val="246A055E"/>
    <w:rsid w:val="24A00DDE"/>
    <w:rsid w:val="24C50845"/>
    <w:rsid w:val="24C9636D"/>
    <w:rsid w:val="253D487F"/>
    <w:rsid w:val="25457290"/>
    <w:rsid w:val="257162C9"/>
    <w:rsid w:val="2599737A"/>
    <w:rsid w:val="25ED4D74"/>
    <w:rsid w:val="2605484F"/>
    <w:rsid w:val="264D0A3B"/>
    <w:rsid w:val="266B541C"/>
    <w:rsid w:val="26C568DA"/>
    <w:rsid w:val="26FE6031"/>
    <w:rsid w:val="270A69E3"/>
    <w:rsid w:val="272B4CCF"/>
    <w:rsid w:val="275F53B8"/>
    <w:rsid w:val="27965DF0"/>
    <w:rsid w:val="27D52B4D"/>
    <w:rsid w:val="2806491B"/>
    <w:rsid w:val="28131C63"/>
    <w:rsid w:val="28180C8B"/>
    <w:rsid w:val="2841452C"/>
    <w:rsid w:val="284F6DA3"/>
    <w:rsid w:val="285A74F6"/>
    <w:rsid w:val="2895052E"/>
    <w:rsid w:val="28F03B0B"/>
    <w:rsid w:val="28FB4D41"/>
    <w:rsid w:val="29114058"/>
    <w:rsid w:val="29494DB0"/>
    <w:rsid w:val="29514455"/>
    <w:rsid w:val="29565D6E"/>
    <w:rsid w:val="29671ECA"/>
    <w:rsid w:val="29724362"/>
    <w:rsid w:val="29964626"/>
    <w:rsid w:val="299746F7"/>
    <w:rsid w:val="29A547A1"/>
    <w:rsid w:val="29AC3D81"/>
    <w:rsid w:val="29F179E6"/>
    <w:rsid w:val="2A1B05EA"/>
    <w:rsid w:val="2A481CFC"/>
    <w:rsid w:val="2A781EB5"/>
    <w:rsid w:val="2A8D00D2"/>
    <w:rsid w:val="2A9C3B72"/>
    <w:rsid w:val="2AC82E3D"/>
    <w:rsid w:val="2AC83AC9"/>
    <w:rsid w:val="2AD76BDC"/>
    <w:rsid w:val="2AFE7800"/>
    <w:rsid w:val="2B136D58"/>
    <w:rsid w:val="2B367DA6"/>
    <w:rsid w:val="2B3A3CA1"/>
    <w:rsid w:val="2B6F5066"/>
    <w:rsid w:val="2B967B5D"/>
    <w:rsid w:val="2B9E76FA"/>
    <w:rsid w:val="2BAC62BA"/>
    <w:rsid w:val="2C4F7710"/>
    <w:rsid w:val="2C6C0A7C"/>
    <w:rsid w:val="2C6D55CB"/>
    <w:rsid w:val="2CEB2E12"/>
    <w:rsid w:val="2D636E4D"/>
    <w:rsid w:val="2D847B6B"/>
    <w:rsid w:val="2DAF2092"/>
    <w:rsid w:val="2DB66F7C"/>
    <w:rsid w:val="2DC0703A"/>
    <w:rsid w:val="2E204D3E"/>
    <w:rsid w:val="2E3D237C"/>
    <w:rsid w:val="2E5E3BC7"/>
    <w:rsid w:val="2E7330BF"/>
    <w:rsid w:val="2E933762"/>
    <w:rsid w:val="2EED59DA"/>
    <w:rsid w:val="2F30614E"/>
    <w:rsid w:val="2F540DBC"/>
    <w:rsid w:val="2FA86D99"/>
    <w:rsid w:val="2FFE5A1F"/>
    <w:rsid w:val="30070386"/>
    <w:rsid w:val="302C3AD1"/>
    <w:rsid w:val="307F118A"/>
    <w:rsid w:val="308B46F0"/>
    <w:rsid w:val="30AE6D62"/>
    <w:rsid w:val="30B139AA"/>
    <w:rsid w:val="311B7D98"/>
    <w:rsid w:val="312863E3"/>
    <w:rsid w:val="3135465C"/>
    <w:rsid w:val="31501496"/>
    <w:rsid w:val="317A6513"/>
    <w:rsid w:val="31905300"/>
    <w:rsid w:val="319C5BD1"/>
    <w:rsid w:val="31D326E5"/>
    <w:rsid w:val="327775A4"/>
    <w:rsid w:val="32874C13"/>
    <w:rsid w:val="32DD31FD"/>
    <w:rsid w:val="32E0684A"/>
    <w:rsid w:val="32FB467E"/>
    <w:rsid w:val="33326DFE"/>
    <w:rsid w:val="335D7E9A"/>
    <w:rsid w:val="337C2823"/>
    <w:rsid w:val="338F274A"/>
    <w:rsid w:val="339A2A02"/>
    <w:rsid w:val="3417273F"/>
    <w:rsid w:val="34367069"/>
    <w:rsid w:val="343A7E80"/>
    <w:rsid w:val="34476AE3"/>
    <w:rsid w:val="346E5939"/>
    <w:rsid w:val="34727975"/>
    <w:rsid w:val="34B166F0"/>
    <w:rsid w:val="34B344EA"/>
    <w:rsid w:val="34C245A2"/>
    <w:rsid w:val="34D04DC8"/>
    <w:rsid w:val="35175EB0"/>
    <w:rsid w:val="35337105"/>
    <w:rsid w:val="356B6C9A"/>
    <w:rsid w:val="35995577"/>
    <w:rsid w:val="35A31719"/>
    <w:rsid w:val="35D5640E"/>
    <w:rsid w:val="35D703D8"/>
    <w:rsid w:val="35F31BF0"/>
    <w:rsid w:val="36603F29"/>
    <w:rsid w:val="36AA529F"/>
    <w:rsid w:val="36AB4187"/>
    <w:rsid w:val="36F154C9"/>
    <w:rsid w:val="36F6488E"/>
    <w:rsid w:val="3700231B"/>
    <w:rsid w:val="37027535"/>
    <w:rsid w:val="371527B2"/>
    <w:rsid w:val="371A5359"/>
    <w:rsid w:val="375D490D"/>
    <w:rsid w:val="37B14FD7"/>
    <w:rsid w:val="37F92688"/>
    <w:rsid w:val="38575800"/>
    <w:rsid w:val="38776533"/>
    <w:rsid w:val="38CA7D80"/>
    <w:rsid w:val="38EF77E6"/>
    <w:rsid w:val="3902751A"/>
    <w:rsid w:val="39394F28"/>
    <w:rsid w:val="39720820"/>
    <w:rsid w:val="3A073C4A"/>
    <w:rsid w:val="3A0A0F91"/>
    <w:rsid w:val="3AD13648"/>
    <w:rsid w:val="3B3360B0"/>
    <w:rsid w:val="3B5E4783"/>
    <w:rsid w:val="3B633EE6"/>
    <w:rsid w:val="3B64626A"/>
    <w:rsid w:val="3B822B94"/>
    <w:rsid w:val="3BB31D50"/>
    <w:rsid w:val="3BDF7FE6"/>
    <w:rsid w:val="3BE92C13"/>
    <w:rsid w:val="3C187054"/>
    <w:rsid w:val="3C371BD0"/>
    <w:rsid w:val="3C516E85"/>
    <w:rsid w:val="3C526A0A"/>
    <w:rsid w:val="3C7E0650"/>
    <w:rsid w:val="3C97441D"/>
    <w:rsid w:val="3CDD08B0"/>
    <w:rsid w:val="3CEE35B6"/>
    <w:rsid w:val="3D3103CE"/>
    <w:rsid w:val="3D361E88"/>
    <w:rsid w:val="3D8B5F3C"/>
    <w:rsid w:val="3DB4423A"/>
    <w:rsid w:val="3E3A2FBD"/>
    <w:rsid w:val="3E5C147A"/>
    <w:rsid w:val="3EB57F8E"/>
    <w:rsid w:val="3EE62FF1"/>
    <w:rsid w:val="3EEE5831"/>
    <w:rsid w:val="3F1C5248"/>
    <w:rsid w:val="3F7F6AE6"/>
    <w:rsid w:val="3FB35A12"/>
    <w:rsid w:val="3FDA1A36"/>
    <w:rsid w:val="3FDB0AC5"/>
    <w:rsid w:val="3FDD2A8F"/>
    <w:rsid w:val="400B526A"/>
    <w:rsid w:val="4015736B"/>
    <w:rsid w:val="40416B7A"/>
    <w:rsid w:val="40CA2998"/>
    <w:rsid w:val="40F7192E"/>
    <w:rsid w:val="41582231"/>
    <w:rsid w:val="416C126A"/>
    <w:rsid w:val="417A1D74"/>
    <w:rsid w:val="41B82E6B"/>
    <w:rsid w:val="41E7318A"/>
    <w:rsid w:val="41E864D0"/>
    <w:rsid w:val="4218760A"/>
    <w:rsid w:val="421F2EEA"/>
    <w:rsid w:val="423C752D"/>
    <w:rsid w:val="427C658F"/>
    <w:rsid w:val="42D737C5"/>
    <w:rsid w:val="42F500EF"/>
    <w:rsid w:val="437473DB"/>
    <w:rsid w:val="43853221"/>
    <w:rsid w:val="43B023CB"/>
    <w:rsid w:val="43B24586"/>
    <w:rsid w:val="44472BCC"/>
    <w:rsid w:val="445E4335"/>
    <w:rsid w:val="446612A5"/>
    <w:rsid w:val="4485051C"/>
    <w:rsid w:val="448D4A83"/>
    <w:rsid w:val="44AB4702"/>
    <w:rsid w:val="45230F44"/>
    <w:rsid w:val="45280308"/>
    <w:rsid w:val="45D466E2"/>
    <w:rsid w:val="45F2612A"/>
    <w:rsid w:val="462A540E"/>
    <w:rsid w:val="46546F3A"/>
    <w:rsid w:val="465B64BB"/>
    <w:rsid w:val="466D1222"/>
    <w:rsid w:val="46992A6B"/>
    <w:rsid w:val="46A165C4"/>
    <w:rsid w:val="4734568A"/>
    <w:rsid w:val="47A0687C"/>
    <w:rsid w:val="4812704D"/>
    <w:rsid w:val="482079BC"/>
    <w:rsid w:val="48401E0D"/>
    <w:rsid w:val="48573FB3"/>
    <w:rsid w:val="486637E6"/>
    <w:rsid w:val="48934475"/>
    <w:rsid w:val="48E629B4"/>
    <w:rsid w:val="49000143"/>
    <w:rsid w:val="49663AF5"/>
    <w:rsid w:val="497847C6"/>
    <w:rsid w:val="497D1516"/>
    <w:rsid w:val="49877552"/>
    <w:rsid w:val="49DB1FF0"/>
    <w:rsid w:val="49E44725"/>
    <w:rsid w:val="4A065C48"/>
    <w:rsid w:val="4A1C3426"/>
    <w:rsid w:val="4A475610"/>
    <w:rsid w:val="4A7162AD"/>
    <w:rsid w:val="4A8F3747"/>
    <w:rsid w:val="4A8F6276"/>
    <w:rsid w:val="4AC76815"/>
    <w:rsid w:val="4B3A6FE7"/>
    <w:rsid w:val="4B58472F"/>
    <w:rsid w:val="4B700C5B"/>
    <w:rsid w:val="4C3C21A3"/>
    <w:rsid w:val="4C5D5B32"/>
    <w:rsid w:val="4CC529EA"/>
    <w:rsid w:val="4D1B0752"/>
    <w:rsid w:val="4D73058E"/>
    <w:rsid w:val="4D7E765F"/>
    <w:rsid w:val="4DA67EC1"/>
    <w:rsid w:val="4DEE338F"/>
    <w:rsid w:val="4E047438"/>
    <w:rsid w:val="4E475512"/>
    <w:rsid w:val="4E4D7031"/>
    <w:rsid w:val="4E7B7CDA"/>
    <w:rsid w:val="4EB105F6"/>
    <w:rsid w:val="4EC76DE4"/>
    <w:rsid w:val="4EE07EA5"/>
    <w:rsid w:val="4EF86F9D"/>
    <w:rsid w:val="4F936CC6"/>
    <w:rsid w:val="4FB22261"/>
    <w:rsid w:val="5028041A"/>
    <w:rsid w:val="507A6917"/>
    <w:rsid w:val="50CA6717"/>
    <w:rsid w:val="510B7F38"/>
    <w:rsid w:val="515B223B"/>
    <w:rsid w:val="51C71BE5"/>
    <w:rsid w:val="52021EE1"/>
    <w:rsid w:val="52231B60"/>
    <w:rsid w:val="522400A9"/>
    <w:rsid w:val="52642B9B"/>
    <w:rsid w:val="52DB2E5E"/>
    <w:rsid w:val="52F263F9"/>
    <w:rsid w:val="5302488E"/>
    <w:rsid w:val="537312E8"/>
    <w:rsid w:val="53B8319F"/>
    <w:rsid w:val="53BF452D"/>
    <w:rsid w:val="5415431E"/>
    <w:rsid w:val="5418600B"/>
    <w:rsid w:val="543755E9"/>
    <w:rsid w:val="545677A1"/>
    <w:rsid w:val="546E692E"/>
    <w:rsid w:val="547F1F0F"/>
    <w:rsid w:val="548F2152"/>
    <w:rsid w:val="54992FD0"/>
    <w:rsid w:val="54BA4CF5"/>
    <w:rsid w:val="5540344C"/>
    <w:rsid w:val="55BE396B"/>
    <w:rsid w:val="55E30486"/>
    <w:rsid w:val="56552F27"/>
    <w:rsid w:val="56CD51B3"/>
    <w:rsid w:val="56CF5619"/>
    <w:rsid w:val="57686347"/>
    <w:rsid w:val="57882E88"/>
    <w:rsid w:val="578B43AC"/>
    <w:rsid w:val="57C57C38"/>
    <w:rsid w:val="57FA3D86"/>
    <w:rsid w:val="581A4428"/>
    <w:rsid w:val="58262DCD"/>
    <w:rsid w:val="583D0117"/>
    <w:rsid w:val="585D282E"/>
    <w:rsid w:val="58681803"/>
    <w:rsid w:val="587873A1"/>
    <w:rsid w:val="58845D45"/>
    <w:rsid w:val="58A24F33"/>
    <w:rsid w:val="58B63BA2"/>
    <w:rsid w:val="592C34DC"/>
    <w:rsid w:val="59CC01AF"/>
    <w:rsid w:val="59E940B2"/>
    <w:rsid w:val="5A166E71"/>
    <w:rsid w:val="5A4B1F43"/>
    <w:rsid w:val="5A7A7400"/>
    <w:rsid w:val="5A815E0F"/>
    <w:rsid w:val="5A9B2ED2"/>
    <w:rsid w:val="5AA4447D"/>
    <w:rsid w:val="5AB97EAE"/>
    <w:rsid w:val="5AF52F61"/>
    <w:rsid w:val="5AFE3B8D"/>
    <w:rsid w:val="5B4B66A7"/>
    <w:rsid w:val="5BD7618C"/>
    <w:rsid w:val="5BF94355"/>
    <w:rsid w:val="5C4001D5"/>
    <w:rsid w:val="5C871960"/>
    <w:rsid w:val="5CA731F3"/>
    <w:rsid w:val="5D186A5C"/>
    <w:rsid w:val="5D245437"/>
    <w:rsid w:val="5D9A6865"/>
    <w:rsid w:val="5DA87DE0"/>
    <w:rsid w:val="5DB04EE7"/>
    <w:rsid w:val="5DC56BE4"/>
    <w:rsid w:val="5DCC020B"/>
    <w:rsid w:val="5DF2592B"/>
    <w:rsid w:val="5DFC3365"/>
    <w:rsid w:val="5E0967FA"/>
    <w:rsid w:val="5E0B6892"/>
    <w:rsid w:val="5E114B41"/>
    <w:rsid w:val="5E4A3198"/>
    <w:rsid w:val="5E6C3604"/>
    <w:rsid w:val="5E7A0D57"/>
    <w:rsid w:val="5ECC54B0"/>
    <w:rsid w:val="5ED115B9"/>
    <w:rsid w:val="5F4C16AB"/>
    <w:rsid w:val="5FBE351E"/>
    <w:rsid w:val="5FF2068A"/>
    <w:rsid w:val="60603F44"/>
    <w:rsid w:val="60917251"/>
    <w:rsid w:val="60947504"/>
    <w:rsid w:val="60DB1C99"/>
    <w:rsid w:val="60DF0F19"/>
    <w:rsid w:val="60DF20CB"/>
    <w:rsid w:val="60F15F42"/>
    <w:rsid w:val="61004E5C"/>
    <w:rsid w:val="6112752A"/>
    <w:rsid w:val="614975D9"/>
    <w:rsid w:val="614C34D0"/>
    <w:rsid w:val="61761FA3"/>
    <w:rsid w:val="61C03C03"/>
    <w:rsid w:val="62434B02"/>
    <w:rsid w:val="624C78D4"/>
    <w:rsid w:val="62546789"/>
    <w:rsid w:val="625C5463"/>
    <w:rsid w:val="62D578C9"/>
    <w:rsid w:val="62EA2C49"/>
    <w:rsid w:val="631F28F3"/>
    <w:rsid w:val="63320EB9"/>
    <w:rsid w:val="63586960"/>
    <w:rsid w:val="636E721D"/>
    <w:rsid w:val="63D3192F"/>
    <w:rsid w:val="63D74F7B"/>
    <w:rsid w:val="6404589F"/>
    <w:rsid w:val="640E2967"/>
    <w:rsid w:val="64400497"/>
    <w:rsid w:val="645A5BAC"/>
    <w:rsid w:val="645F0EE1"/>
    <w:rsid w:val="648D7D30"/>
    <w:rsid w:val="64A96E72"/>
    <w:rsid w:val="64BE25DF"/>
    <w:rsid w:val="64C34EAA"/>
    <w:rsid w:val="64DA50F8"/>
    <w:rsid w:val="651F553D"/>
    <w:rsid w:val="655774EE"/>
    <w:rsid w:val="65624D19"/>
    <w:rsid w:val="65A17F37"/>
    <w:rsid w:val="65A801B0"/>
    <w:rsid w:val="65C6799D"/>
    <w:rsid w:val="6656075B"/>
    <w:rsid w:val="66805D9E"/>
    <w:rsid w:val="66C813D3"/>
    <w:rsid w:val="66EC51E2"/>
    <w:rsid w:val="671F6AA4"/>
    <w:rsid w:val="67E67E83"/>
    <w:rsid w:val="68573DCC"/>
    <w:rsid w:val="68866F70"/>
    <w:rsid w:val="68DB3760"/>
    <w:rsid w:val="69344C1E"/>
    <w:rsid w:val="6954706E"/>
    <w:rsid w:val="695C3D4C"/>
    <w:rsid w:val="696324F7"/>
    <w:rsid w:val="697C2E5E"/>
    <w:rsid w:val="69B61E01"/>
    <w:rsid w:val="69C9180A"/>
    <w:rsid w:val="69D16911"/>
    <w:rsid w:val="69E46644"/>
    <w:rsid w:val="69F400B0"/>
    <w:rsid w:val="6A22716C"/>
    <w:rsid w:val="6A527A52"/>
    <w:rsid w:val="6A7875F5"/>
    <w:rsid w:val="6AD00976"/>
    <w:rsid w:val="6AD37D33"/>
    <w:rsid w:val="6AE61F48"/>
    <w:rsid w:val="6B655563"/>
    <w:rsid w:val="6C007039"/>
    <w:rsid w:val="6C1A04F7"/>
    <w:rsid w:val="6C4630EA"/>
    <w:rsid w:val="6C755C79"/>
    <w:rsid w:val="6C9F2CF6"/>
    <w:rsid w:val="6CC30793"/>
    <w:rsid w:val="6CDB520D"/>
    <w:rsid w:val="6CE150BD"/>
    <w:rsid w:val="6CEF77DA"/>
    <w:rsid w:val="6CF50EC1"/>
    <w:rsid w:val="6D443E85"/>
    <w:rsid w:val="6D560EAF"/>
    <w:rsid w:val="6D6A6E60"/>
    <w:rsid w:val="6D785A21"/>
    <w:rsid w:val="6D87687F"/>
    <w:rsid w:val="6DCC7B1B"/>
    <w:rsid w:val="6DDF3512"/>
    <w:rsid w:val="6DFF1C9E"/>
    <w:rsid w:val="6E0252EB"/>
    <w:rsid w:val="6EC06CF5"/>
    <w:rsid w:val="6ECD4877"/>
    <w:rsid w:val="6EE11697"/>
    <w:rsid w:val="6EE20EBC"/>
    <w:rsid w:val="6EEA6ECE"/>
    <w:rsid w:val="6F5A2F04"/>
    <w:rsid w:val="6F60676D"/>
    <w:rsid w:val="6F7915DC"/>
    <w:rsid w:val="6F997ED1"/>
    <w:rsid w:val="6FCB7D7F"/>
    <w:rsid w:val="6FD31B68"/>
    <w:rsid w:val="70366B8A"/>
    <w:rsid w:val="70545BA6"/>
    <w:rsid w:val="70733054"/>
    <w:rsid w:val="70781894"/>
    <w:rsid w:val="709661BE"/>
    <w:rsid w:val="70D96BE4"/>
    <w:rsid w:val="710B6BAC"/>
    <w:rsid w:val="714A390E"/>
    <w:rsid w:val="7169742F"/>
    <w:rsid w:val="7189187F"/>
    <w:rsid w:val="71C27838"/>
    <w:rsid w:val="7234129A"/>
    <w:rsid w:val="72797D01"/>
    <w:rsid w:val="72873EE5"/>
    <w:rsid w:val="729A51A4"/>
    <w:rsid w:val="73994ACC"/>
    <w:rsid w:val="73BC6B9B"/>
    <w:rsid w:val="73EF6311"/>
    <w:rsid w:val="74163E96"/>
    <w:rsid w:val="741C14A9"/>
    <w:rsid w:val="7435737E"/>
    <w:rsid w:val="7443040B"/>
    <w:rsid w:val="74681A65"/>
    <w:rsid w:val="74AF10D9"/>
    <w:rsid w:val="74E219D2"/>
    <w:rsid w:val="74EE65C9"/>
    <w:rsid w:val="7561323F"/>
    <w:rsid w:val="75954C96"/>
    <w:rsid w:val="75A26DD1"/>
    <w:rsid w:val="75A31161"/>
    <w:rsid w:val="75CF42AC"/>
    <w:rsid w:val="762B73A9"/>
    <w:rsid w:val="76447F78"/>
    <w:rsid w:val="766B3806"/>
    <w:rsid w:val="767B3E8C"/>
    <w:rsid w:val="77157E52"/>
    <w:rsid w:val="771E05C9"/>
    <w:rsid w:val="77356731"/>
    <w:rsid w:val="774415FC"/>
    <w:rsid w:val="77737259"/>
    <w:rsid w:val="77976AA4"/>
    <w:rsid w:val="779F004E"/>
    <w:rsid w:val="77A411C1"/>
    <w:rsid w:val="77C620FD"/>
    <w:rsid w:val="77CD6969"/>
    <w:rsid w:val="77F167F8"/>
    <w:rsid w:val="77F83C6D"/>
    <w:rsid w:val="788C0D77"/>
    <w:rsid w:val="78950FFF"/>
    <w:rsid w:val="78B33DB1"/>
    <w:rsid w:val="78C73DB8"/>
    <w:rsid w:val="78CB7984"/>
    <w:rsid w:val="78D14237"/>
    <w:rsid w:val="78D635FC"/>
    <w:rsid w:val="7927654D"/>
    <w:rsid w:val="792A5904"/>
    <w:rsid w:val="795A247F"/>
    <w:rsid w:val="7A140880"/>
    <w:rsid w:val="7A3507F6"/>
    <w:rsid w:val="7A3525A4"/>
    <w:rsid w:val="7A634A83"/>
    <w:rsid w:val="7AC47FDA"/>
    <w:rsid w:val="7AE00762"/>
    <w:rsid w:val="7AEB5B8D"/>
    <w:rsid w:val="7B00726C"/>
    <w:rsid w:val="7B454A69"/>
    <w:rsid w:val="7B694BFB"/>
    <w:rsid w:val="7B6E0463"/>
    <w:rsid w:val="7BBC1AD5"/>
    <w:rsid w:val="7BF66C24"/>
    <w:rsid w:val="7C01159E"/>
    <w:rsid w:val="7C2B1EB0"/>
    <w:rsid w:val="7C765821"/>
    <w:rsid w:val="7CB04D76"/>
    <w:rsid w:val="7D011163"/>
    <w:rsid w:val="7D207BED"/>
    <w:rsid w:val="7D3134F6"/>
    <w:rsid w:val="7D4A45B8"/>
    <w:rsid w:val="7D4C0330"/>
    <w:rsid w:val="7D962CFA"/>
    <w:rsid w:val="7DAA4A30"/>
    <w:rsid w:val="7DBF0A8C"/>
    <w:rsid w:val="7DC35C61"/>
    <w:rsid w:val="7E123B46"/>
    <w:rsid w:val="7E275317"/>
    <w:rsid w:val="7E4F4B5D"/>
    <w:rsid w:val="7E9401E1"/>
    <w:rsid w:val="7EE66563"/>
    <w:rsid w:val="7EF44487"/>
    <w:rsid w:val="7F517183"/>
    <w:rsid w:val="7F7D0C75"/>
    <w:rsid w:val="7F814A6A"/>
    <w:rsid w:val="7FAA484F"/>
    <w:rsid w:val="7FB4040F"/>
    <w:rsid w:val="7FD54378"/>
    <w:rsid w:val="7FE9630A"/>
    <w:rsid w:val="7FEC5D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iPriority="99" w:semiHidden="0" w:name="heading 1"/>
    <w:lsdException w:uiPriority="99" w:semiHidden="0" w:name="heading 2"/>
    <w:lsdException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2021-09-11T17:10:00Z</dcterms:created>
  <dc:creator>Haoming He</dc:creator>
  <cp:lastModifiedBy>烟消云散</cp:lastModifiedBy>
  <dcterms:modified xsi:type="dcterms:W3CDTF">2024-01-16T15:53:39Z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7D4F3570C4664CF1925A9F3BC7B1432C_13</vt:lpwstr>
  </property>
</Properties>
</file>