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2720" cy="3937000"/>
            <wp:effectExtent l="0" t="0" r="5080" b="0"/>
            <wp:docPr id="3" name="图片 3" descr="ROC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ROC_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8272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  <w:bookmarkStart w:id="0" w:name="OLE_LINK1"/>
      <w:r>
        <w:rPr>
          <w:rFonts w:hint="default" w:ascii="Times New Roman" w:hAnsi="Times New Roman" w:cs="Times New Roman"/>
          <w:b/>
          <w:bCs/>
          <w:sz w:val="21"/>
          <w:szCs w:val="21"/>
        </w:rPr>
        <w:t>Figure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1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bookmarkStart w:id="1" w:name="OLE_LINK4"/>
      <w:r>
        <w:rPr>
          <w:rFonts w:hint="default" w:ascii="Times New Roman" w:hAnsi="Times New Roman" w:cs="Times New Roman"/>
          <w:sz w:val="21"/>
          <w:szCs w:val="21"/>
        </w:rPr>
        <w:t>Receiver operating curve</w:t>
      </w:r>
      <w:bookmarkEnd w:id="1"/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for the use of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four insulin resistance indexes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in the detection of AF recurrence following ablation.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AUC, area under curve; METS-IR, metabolic score for insulin resistance; TyG, triglyceride and glucose; TyG-BMI, triglyceride glucose-body mass index; TG/HDL-C, triglyceride to high-density lipoprotein cholesterol </w:t>
      </w:r>
    </w:p>
    <w:bookmarkEnd w:id="0"/>
    <w:p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br w:type="page"/>
      </w:r>
    </w:p>
    <w:p>
      <w:pPr>
        <w:rPr>
          <w:rFonts w:hint="eastAsia" w:ascii="Times New Roman" w:hAnsi="Times New Roman" w:cs="Times New Roman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2336800</wp:posOffset>
            </wp:positionH>
            <wp:positionV relativeFrom="paragraph">
              <wp:posOffset>635</wp:posOffset>
            </wp:positionV>
            <wp:extent cx="3227070" cy="2432050"/>
            <wp:effectExtent l="0" t="0" r="0" b="0"/>
            <wp:wrapNone/>
            <wp:docPr id="5" name="图片 5" descr="BBBB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BBBBB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27070" cy="243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cs="Times New Roman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-546100</wp:posOffset>
            </wp:positionH>
            <wp:positionV relativeFrom="paragraph">
              <wp:posOffset>-3175</wp:posOffset>
            </wp:positionV>
            <wp:extent cx="3120390" cy="2437765"/>
            <wp:effectExtent l="0" t="0" r="0" b="0"/>
            <wp:wrapNone/>
            <wp:docPr id="6" name="图片 6" descr="AAAAA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AAAAAA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20390" cy="2437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ascii="Times New Roman" w:hAnsi="Times New Roman" w:cs="Times New Roman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cs="Times New Roman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2371090</wp:posOffset>
            </wp:positionH>
            <wp:positionV relativeFrom="paragraph">
              <wp:posOffset>138430</wp:posOffset>
            </wp:positionV>
            <wp:extent cx="3155950" cy="2470785"/>
            <wp:effectExtent l="0" t="0" r="0" b="0"/>
            <wp:wrapTopAndBottom/>
            <wp:docPr id="15" name="图片 15" descr="4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444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55950" cy="2470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cs="Times New Roman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142875</wp:posOffset>
            </wp:positionV>
            <wp:extent cx="3081655" cy="2444750"/>
            <wp:effectExtent l="0" t="0" r="0" b="0"/>
            <wp:wrapTopAndBottom/>
            <wp:docPr id="11" name="图片 11" descr="CCCCC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CCCCCC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81655" cy="2444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Fig.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cs="Times New Roman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bookmarkStart w:id="2" w:name="OLE_LINK24"/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Kaplan–</w:t>
      </w:r>
      <w:r>
        <w:rPr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M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eier estimated event rates of AF recurrence following ablation according to tertiles of insulin resistance indexes.</w:t>
      </w:r>
      <w:bookmarkEnd w:id="2"/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AF, atrial fibrillation; METS-IR, metabolic score for insulin resistance; TyG, </w:t>
      </w:r>
      <w:bookmarkStart w:id="3" w:name="OLE_LINK6"/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triglyceride and glucose</w:t>
      </w:r>
      <w:bookmarkEnd w:id="3"/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; TyG-BMI, triglyceride glucose-body mass index; TG/HDL-C, triglyceride to high-density lipoprotein cholestero</w:t>
      </w:r>
      <w:r>
        <w:rPr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eastAsiaTheme="minorEastAsia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  <w:bookmarkStart w:id="4" w:name="OLE_LINK2"/>
      <w:r>
        <w:rPr>
          <w:rFonts w:hint="eastAsia" w:ascii="Times New Roman" w:hAnsi="Times New Roman" w:eastAsiaTheme="minorEastAsia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2840355</wp:posOffset>
            </wp:positionH>
            <wp:positionV relativeFrom="paragraph">
              <wp:posOffset>2362200</wp:posOffset>
            </wp:positionV>
            <wp:extent cx="2812415" cy="2344420"/>
            <wp:effectExtent l="0" t="0" r="0" b="0"/>
            <wp:wrapNone/>
            <wp:docPr id="10" name="图片 10" descr="KM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KM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12415" cy="2344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Theme="minorEastAsia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2794635</wp:posOffset>
            </wp:positionH>
            <wp:positionV relativeFrom="paragraph">
              <wp:posOffset>66040</wp:posOffset>
            </wp:positionV>
            <wp:extent cx="2947035" cy="2433955"/>
            <wp:effectExtent l="0" t="0" r="0" b="0"/>
            <wp:wrapNone/>
            <wp:docPr id="8" name="图片 8" descr="KM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KM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47035" cy="2433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Theme="minorEastAsia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2337435</wp:posOffset>
            </wp:positionV>
            <wp:extent cx="2867025" cy="2399665"/>
            <wp:effectExtent l="0" t="0" r="0" b="0"/>
            <wp:wrapNone/>
            <wp:docPr id="12" name="图片 12" descr="KM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KM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399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Theme="minorEastAsia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815590" cy="2393950"/>
            <wp:effectExtent l="0" t="0" r="0" b="0"/>
            <wp:docPr id="9" name="图片 9" descr="KM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KM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15590" cy="239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eastAsiaTheme="minorEastAsia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eastAsiaTheme="minorEastAsia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bookmarkStart w:id="5" w:name="OLE_LINK11"/>
      <w:r>
        <w:rPr>
          <w:rFonts w:hint="default" w:ascii="Times New Roman" w:hAnsi="Times New Roman" w:cs="Times New Roman"/>
          <w:b/>
          <w:bCs/>
          <w:sz w:val="21"/>
          <w:szCs w:val="21"/>
        </w:rPr>
        <w:t>Figure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3</w:t>
      </w:r>
      <w:r>
        <w:rPr>
          <w:rFonts w:hint="eastAsia" w:ascii="Times New Roman" w:hAnsi="Times New Roman" w:eastAsiaTheme="minorEastAsia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 xml:space="preserve"> Kapla</w:t>
      </w:r>
      <w:r>
        <w:rPr>
          <w:rFonts w:hint="eastAsia" w:ascii="Times New Roman" w:hAnsi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Times New Roman" w:hAnsi="Times New Roman" w:eastAsiaTheme="minorEastAsia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 xml:space="preserve">Meier </w:t>
      </w:r>
      <w:r>
        <w:rPr>
          <w:rFonts w:hint="eastAsia" w:ascii="Times New Roman" w:hAnsi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e</w:t>
      </w:r>
      <w:r>
        <w:rPr>
          <w:rFonts w:hint="eastAsia" w:ascii="Times New Roman" w:hAnsi="Times New Roman" w:eastAsiaTheme="minorEastAsia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 xml:space="preserve">stimated </w:t>
      </w:r>
      <w:r>
        <w:rPr>
          <w:rFonts w:hint="eastAsia" w:ascii="Times New Roman" w:hAnsi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e</w:t>
      </w:r>
      <w:r>
        <w:rPr>
          <w:rFonts w:hint="eastAsia" w:ascii="Times New Roman" w:hAnsi="Times New Roman" w:eastAsiaTheme="minorEastAsia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 xml:space="preserve">vent </w:t>
      </w:r>
      <w:r>
        <w:rPr>
          <w:rFonts w:hint="eastAsia" w:ascii="Times New Roman" w:hAnsi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r</w:t>
      </w:r>
      <w:r>
        <w:rPr>
          <w:rFonts w:hint="eastAsia" w:ascii="Times New Roman" w:hAnsi="Times New Roman" w:eastAsiaTheme="minorEastAsia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 xml:space="preserve">ates of </w:t>
      </w:r>
      <w:r>
        <w:rPr>
          <w:rFonts w:hint="eastAsia" w:ascii="Times New Roman" w:hAnsi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AF recurrence</w:t>
      </w:r>
      <w:r>
        <w:rPr>
          <w:rFonts w:hint="eastAsia" w:ascii="Times New Roman" w:hAnsi="Times New Roman" w:eastAsiaTheme="minorEastAsia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following ablation</w:t>
      </w:r>
      <w:r>
        <w:rPr>
          <w:rFonts w:hint="eastAsia" w:ascii="Times New Roman" w:hAnsi="Times New Roman" w:eastAsiaTheme="minorEastAsia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 xml:space="preserve"> according to cut-off values of ROC curves for insulin resistance</w:t>
      </w:r>
      <w:r>
        <w:rPr>
          <w:rFonts w:hint="eastAsia" w:ascii="Times New Roman" w:hAnsi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indexes. METS-IR, metabolic score for insulin resistance; ROC, receiver operating curve; TyG, triglyceride and glucose; TyG-BMI, triglyceride glucose-body mass index; TG/HDL-C, triglyceride to high-density lipoprotein cholesterol </w:t>
      </w:r>
    </w:p>
    <w:bookmarkEnd w:id="4"/>
    <w:p>
      <w:pPr>
        <w:rPr>
          <w:rFonts w:hint="eastAsia" w:ascii="Times New Roman" w:hAnsi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br w:type="page"/>
      </w:r>
    </w:p>
    <w:p>
      <w:pPr>
        <w:rPr>
          <w:rFonts w:hint="default" w:ascii="Times New Roman" w:hAnsi="Times New Roman" w:cs="Times New Roman" w:eastAsiaTheme="minorEastAsia"/>
          <w:lang w:val="en-US" w:eastAsia="zh-CN"/>
        </w:rPr>
      </w:pPr>
      <w:bookmarkStart w:id="6" w:name="OLE_LINK5"/>
    </w:p>
    <w:p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 w:eastAsiaTheme="minorEastAsia"/>
          <w:lang w:val="en-US" w:eastAsia="zh-CN"/>
        </w:rPr>
        <w:drawing>
          <wp:inline distT="0" distB="0" distL="114300" distR="114300">
            <wp:extent cx="4775835" cy="3067685"/>
            <wp:effectExtent l="0" t="0" r="12065" b="5715"/>
            <wp:docPr id="13" name="图片 13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图片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75835" cy="306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Fig.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S4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 xml:space="preserve">The calibration plots for the adjusted model predicting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AF recurrence</w:t>
      </w:r>
      <w:r>
        <w:rPr>
          <w:rFonts w:hint="default" w:ascii="Times New Roman" w:hAnsi="Times New Roman" w:cs="Times New Roman"/>
          <w:sz w:val="21"/>
          <w:szCs w:val="21"/>
        </w:rPr>
        <w:t xml:space="preserve">. The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x</w:t>
      </w:r>
      <w:r>
        <w:rPr>
          <w:rFonts w:hint="default" w:ascii="Times New Roman" w:hAnsi="Times New Roman" w:cs="Times New Roman"/>
          <w:sz w:val="21"/>
          <w:szCs w:val="21"/>
        </w:rPr>
        <w:t>-axis represents the predicted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AF recurrence</w:t>
      </w:r>
      <w:r>
        <w:rPr>
          <w:rFonts w:hint="default" w:ascii="Times New Roman" w:hAnsi="Times New Roman" w:cs="Times New Roman"/>
          <w:sz w:val="21"/>
          <w:szCs w:val="21"/>
        </w:rPr>
        <w:t xml:space="preserve"> risk. The y-axis represents the actual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AF recurrence</w:t>
      </w:r>
      <w:r>
        <w:rPr>
          <w:rFonts w:hint="default" w:ascii="Times New Roman" w:hAnsi="Times New Roman" w:cs="Times New Roman"/>
          <w:sz w:val="21"/>
          <w:szCs w:val="21"/>
        </w:rPr>
        <w:t xml:space="preserve"> rate. The gr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a</w:t>
      </w:r>
      <w:r>
        <w:rPr>
          <w:rFonts w:hint="default" w:ascii="Times New Roman" w:hAnsi="Times New Roman" w:cs="Times New Roman"/>
          <w:sz w:val="21"/>
          <w:szCs w:val="21"/>
        </w:rPr>
        <w:t>y line indicates a perfect prediction by an ideal model. The red solid line indicates the performance of the predicting model, of which a closer f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i</w:t>
      </w:r>
      <w:r>
        <w:rPr>
          <w:rFonts w:hint="default" w:ascii="Times New Roman" w:hAnsi="Times New Roman" w:cs="Times New Roman"/>
          <w:sz w:val="21"/>
          <w:szCs w:val="21"/>
        </w:rPr>
        <w:t>t to the gr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a</w:t>
      </w:r>
      <w:r>
        <w:rPr>
          <w:rFonts w:hint="default" w:ascii="Times New Roman" w:hAnsi="Times New Roman" w:cs="Times New Roman"/>
          <w:sz w:val="21"/>
          <w:szCs w:val="21"/>
        </w:rPr>
        <w:t xml:space="preserve">y line suggests better prediction. The adjusted model refers to the established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basic </w:t>
      </w:r>
      <w:r>
        <w:rPr>
          <w:rFonts w:hint="default" w:ascii="Times New Roman" w:hAnsi="Times New Roman" w:cs="Times New Roman"/>
          <w:sz w:val="21"/>
          <w:szCs w:val="21"/>
        </w:rPr>
        <w:t xml:space="preserve">risk model. Established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basic </w:t>
      </w:r>
      <w:r>
        <w:rPr>
          <w:rFonts w:hint="default" w:ascii="Times New Roman" w:hAnsi="Times New Roman" w:cs="Times New Roman"/>
          <w:sz w:val="21"/>
          <w:szCs w:val="21"/>
        </w:rPr>
        <w:t xml:space="preserve">risk model included age, sex,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body mass index</w:t>
      </w:r>
      <w:r>
        <w:rPr>
          <w:rFonts w:hint="default" w:ascii="Times New Roman" w:hAnsi="Times New Roman" w:cs="Times New Roman"/>
          <w:sz w:val="21"/>
          <w:szCs w:val="21"/>
        </w:rPr>
        <w:t xml:space="preserve">, current drinking,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diabetes mellitus</w:t>
      </w:r>
      <w:r>
        <w:rPr>
          <w:rFonts w:hint="default" w:ascii="Times New Roman" w:hAnsi="Times New Roman" w:cs="Times New Roman"/>
          <w:sz w:val="21"/>
          <w:szCs w:val="21"/>
        </w:rPr>
        <w:t xml:space="preserve">, hyperlipidemia,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coronary heart disease</w:t>
      </w:r>
      <w:r>
        <w:rPr>
          <w:rFonts w:hint="default" w:ascii="Times New Roman" w:hAnsi="Times New Roman" w:cs="Times New Roman"/>
          <w:sz w:val="21"/>
          <w:szCs w:val="21"/>
        </w:rPr>
        <w:t xml:space="preserve">, duration of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AF</w:t>
      </w:r>
      <w:r>
        <w:rPr>
          <w:rFonts w:hint="default" w:ascii="Times New Roman" w:hAnsi="Times New Roman" w:cs="Times New Roman"/>
          <w:sz w:val="21"/>
          <w:szCs w:val="21"/>
        </w:rPr>
        <w:t xml:space="preserve"> (≥24 months), AF type,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fasting blood glucose</w:t>
      </w:r>
      <w:r>
        <w:rPr>
          <w:rFonts w:hint="default" w:ascii="Times New Roman" w:hAnsi="Times New Roman" w:cs="Times New Roman"/>
          <w:sz w:val="21"/>
          <w:szCs w:val="21"/>
        </w:rPr>
        <w:t xml:space="preserve">, HbA1c,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left atrial</w:t>
      </w:r>
      <w:r>
        <w:rPr>
          <w:rFonts w:hint="default" w:ascii="Times New Roman" w:hAnsi="Times New Roman" w:cs="Times New Roman"/>
          <w:sz w:val="21"/>
          <w:szCs w:val="21"/>
        </w:rPr>
        <w:t xml:space="preserve"> diameter, platelets, CHA</w:t>
      </w:r>
      <w:r>
        <w:rPr>
          <w:rFonts w:hint="default"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hint="default" w:ascii="Times New Roman" w:hAnsi="Times New Roman" w:cs="Times New Roman"/>
          <w:sz w:val="21"/>
          <w:szCs w:val="21"/>
        </w:rPr>
        <w:t>DS</w:t>
      </w:r>
      <w:r>
        <w:rPr>
          <w:rFonts w:hint="default"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hint="default" w:ascii="Times New Roman" w:hAnsi="Times New Roman" w:cs="Times New Roman"/>
          <w:sz w:val="21"/>
          <w:szCs w:val="21"/>
        </w:rPr>
        <w:t>-VASc score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. AF, atrial fibrillation;</w:t>
      </w:r>
      <w:bookmarkEnd w:id="6"/>
    </w:p>
    <w:p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br w:type="page"/>
      </w: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drawing>
          <wp:inline distT="0" distB="0" distL="114300" distR="114300">
            <wp:extent cx="4429760" cy="3759200"/>
            <wp:effectExtent l="0" t="0" r="2540" b="0"/>
            <wp:docPr id="7" name="图片 7" descr="ROC改正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ROC改正_0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2976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Figure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5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bookmarkStart w:id="7" w:name="OLE_LINK25"/>
      <w:r>
        <w:rPr>
          <w:rFonts w:hint="default" w:ascii="Times New Roman" w:hAnsi="Times New Roman" w:cs="Times New Roman"/>
          <w:sz w:val="21"/>
          <w:szCs w:val="21"/>
        </w:rPr>
        <w:t xml:space="preserve">Receiver operating curve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for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risk factors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in the detection of AF recurrence following ablation.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bookmarkEnd w:id="7"/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AUC, area under curv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>e; BMI, body mass index;</w:t>
      </w:r>
      <w:r>
        <w:rPr>
          <w:rFonts w:hint="eastAsia" w:ascii="Times New Roman" w:hAnsi="Times New Roman" w:cs="Times New Roman"/>
          <w:color w:val="FF0000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METS-IR, metabolic score for insulin resistance; LA, left atrial; TyG-BMI, triglyceride glucose-body mass index</w:t>
      </w:r>
    </w:p>
    <w:p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br w:type="page"/>
      </w:r>
    </w:p>
    <w:p>
      <w:pPr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drawing>
          <wp:inline distT="0" distB="0" distL="114300" distR="114300">
            <wp:extent cx="4236720" cy="4248150"/>
            <wp:effectExtent l="0" t="0" r="5080" b="6350"/>
            <wp:docPr id="1" name="图片 1" descr="TyG森林图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TyG森林图_0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3672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Fig. S6 </w:t>
      </w:r>
      <w:bookmarkStart w:id="8" w:name="OLE_LINK26"/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Association between TyG index (per 1 unit increase) and AF recurrence following ablation in different subgroups.</w:t>
      </w:r>
      <w:bookmarkEnd w:id="8"/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 AF, atrial fibrillation; CHD, coronary heart disease; DM, diabetes mellitus; </w:t>
      </w:r>
      <w:r>
        <w:rPr>
          <w:rFonts w:hint="default" w:ascii="Times New Roman" w:hAnsi="Times New Roman" w:cs="Times New Roman"/>
          <w:sz w:val="21"/>
          <w:szCs w:val="21"/>
        </w:rPr>
        <w:t>TyG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sz w:val="21"/>
          <w:szCs w:val="21"/>
        </w:rPr>
        <w:t xml:space="preserve"> triglyceride and glucose</w:t>
      </w:r>
    </w:p>
    <w:p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bookmarkEnd w:id="5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drawing>
          <wp:inline distT="0" distB="0" distL="114300" distR="114300">
            <wp:extent cx="4426585" cy="4065905"/>
            <wp:effectExtent l="0" t="0" r="5715" b="10795"/>
            <wp:docPr id="4" name="图片 4" descr="TGHDL森林图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TGHDL森林图_0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26585" cy="406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Fig. S7 </w:t>
      </w:r>
      <w:bookmarkStart w:id="9" w:name="OLE_LINK27"/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Association between TG/HDL-C ratio (per 1 unit increase) and AF recurrence following ablation in different subgroups.</w:t>
      </w:r>
      <w:bookmarkEnd w:id="9"/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 AF, atrial fibrillation; CHD, coronary heart disease; DM, diabetes mellitus; TG/HDL-C, triglyceride to high-density lipoprotein cholesterol</w:t>
      </w:r>
    </w:p>
    <w:p>
      <w:pPr>
        <w:rPr>
          <w:rFonts w:hint="eastAsia" w:ascii="Times New Roman" w:hAnsi="Times New Roman" w:cs="Times New Roman"/>
          <w:b w:val="0"/>
          <w:bCs w:val="0"/>
          <w:lang w:val="en-US" w:eastAsia="zh-CN"/>
        </w:rPr>
      </w:pPr>
    </w:p>
    <w:p>
      <w:pPr>
        <w:rPr>
          <w:rFonts w:hint="eastAsia" w:ascii="Times New Roman" w:hAnsi="Times New Roman" w:cs="Times New Roman"/>
          <w:b w:val="0"/>
          <w:bCs w:val="0"/>
          <w:lang w:val="en-US" w:eastAsia="zh-CN"/>
        </w:rPr>
      </w:pPr>
    </w:p>
    <w:p>
      <w:pPr>
        <w:rPr>
          <w:rFonts w:hint="eastAsia" w:ascii="Times New Roman" w:hAnsi="Times New Roman" w:cs="Times New Roman"/>
          <w:b w:val="0"/>
          <w:bCs w:val="0"/>
          <w:lang w:val="en-US" w:eastAsia="zh-CN"/>
        </w:rPr>
      </w:pPr>
    </w:p>
    <w:p>
      <w:pPr>
        <w:rPr>
          <w:rFonts w:hint="eastAsia" w:ascii="Times New Roman" w:hAnsi="Times New Roman" w:cs="Times New Roman"/>
          <w:b w:val="0"/>
          <w:bCs w:val="0"/>
          <w:lang w:val="en-US" w:eastAsia="zh-CN"/>
        </w:rPr>
      </w:pPr>
    </w:p>
    <w:p>
      <w:pPr>
        <w:rPr>
          <w:rFonts w:hint="eastAsia" w:ascii="Times New Roman" w:hAnsi="Times New Roman" w:cs="Times New Roman"/>
          <w:b w:val="0"/>
          <w:bCs w:val="0"/>
          <w:lang w:val="en-US" w:eastAsia="zh-CN"/>
        </w:rPr>
      </w:pPr>
    </w:p>
    <w:p>
      <w:pPr>
        <w:rPr>
          <w:rFonts w:hint="eastAsia" w:ascii="Times New Roman" w:hAnsi="Times New Roman" w:cs="Times New Roman"/>
          <w:b w:val="0"/>
          <w:bCs w:val="0"/>
          <w:lang w:val="en-US" w:eastAsia="zh-CN"/>
        </w:rPr>
      </w:pPr>
    </w:p>
    <w:p>
      <w:pPr>
        <w:rPr>
          <w:rFonts w:hint="eastAsia" w:ascii="Times New Roman" w:hAnsi="Times New Roman" w:cs="Times New Roman"/>
          <w:b w:val="0"/>
          <w:bCs w:val="0"/>
          <w:lang w:val="en-US" w:eastAsia="zh-CN"/>
        </w:rPr>
      </w:pPr>
    </w:p>
    <w:p>
      <w:pPr>
        <w:rPr>
          <w:rFonts w:hint="eastAsia" w:ascii="Times New Roman" w:hAnsi="Times New Roman" w:cs="Times New Roman"/>
          <w:b w:val="0"/>
          <w:bCs w:val="0"/>
          <w:lang w:val="en-US" w:eastAsia="zh-CN"/>
        </w:rPr>
      </w:pPr>
    </w:p>
    <w:p>
      <w:pPr>
        <w:rPr>
          <w:rFonts w:hint="eastAsia" w:ascii="Times New Roman" w:hAnsi="Times New Roman" w:cs="Times New Roman"/>
          <w:b w:val="0"/>
          <w:bCs w:val="0"/>
          <w:lang w:val="en-US" w:eastAsia="zh-CN"/>
        </w:rPr>
      </w:pPr>
    </w:p>
    <w:p>
      <w:pPr>
        <w:rPr>
          <w:rFonts w:hint="eastAsia" w:ascii="Times New Roman" w:hAnsi="Times New Roman" w:cs="Times New Roman"/>
          <w:b w:val="0"/>
          <w:bCs w:val="0"/>
          <w:lang w:val="en-US" w:eastAsia="zh-CN"/>
        </w:rPr>
      </w:pPr>
    </w:p>
    <w:p>
      <w:pPr>
        <w:rPr>
          <w:rFonts w:hint="eastAsia" w:ascii="Times New Roman" w:hAnsi="Times New Roman" w:cs="Times New Roman"/>
          <w:b w:val="0"/>
          <w:bCs w:val="0"/>
          <w:lang w:val="en-US" w:eastAsia="zh-CN"/>
        </w:rPr>
      </w:pPr>
    </w:p>
    <w:p>
      <w:pPr>
        <w:rPr>
          <w:rFonts w:hint="eastAsia" w:ascii="Times New Roman" w:hAnsi="Times New Roman" w:cs="Times New Roman"/>
          <w:b w:val="0"/>
          <w:bCs w:val="0"/>
          <w:lang w:val="en-US" w:eastAsia="zh-CN"/>
        </w:rPr>
      </w:pPr>
    </w:p>
    <w:p>
      <w:pPr>
        <w:rPr>
          <w:rFonts w:hint="eastAsia" w:ascii="Times New Roman" w:hAnsi="Times New Roman" w:cs="Times New Roman"/>
          <w:b w:val="0"/>
          <w:bCs w:val="0"/>
          <w:lang w:val="en-US" w:eastAsia="zh-CN"/>
        </w:rPr>
      </w:pPr>
    </w:p>
    <w:p>
      <w:pPr>
        <w:rPr>
          <w:rFonts w:hint="eastAsia" w:ascii="Times New Roman" w:hAnsi="Times New Roman" w:cs="Times New Roman"/>
          <w:b w:val="0"/>
          <w:bCs w:val="0"/>
          <w:lang w:val="en-US" w:eastAsia="zh-CN"/>
        </w:rPr>
      </w:pPr>
    </w:p>
    <w:p>
      <w:pPr>
        <w:rPr>
          <w:rFonts w:hint="eastAsia" w:ascii="Times New Roman" w:hAnsi="Times New Roman" w:cs="Times New Roman"/>
          <w:b w:val="0"/>
          <w:bCs w:val="0"/>
          <w:lang w:val="en-US" w:eastAsia="zh-CN"/>
        </w:rPr>
      </w:pPr>
    </w:p>
    <w:p>
      <w:pPr>
        <w:rPr>
          <w:rFonts w:hint="eastAsia" w:ascii="Times New Roman" w:hAnsi="Times New Roman" w:cs="Times New Roman"/>
          <w:b w:val="0"/>
          <w:bCs w:val="0"/>
          <w:lang w:val="en-US" w:eastAsia="zh-CN"/>
        </w:rPr>
      </w:pPr>
    </w:p>
    <w:p>
      <w:pPr>
        <w:rPr>
          <w:rFonts w:hint="eastAsia" w:ascii="Times New Roman" w:hAnsi="Times New Roman" w:cs="Times New Roman"/>
          <w:b w:val="0"/>
          <w:bCs w:val="0"/>
          <w:lang w:val="en-US" w:eastAsia="zh-CN"/>
        </w:rPr>
      </w:pPr>
    </w:p>
    <w:p>
      <w:pPr>
        <w:rPr>
          <w:rFonts w:hint="eastAsia" w:ascii="Times New Roman" w:hAnsi="Times New Roman" w:cs="Times New Roman"/>
          <w:b w:val="0"/>
          <w:bCs w:val="0"/>
          <w:lang w:val="en-US" w:eastAsia="zh-CN"/>
        </w:rPr>
      </w:pPr>
    </w:p>
    <w:p>
      <w:pPr>
        <w:rPr>
          <w:rFonts w:hint="eastAsia" w:ascii="Times New Roman" w:hAnsi="Times New Roman" w:cs="Times New Roman"/>
          <w:b w:val="0"/>
          <w:bCs w:val="0"/>
          <w:lang w:val="en-US" w:eastAsia="zh-CN"/>
        </w:rPr>
      </w:pPr>
    </w:p>
    <w:p>
      <w:pPr>
        <w:rPr>
          <w:rFonts w:hint="eastAsia" w:ascii="Times New Roman" w:hAnsi="Times New Roman" w:cs="Times New Roman"/>
          <w:b w:val="0"/>
          <w:bCs w:val="0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br w:type="page"/>
      </w:r>
    </w:p>
    <w:p>
      <w:bookmarkStart w:id="10" w:name="OLE_LINK17"/>
      <w:r>
        <w:drawing>
          <wp:inline distT="0" distB="0" distL="114300" distR="114300">
            <wp:extent cx="5270500" cy="3705225"/>
            <wp:effectExtent l="0" t="0" r="0" b="3175"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Fig.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S8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 xml:space="preserve">Restricted cubic spline curves for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AF recurrence</w:t>
      </w:r>
      <w:r>
        <w:rPr>
          <w:rFonts w:hint="default" w:ascii="Times New Roman" w:hAnsi="Times New Roman" w:cs="Times New Roman"/>
          <w:sz w:val="21"/>
          <w:szCs w:val="21"/>
        </w:rPr>
        <w:t xml:space="preserve"> by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METS-IR and TyG-BMI index</w:t>
      </w:r>
      <w:r>
        <w:rPr>
          <w:rFonts w:hint="default" w:ascii="Times New Roman" w:hAnsi="Times New Roman" w:cs="Times New Roman"/>
          <w:sz w:val="21"/>
          <w:szCs w:val="21"/>
        </w:rPr>
        <w:t xml:space="preserve"> after covariate adjustment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in DM and non-DM patients</w:t>
      </w:r>
      <w:r>
        <w:rPr>
          <w:rFonts w:hint="default" w:ascii="Times New Roman" w:hAnsi="Times New Roman" w:cs="Times New Roman"/>
          <w:sz w:val="21"/>
          <w:szCs w:val="21"/>
        </w:rPr>
        <w:t>.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The risk factors adjusted for in this analysis included age, sex, current drinking, hyperlipidemia, coronary heart disease, duration of AF (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≥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24 months), AF type, HbA1c, left atrial diameter, platelet, CHA</w:t>
      </w:r>
      <w:r>
        <w:rPr>
          <w:rFonts w:hint="eastAsia" w:ascii="Times New Roman" w:hAnsi="Times New Roman" w:cs="Times New Roman"/>
          <w:sz w:val="21"/>
          <w:szCs w:val="21"/>
          <w:vertAlign w:val="subscript"/>
          <w:lang w:val="en-US" w:eastAsia="zh-CN"/>
        </w:rPr>
        <w:t>2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DS</w:t>
      </w:r>
      <w:r>
        <w:rPr>
          <w:rFonts w:hint="eastAsia" w:ascii="Times New Roman" w:hAnsi="Times New Roman" w:cs="Times New Roman"/>
          <w:sz w:val="21"/>
          <w:szCs w:val="21"/>
          <w:vertAlign w:val="subscript"/>
          <w:lang w:val="en-US" w:eastAsia="zh-CN"/>
        </w:rPr>
        <w:t>2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-VASc. AF, atrial fibrillation; </w:t>
      </w:r>
      <w:r>
        <w:rPr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CI, confidence interval; HR, hazard ratio; </w:t>
      </w:r>
      <w:r>
        <w:rPr>
          <w:rFonts w:hint="default" w:ascii="Times New Roman" w:hAnsi="Times New Roman" w:cs="Times New Roman"/>
          <w:sz w:val="21"/>
          <w:szCs w:val="21"/>
        </w:rPr>
        <w:t>METS-IR, metabolic score for insulin resistance; TyG-BMI, triglyceride glucose-body mass index</w:t>
      </w:r>
    </w:p>
    <w:bookmarkEnd w:id="10"/>
    <w:p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br w:type="page"/>
      </w:r>
    </w:p>
    <w:p>
      <w:r>
        <w:drawing>
          <wp:inline distT="0" distB="0" distL="114300" distR="114300">
            <wp:extent cx="5067300" cy="4236720"/>
            <wp:effectExtent l="0" t="0" r="0" b="5080"/>
            <wp:docPr id="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423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Fig.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S9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 xml:space="preserve">Restricted cubic spline curves for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AF recurrence</w:t>
      </w:r>
      <w:r>
        <w:rPr>
          <w:rFonts w:hint="default" w:ascii="Times New Roman" w:hAnsi="Times New Roman" w:cs="Times New Roman"/>
          <w:sz w:val="21"/>
          <w:szCs w:val="21"/>
        </w:rPr>
        <w:t xml:space="preserve"> by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METS-IR ans TyG-BMI index</w:t>
      </w:r>
      <w:r>
        <w:rPr>
          <w:rFonts w:hint="default" w:ascii="Times New Roman" w:hAnsi="Times New Roman" w:cs="Times New Roman"/>
          <w:sz w:val="21"/>
          <w:szCs w:val="21"/>
        </w:rPr>
        <w:t xml:space="preserve"> after covariate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s</w:t>
      </w:r>
      <w:r>
        <w:rPr>
          <w:rFonts w:hint="default" w:ascii="Times New Roman" w:hAnsi="Times New Roman" w:cs="Times New Roman"/>
          <w:sz w:val="21"/>
          <w:szCs w:val="21"/>
        </w:rPr>
        <w:t xml:space="preserve"> adjustment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in duration of AF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≥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24 and &lt; 24 months patients</w:t>
      </w:r>
      <w:r>
        <w:rPr>
          <w:rFonts w:hint="default" w:ascii="Times New Roman" w:hAnsi="Times New Roman" w:cs="Times New Roman"/>
          <w:sz w:val="21"/>
          <w:szCs w:val="21"/>
        </w:rPr>
        <w:t>.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The risk factors adjusted for in this analysis included age, sex, current drinking, hyperlipidemia, coronary heart disease, diabetes mellitus, AF type, HbA1c, left atrial diameter, platelet, CHA</w:t>
      </w:r>
      <w:r>
        <w:rPr>
          <w:rFonts w:hint="eastAsia" w:ascii="Times New Roman" w:hAnsi="Times New Roman" w:cs="Times New Roman"/>
          <w:sz w:val="21"/>
          <w:szCs w:val="21"/>
          <w:vertAlign w:val="subscript"/>
          <w:lang w:val="en-US" w:eastAsia="zh-CN"/>
        </w:rPr>
        <w:t>2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DS</w:t>
      </w:r>
      <w:r>
        <w:rPr>
          <w:rFonts w:hint="eastAsia" w:ascii="Times New Roman" w:hAnsi="Times New Roman" w:cs="Times New Roman"/>
          <w:sz w:val="21"/>
          <w:szCs w:val="21"/>
          <w:vertAlign w:val="subscript"/>
          <w:lang w:val="en-US" w:eastAsia="zh-CN"/>
        </w:rPr>
        <w:t>2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-VASc. AF, atrial fibrillation; </w:t>
      </w:r>
      <w:r>
        <w:rPr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CI, confidence interval; HR, hazard ratio; </w:t>
      </w:r>
      <w:r>
        <w:rPr>
          <w:rFonts w:hint="default" w:ascii="Times New Roman" w:hAnsi="Times New Roman" w:cs="Times New Roman"/>
          <w:sz w:val="21"/>
          <w:szCs w:val="21"/>
        </w:rPr>
        <w:t>METS-IR, metabolic score for insulin resistance; TyG-BMI, triglyceride glucose-body mass index</w:t>
      </w:r>
    </w:p>
    <w:p>
      <w:pPr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br w:type="page"/>
      </w:r>
    </w:p>
    <w:p>
      <w:pP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S1</w:t>
      </w:r>
      <w:r>
        <w:rPr>
          <w:rFonts w:hint="default" w:ascii="Times New Roman" w:hAnsi="Times New Roman" w:cs="Times New Roman"/>
          <w:sz w:val="21"/>
          <w:szCs w:val="21"/>
        </w:rPr>
        <w:t> </w:t>
      </w:r>
      <w:bookmarkStart w:id="11" w:name="OLE_LINK28"/>
      <w:r>
        <w:rPr>
          <w:rFonts w:hint="default" w:ascii="Times New Roman" w:hAnsi="Times New Roman" w:cs="Times New Roman"/>
          <w:sz w:val="21"/>
          <w:szCs w:val="21"/>
        </w:rPr>
        <w:t xml:space="preserve">Association between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n</w:t>
      </w:r>
      <w:r>
        <w:rPr>
          <w:rFonts w:hint="default" w:ascii="Times New Roman" w:hAnsi="Times New Roman" w:cs="Times New Roman"/>
          <w:sz w:val="21"/>
          <w:szCs w:val="21"/>
        </w:rPr>
        <w:t>on-insulin-based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IR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index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es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 xml:space="preserve">and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AF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recurrence after ablation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stratified by the statins medication at admission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.</w:t>
      </w:r>
      <w:bookmarkEnd w:id="11"/>
    </w:p>
    <w:tbl>
      <w:tblPr>
        <w:tblStyle w:val="2"/>
        <w:tblpPr w:leftFromText="180" w:rightFromText="180" w:vertAnchor="page" w:horzAnchor="page" w:tblpX="1857" w:tblpY="2084"/>
        <w:tblW w:w="88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33"/>
        <w:gridCol w:w="2089"/>
        <w:gridCol w:w="1278"/>
        <w:gridCol w:w="18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363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HR (95%CI)</w:t>
            </w:r>
          </w:p>
        </w:tc>
        <w:tc>
          <w:tcPr>
            <w:tcW w:w="127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  <w:t>value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  <w:lang w:val="en-US" w:eastAsia="zh-CN"/>
              </w:rPr>
              <w:t xml:space="preserve">P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lang w:val="en-US" w:eastAsia="zh-CN"/>
              </w:rPr>
              <w:t>for interaction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7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bookmarkStart w:id="12" w:name="OLE_LINK20" w:colFirst="0" w:colLast="0"/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 xml:space="preserve">TyG index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(per 1 unit increase)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0.239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Statins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440" w:rightChars="0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09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0.87-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37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440" w:rightChars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0.456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440" w:rightChars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Non-statins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440" w:rightChars="0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29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(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1.1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-1.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52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440" w:rightChars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0.002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440" w:rightChars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440" w:rightChars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 xml:space="preserve">METS-IR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(per 1 unit increase)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440" w:rightChars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0.974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Statins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04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(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03-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06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440" w:rightChars="0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&lt;0.001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440" w:rightChars="0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Non-statins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bookmarkStart w:id="13" w:name="OLE_LINK22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04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(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03-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06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)</w:t>
            </w:r>
            <w:bookmarkEnd w:id="13"/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440" w:rightChars="0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bookmarkStart w:id="14" w:name="OLE_LINK23"/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&lt;0.001</w:t>
            </w:r>
            <w:bookmarkEnd w:id="14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440" w:rightChars="0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7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440" w:rightChars="0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 xml:space="preserve">TyG-BMI index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(per 1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unit increase)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440" w:rightChars="0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0.998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bookmarkStart w:id="15" w:name="OLE_LINK21" w:colFirst="0" w:colLast="0"/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Statins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(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06-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440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&lt;0.001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440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Non-statins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(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07-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440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&lt;0.001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440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bookmarkEnd w:id="15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7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440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 xml:space="preserve">TG/HDL-C ratio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(per 1 unit increase)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440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0.231</w:t>
            </w:r>
          </w:p>
        </w:tc>
      </w:tr>
      <w:bookmarkEnd w:id="12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Statins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440" w:rightChars="0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00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0.94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1.06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0.893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363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Non-statins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04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(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01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1.07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)</w:t>
            </w:r>
          </w:p>
        </w:tc>
        <w:tc>
          <w:tcPr>
            <w:tcW w:w="127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440" w:rightChars="0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0.014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440" w:rightChars="0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</w:tbl>
    <w:p>
      <w:pPr>
        <w:rPr>
          <w:rFonts w:hint="eastAsia" w:ascii="Times New Roman" w:hAnsi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CI, conf</w:t>
      </w:r>
      <w:r>
        <w:rPr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dence interval;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R, </w:t>
      </w:r>
      <w:r>
        <w:rPr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hazard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ratio; </w:t>
      </w:r>
      <w:r>
        <w:rPr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IR, insulin resistance; </w:t>
      </w:r>
      <w:r>
        <w:rPr>
          <w:rFonts w:hint="eastAsia" w:ascii="Times New Roman" w:hAnsi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METS-IR, metabolic score for insulin resistance; </w:t>
      </w:r>
      <w:r>
        <w:rPr>
          <w:rFonts w:hint="default" w:ascii="Times New Roman" w:hAnsi="Times New Roman" w:cs="Times New Roman"/>
          <w:sz w:val="21"/>
          <w:szCs w:val="21"/>
        </w:rPr>
        <w:t xml:space="preserve">TyG, triglyceride and glucose; TyG-BMI, triglyceride glucose-body mass index; TG/HDL-C, triglyceride to high-density lipoprotein cholesterol </w:t>
      </w:r>
    </w:p>
    <w:p>
      <w:pPr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br w:type="page"/>
      </w:r>
    </w:p>
    <w:p>
      <w:pP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bookmarkStart w:id="16" w:name="OLE_LINK18"/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S2</w:t>
      </w:r>
      <w:r>
        <w:rPr>
          <w:rFonts w:hint="default" w:ascii="Times New Roman" w:hAnsi="Times New Roman" w:cs="Times New Roman"/>
          <w:sz w:val="21"/>
          <w:szCs w:val="21"/>
        </w:rPr>
        <w:t xml:space="preserve"> Association between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METS-IR or TyG-BMI index with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DM or non-DM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 xml:space="preserve">and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AF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recurrence after ablation.</w:t>
      </w:r>
    </w:p>
    <w:tbl>
      <w:tblPr>
        <w:tblStyle w:val="2"/>
        <w:tblpPr w:leftFromText="180" w:rightFromText="180" w:vertAnchor="page" w:horzAnchor="page" w:tblpX="1857" w:tblpY="2084"/>
        <w:tblW w:w="724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33"/>
        <w:gridCol w:w="2089"/>
        <w:gridCol w:w="1278"/>
        <w:gridCol w:w="24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363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Variables</w:t>
            </w:r>
          </w:p>
        </w:tc>
        <w:tc>
          <w:tcPr>
            <w:tcW w:w="20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HR (95%CI)</w:t>
            </w:r>
          </w:p>
        </w:tc>
        <w:tc>
          <w:tcPr>
            <w:tcW w:w="127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  <w:t>value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363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bookmarkStart w:id="17" w:name="OLE_LINK43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METS-IR &lt;40.899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without DM</w:t>
            </w:r>
            <w:bookmarkEnd w:id="17"/>
          </w:p>
        </w:tc>
        <w:tc>
          <w:tcPr>
            <w:tcW w:w="208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440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Reference</w:t>
            </w:r>
          </w:p>
        </w:tc>
        <w:tc>
          <w:tcPr>
            <w:tcW w:w="127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bookmarkStart w:id="18" w:name="OLE_LINK44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METS-IR &lt;40.899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with DM</w:t>
            </w:r>
            <w:bookmarkEnd w:id="18"/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440" w:rightChars="0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 xml:space="preserve">0.99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(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0.75-1.32)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440" w:rightChars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0.962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METS-IR ≥40.899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without DM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 xml:space="preserve">1.42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(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1.17-1.73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440" w:rightChars="0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&lt;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0.0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01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METS-IR ≥40.899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with DM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 xml:space="preserve">2.06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(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1.57-2.70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440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bookmarkStart w:id="19" w:name="OLE_LINK47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&lt;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0.0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01</w:t>
            </w:r>
            <w:bookmarkEnd w:id="19"/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TyG-BMI index &lt;225.501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without DM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440" w:rightChars="0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Reference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TyG-BMI index &lt;225.501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with DM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 xml:space="preserve">0.99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(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0.74-1.31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440" w:rightChars="0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0.922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bookmarkStart w:id="20" w:name="OLE_LINK45"/>
            <w:bookmarkStart w:id="21" w:name="OLE_LINK46" w:colFirst="1" w:colLast="2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TyG-BMI index ≥225.501</w:t>
            </w:r>
            <w:bookmarkEnd w:id="20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without DM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 xml:space="preserve">1.37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(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1.13-1.66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440" w:rightChars="0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0.0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01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bookmarkEnd w:id="21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363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TyG-BMI index ≥225.501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with DM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 xml:space="preserve">1.94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(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1.48-2.53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)</w:t>
            </w:r>
          </w:p>
        </w:tc>
        <w:tc>
          <w:tcPr>
            <w:tcW w:w="127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440" w:rightChars="0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&lt;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0.0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  <w:t>01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</w:tbl>
    <w:p>
      <w:pP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bookmarkStart w:id="22" w:name="OLE_LINK48"/>
    </w:p>
    <w:p>
      <w:pP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DM, diabetes mellitus;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R, </w:t>
      </w:r>
      <w:r>
        <w:rPr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hazard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ratio; CI, conf</w:t>
      </w:r>
      <w:r>
        <w:rPr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dence interval; </w:t>
      </w:r>
      <w:r>
        <w:rPr>
          <w:rFonts w:hint="eastAsia" w:ascii="Times New Roman" w:hAnsi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METS-IR, metabolic score for insulin resistance; TyG-BMI, triglyceride glucose-body mass index</w:t>
      </w:r>
    </w:p>
    <w:bookmarkEnd w:id="16"/>
    <w:p>
      <w:pPr>
        <w:rPr>
          <w:rFonts w:hint="eastAsia" w:ascii="Times New Roman" w:hAnsi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br w:type="page"/>
      </w: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bookmarkStart w:id="23" w:name="OLE_LINK51"/>
      <w:bookmarkStart w:id="24" w:name="OLE_LINK13"/>
      <w:bookmarkStart w:id="25" w:name="OLE_LINK3"/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S3</w:t>
      </w:r>
      <w:r>
        <w:rPr>
          <w:rFonts w:hint="default" w:ascii="Times New Roman" w:hAnsi="Times New Roman" w:cs="Times New Roman"/>
          <w:sz w:val="21"/>
          <w:szCs w:val="21"/>
        </w:rPr>
        <w:t> Added predictive ability and reclassif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i</w:t>
      </w:r>
      <w:r>
        <w:rPr>
          <w:rFonts w:hint="default" w:ascii="Times New Roman" w:hAnsi="Times New Roman" w:cs="Times New Roman"/>
          <w:sz w:val="21"/>
          <w:szCs w:val="21"/>
        </w:rPr>
        <w:t xml:space="preserve">cation statistics of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METS-IR and TyG-BMI index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in DM and non-DM patients.</w:t>
      </w:r>
    </w:p>
    <w:tbl>
      <w:tblPr>
        <w:tblStyle w:val="2"/>
        <w:tblpPr w:leftFromText="180" w:rightFromText="180" w:vertAnchor="page" w:horzAnchor="page" w:tblpX="168" w:tblpY="2093"/>
        <w:tblW w:w="1175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1"/>
        <w:gridCol w:w="2474"/>
        <w:gridCol w:w="1172"/>
        <w:gridCol w:w="2037"/>
        <w:gridCol w:w="983"/>
        <w:gridCol w:w="2116"/>
        <w:gridCol w:w="92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051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474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C-statistic </w:t>
            </w:r>
          </w:p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(95% CI)</w:t>
            </w: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21"/>
                <w:szCs w:val="21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</w:rPr>
              <w:t>value</w:t>
            </w:r>
          </w:p>
        </w:tc>
        <w:tc>
          <w:tcPr>
            <w:tcW w:w="2037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</w:rPr>
              <w:t>IDI (95% CI)</w:t>
            </w:r>
          </w:p>
        </w:tc>
        <w:tc>
          <w:tcPr>
            <w:tcW w:w="983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21"/>
                <w:szCs w:val="21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</w:rPr>
              <w:t>value</w:t>
            </w:r>
          </w:p>
        </w:tc>
        <w:tc>
          <w:tcPr>
            <w:tcW w:w="2116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Continuous </w:t>
            </w:r>
          </w:p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</w:rPr>
              <w:t>NRI (95% CI)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21"/>
                <w:szCs w:val="21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</w:rPr>
              <w:t>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17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1"/>
                <w:szCs w:val="21"/>
              </w:rPr>
            </w:pPr>
            <w:bookmarkStart w:id="26" w:name="OLE_LINK7"/>
            <w:bookmarkStart w:id="27" w:name="OLE_LINK9" w:colFirst="0" w:colLast="6"/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AF patients with DM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Baseline risk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 xml:space="preserve">model </w:t>
            </w:r>
            <w:bookmarkEnd w:id="26"/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440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bookmarkStart w:id="28" w:name="OLE_LINK8"/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0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(0.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7-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23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)</w:t>
            </w:r>
            <w:bookmarkEnd w:id="28"/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Reference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bookmarkStart w:id="29" w:name="OLE_LINK15"/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Reference</w:t>
            </w:r>
            <w:bookmarkEnd w:id="29"/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Reference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1"/>
                <w:szCs w:val="21"/>
              </w:rPr>
            </w:pPr>
          </w:p>
        </w:tc>
      </w:tr>
      <w:bookmarkEnd w:id="27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bookmarkStart w:id="30" w:name="OLE_LINK12"/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+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METS-IR</w:t>
            </w:r>
            <w:bookmarkEnd w:id="30"/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 xml:space="preserve"> 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0.7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(0.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7-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52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440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0.0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61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(0.0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29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95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0.002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213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(0.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099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292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0.00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+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TyG-BMI index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0.7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11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(0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8-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53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440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0.04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71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(0.0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36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111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&lt;0.001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242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(0.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156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312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17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AF patients with non-DM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Baseline risk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 xml:space="preserve">model 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440" w:rightChars="0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69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(0.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66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23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Reference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Reference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Reference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+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METS-IR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 xml:space="preserve"> 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0.7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(0.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67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440" w:rightChars="0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120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004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0.0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380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053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37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05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+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TyG-BMI index</w:t>
            </w:r>
          </w:p>
        </w:tc>
        <w:tc>
          <w:tcPr>
            <w:tcW w:w="247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703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(0.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75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31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117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440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111</w:t>
            </w:r>
          </w:p>
        </w:tc>
        <w:tc>
          <w:tcPr>
            <w:tcW w:w="203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06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0.0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18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264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0.094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03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147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060</w:t>
            </w:r>
          </w:p>
        </w:tc>
      </w:tr>
    </w:tbl>
    <w:p>
      <w:pP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AF, atrial fibrillation;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CI, conf</w:t>
      </w:r>
      <w:r>
        <w:rPr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dence interval; </w:t>
      </w:r>
      <w:r>
        <w:rPr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DM, diabetes mellitus;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IDI, integrated discrimination improvement; METS-IR, metabolic score for insulin resistance; NRI, net reclassification improvement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TyG-BMI, triglyceride glucose-body mass</w:t>
      </w:r>
      <w:r>
        <w:rPr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index</w:t>
      </w:r>
    </w:p>
    <w:p>
      <w:pPr>
        <w:rPr>
          <w:rFonts w:hint="default" w:ascii="Times New Roman" w:hAnsi="Times New Roman" w:cs="Times New Roman" w:eastAsia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Baseline risk model: age, sex, body mass index, current drinking, hyperlipidemia, coronary heart disease, duration of AF (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≥ </w:t>
      </w:r>
      <w:r>
        <w:rPr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24 months), AF type, fasting blood glucose, HbA1c, left atrial diameter, </w:t>
      </w:r>
      <w:bookmarkStart w:id="31" w:name="OLE_LINK54"/>
      <w:r>
        <w:rPr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platelet, CHA</w:t>
      </w:r>
      <w:r>
        <w:rPr>
          <w:rFonts w:hint="eastAsia" w:ascii="Times New Roman" w:hAnsi="Times New Roman" w:cs="Times New Roman"/>
          <w:color w:val="000000" w:themeColor="text1"/>
          <w:sz w:val="21"/>
          <w:szCs w:val="21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DS</w:t>
      </w:r>
      <w:r>
        <w:rPr>
          <w:rFonts w:hint="eastAsia" w:ascii="Times New Roman" w:hAnsi="Times New Roman" w:cs="Times New Roman"/>
          <w:color w:val="000000" w:themeColor="text1"/>
          <w:sz w:val="21"/>
          <w:szCs w:val="21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-VASc</w:t>
      </w:r>
      <w:r>
        <w:rPr>
          <w:rFonts w:hint="eastAsia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t xml:space="preserve"> score</w:t>
      </w:r>
      <w:bookmarkEnd w:id="31"/>
    </w:p>
    <w:bookmarkEnd w:id="23"/>
    <w:p>
      <w:pPr>
        <w:rPr>
          <w:rFonts w:hint="default" w:ascii="Times New Roman" w:hAnsi="Times New Roman" w:cs="Times New Roman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br w:type="page"/>
      </w:r>
    </w:p>
    <w:bookmarkEnd w:id="24"/>
    <w:p>
      <w:pP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Table S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cs="Times New Roman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 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Association between METS-IR or TyG-BMI index with duration of AF</w:t>
      </w:r>
      <w:r>
        <w:rPr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≥</w:t>
      </w:r>
      <w:r>
        <w:rPr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24</w:t>
      </w:r>
    </w:p>
    <w:p>
      <w:pP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or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&lt;</w:t>
      </w:r>
      <w:r>
        <w:rPr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24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months and AF recurrence after ablation</w:t>
      </w:r>
      <w:r>
        <w:rPr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.</w:t>
      </w:r>
    </w:p>
    <w:bookmarkEnd w:id="22"/>
    <w:tbl>
      <w:tblPr>
        <w:tblStyle w:val="2"/>
        <w:tblpPr w:leftFromText="180" w:rightFromText="180" w:vertAnchor="page" w:horzAnchor="page" w:tblpX="1857" w:tblpY="2087"/>
        <w:tblW w:w="703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4"/>
        <w:gridCol w:w="2022"/>
        <w:gridCol w:w="11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38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Variables</w:t>
            </w:r>
            <w:bookmarkStart w:id="39" w:name="_GoBack"/>
            <w:bookmarkEnd w:id="39"/>
          </w:p>
        </w:tc>
        <w:tc>
          <w:tcPr>
            <w:tcW w:w="20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HR (95%CI)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383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METS-IR </w:t>
            </w:r>
            <w:bookmarkStart w:id="32" w:name="OLE_LINK19"/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&lt;</w:t>
            </w:r>
            <w:bookmarkEnd w:id="32"/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40.899 with D1</w:t>
            </w:r>
          </w:p>
        </w:tc>
        <w:tc>
          <w:tcPr>
            <w:tcW w:w="202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33" w:name="OLE_LINK50" w:colFirst="2" w:colLast="2"/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METS-IR &lt;40.899 with D2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1.59 (1.29-1.96)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bookmarkStart w:id="34" w:name="OLE_LINK49"/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&lt;0.001</w:t>
            </w:r>
            <w:bookmarkEnd w:id="34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METS-IR ≥40.899 with D1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2.02 (1.59-2.56)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METS-IR ≥40.899 with D2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2.18 (1.74-2.74)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bookmarkEnd w:id="33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TyG-BMI index &lt;225.501 with D1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TyG-BMI index &lt;225.501 with D2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1.56 (1.27-1.93)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TyG-BMI index ≥225.501 with D1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1.88 (1.49-2.38)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383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TyG-BMI index ≥225.501 with D2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2.10 (1.68-2.63)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/>
    <w:p/>
    <w:p/>
    <w:p/>
    <w:p/>
    <w:p/>
    <w:p>
      <w:pP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R, </w:t>
      </w:r>
      <w:r>
        <w:rPr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hazard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ratio; CI, conf</w:t>
      </w:r>
      <w:r>
        <w:rPr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dence interval; </w:t>
      </w:r>
      <w:r>
        <w:rPr>
          <w:rFonts w:hint="eastAsia" w:ascii="Times New Roman" w:hAnsi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METS-IR, metabolic score for insulin resistance; TyG-BMI, triglyceride glucose-body mass index. D1, duration of AF &lt;24 months; D2, duration of AF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≥</w:t>
      </w:r>
      <w:r>
        <w:rPr>
          <w:rFonts w:hint="eastAsia" w:ascii="Times New Roman" w:hAnsi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24 months</w:t>
      </w:r>
    </w:p>
    <w:p>
      <w:pPr>
        <w:rPr>
          <w:rFonts w:hint="eastAsia" w:ascii="Times New Roman" w:hAnsi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br w:type="page"/>
      </w:r>
    </w:p>
    <w:p>
      <w:pPr>
        <w:rPr>
          <w:rFonts w:hint="default" w:ascii="Times New Roman" w:hAnsi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bookmarkEnd w:id="25"/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S5</w:t>
      </w:r>
      <w:r>
        <w:rPr>
          <w:rFonts w:hint="default" w:ascii="Times New Roman" w:hAnsi="Times New Roman" w:cs="Times New Roman"/>
          <w:sz w:val="21"/>
          <w:szCs w:val="21"/>
        </w:rPr>
        <w:t> </w:t>
      </w:r>
      <w:bookmarkStart w:id="35" w:name="OLE_LINK29"/>
      <w:r>
        <w:rPr>
          <w:rFonts w:hint="default" w:ascii="Times New Roman" w:hAnsi="Times New Roman" w:cs="Times New Roman"/>
          <w:sz w:val="21"/>
          <w:szCs w:val="21"/>
        </w:rPr>
        <w:t>Added predictive ability and reclassif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i</w:t>
      </w:r>
      <w:r>
        <w:rPr>
          <w:rFonts w:hint="default" w:ascii="Times New Roman" w:hAnsi="Times New Roman" w:cs="Times New Roman"/>
          <w:sz w:val="21"/>
          <w:szCs w:val="21"/>
        </w:rPr>
        <w:t xml:space="preserve">cation statistics of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METS-IR and TyG-BMI index in duration of A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F ≥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24 and &lt;24 months patients.</w:t>
      </w:r>
      <w:bookmarkEnd w:id="35"/>
    </w:p>
    <w:tbl>
      <w:tblPr>
        <w:tblStyle w:val="2"/>
        <w:tblpPr w:leftFromText="180" w:rightFromText="180" w:vertAnchor="page" w:horzAnchor="page" w:tblpX="234" w:tblpY="2397"/>
        <w:tblW w:w="1175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1"/>
        <w:gridCol w:w="2474"/>
        <w:gridCol w:w="1172"/>
        <w:gridCol w:w="2037"/>
        <w:gridCol w:w="983"/>
        <w:gridCol w:w="2116"/>
        <w:gridCol w:w="92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051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474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C-statistic </w:t>
            </w:r>
          </w:p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(95% CI)</w:t>
            </w: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21"/>
                <w:szCs w:val="21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</w:rPr>
              <w:t>value</w:t>
            </w:r>
          </w:p>
        </w:tc>
        <w:tc>
          <w:tcPr>
            <w:tcW w:w="2037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</w:rPr>
              <w:t>IDI (95% CI)</w:t>
            </w:r>
          </w:p>
        </w:tc>
        <w:tc>
          <w:tcPr>
            <w:tcW w:w="983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21"/>
                <w:szCs w:val="21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</w:rPr>
              <w:t>value</w:t>
            </w:r>
          </w:p>
        </w:tc>
        <w:tc>
          <w:tcPr>
            <w:tcW w:w="2116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Continuous </w:t>
            </w:r>
          </w:p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</w:rPr>
              <w:t>NRI (95% CI)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21"/>
                <w:szCs w:val="21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</w:rPr>
              <w:t>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17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AF patients with </w:t>
            </w:r>
            <w:bookmarkStart w:id="36" w:name="OLE_LINK14"/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duration of AF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≥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24 months</w:t>
            </w:r>
            <w:bookmarkEnd w:id="36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Baseline risk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 xml:space="preserve">model 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440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69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(0.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66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33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Reference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Reference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Reference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+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METS-IR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 xml:space="preserve"> 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0.7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23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(0.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89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440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24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48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(0.0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23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72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0.002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191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(0.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108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253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0.002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+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TyG-BMI index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0.7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2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(0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87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56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440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0.0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38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53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(0.0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28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081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&lt;0.001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212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(0.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122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274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17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AF patients with duration of AF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&lt; 24 months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Baseline risk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 xml:space="preserve">model 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440" w:rightChars="0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81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(0.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49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714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Reference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Reference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Reference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bookmarkStart w:id="37" w:name="OLE_LINK10" w:colFirst="3" w:colLast="4"/>
            <w:bookmarkStart w:id="38" w:name="OLE_LINK16" w:colFirst="5" w:colLast="6"/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+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METS-IR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 xml:space="preserve"> 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684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(0.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51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17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440" w:rightChars="0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525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004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18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669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068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49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34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244</w:t>
            </w:r>
          </w:p>
        </w:tc>
      </w:tr>
      <w:bookmarkEnd w:id="37"/>
      <w:bookmarkEnd w:id="38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05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+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TyG-BMI index</w:t>
            </w:r>
          </w:p>
        </w:tc>
        <w:tc>
          <w:tcPr>
            <w:tcW w:w="247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86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(0.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53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71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117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440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392</w:t>
            </w:r>
          </w:p>
        </w:tc>
        <w:tc>
          <w:tcPr>
            <w:tcW w:w="203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007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0.0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23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300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094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06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61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068</w:t>
            </w:r>
          </w:p>
        </w:tc>
      </w:tr>
    </w:tbl>
    <w:p>
      <w:pP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AF,atrial fibrillation;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CI, conf</w:t>
      </w:r>
      <w:r>
        <w:rPr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dence interval; IDI, integrated discrimination improvement; METS-IR, metabolic score for insulin resistance; NRI, net reclassification improvement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TyG-BMI, triglyceride glucose-body mass</w:t>
      </w:r>
      <w:r>
        <w:rPr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index</w:t>
      </w:r>
    </w:p>
    <w:p>
      <w:pPr>
        <w:rPr>
          <w:rFonts w:hint="default" w:ascii="Times New Roman" w:hAnsi="Times New Roman" w:cs="Times New Roman" w:eastAsia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Baseline risk model: age, sex, body mass index, current drinking, hyperlipidemia, coronary heart disease, diabetes mellitus, AF type, fasting blood glucose, HbA1c, left atrial diameter, platelet, CHA</w:t>
      </w:r>
      <w:r>
        <w:rPr>
          <w:rFonts w:hint="eastAsia" w:ascii="Times New Roman" w:hAnsi="Times New Roman" w:cs="Times New Roman"/>
          <w:color w:val="000000" w:themeColor="text1"/>
          <w:sz w:val="21"/>
          <w:szCs w:val="21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DS</w:t>
      </w:r>
      <w:r>
        <w:rPr>
          <w:rFonts w:hint="eastAsia" w:ascii="Times New Roman" w:hAnsi="Times New Roman" w:cs="Times New Roman"/>
          <w:color w:val="000000" w:themeColor="text1"/>
          <w:sz w:val="21"/>
          <w:szCs w:val="21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-VASc</w:t>
      </w:r>
      <w:r>
        <w:rPr>
          <w:rFonts w:hint="eastAsia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t xml:space="preserve"> score</w:t>
      </w:r>
    </w:p>
    <w:p>
      <w:pPr>
        <w:rPr>
          <w:rFonts w:hint="default" w:ascii="Times New Roman" w:hAnsi="Times New Roman" w:cs="Times New Roman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xNThiYWJlM2ViNjYxNDgzOWM0ZDBhNTVmYWVjNDcifQ=="/>
  </w:docVars>
  <w:rsids>
    <w:rsidRoot w:val="25D65952"/>
    <w:rsid w:val="000C1FF9"/>
    <w:rsid w:val="01875DDB"/>
    <w:rsid w:val="04643E49"/>
    <w:rsid w:val="07C95915"/>
    <w:rsid w:val="090C438D"/>
    <w:rsid w:val="090D3914"/>
    <w:rsid w:val="09AB63DF"/>
    <w:rsid w:val="0D254ADF"/>
    <w:rsid w:val="101570EA"/>
    <w:rsid w:val="103F1C8A"/>
    <w:rsid w:val="10EA0878"/>
    <w:rsid w:val="12C50987"/>
    <w:rsid w:val="139F1C4E"/>
    <w:rsid w:val="15A1202C"/>
    <w:rsid w:val="15E03730"/>
    <w:rsid w:val="160F1CB0"/>
    <w:rsid w:val="16AE750E"/>
    <w:rsid w:val="16B9101D"/>
    <w:rsid w:val="18C86FAE"/>
    <w:rsid w:val="1C275D99"/>
    <w:rsid w:val="1DF04C6C"/>
    <w:rsid w:val="1E3B0DA8"/>
    <w:rsid w:val="1E4D585F"/>
    <w:rsid w:val="1FEF495C"/>
    <w:rsid w:val="210E5779"/>
    <w:rsid w:val="215E19DD"/>
    <w:rsid w:val="235B0632"/>
    <w:rsid w:val="23ED0036"/>
    <w:rsid w:val="25D65952"/>
    <w:rsid w:val="273E6A95"/>
    <w:rsid w:val="280020B8"/>
    <w:rsid w:val="28FF08B2"/>
    <w:rsid w:val="29641F18"/>
    <w:rsid w:val="2B8D0828"/>
    <w:rsid w:val="2C7E4871"/>
    <w:rsid w:val="2F9C21A2"/>
    <w:rsid w:val="30C64045"/>
    <w:rsid w:val="32213D76"/>
    <w:rsid w:val="3586779E"/>
    <w:rsid w:val="36AD0447"/>
    <w:rsid w:val="381E409C"/>
    <w:rsid w:val="38726196"/>
    <w:rsid w:val="394B006F"/>
    <w:rsid w:val="3C626817"/>
    <w:rsid w:val="3C9A11D3"/>
    <w:rsid w:val="3D401324"/>
    <w:rsid w:val="3D7028C6"/>
    <w:rsid w:val="3DF23895"/>
    <w:rsid w:val="3EB70D45"/>
    <w:rsid w:val="3FCF0141"/>
    <w:rsid w:val="3FD41A7F"/>
    <w:rsid w:val="40120093"/>
    <w:rsid w:val="40C7442F"/>
    <w:rsid w:val="415A2337"/>
    <w:rsid w:val="423B3A9C"/>
    <w:rsid w:val="429D0DB9"/>
    <w:rsid w:val="434D7F2B"/>
    <w:rsid w:val="482A03A8"/>
    <w:rsid w:val="483A673E"/>
    <w:rsid w:val="496222B6"/>
    <w:rsid w:val="498E3281"/>
    <w:rsid w:val="4DC91047"/>
    <w:rsid w:val="4FA15887"/>
    <w:rsid w:val="4FC44AB1"/>
    <w:rsid w:val="51F73D90"/>
    <w:rsid w:val="528B637A"/>
    <w:rsid w:val="5302488E"/>
    <w:rsid w:val="59D83D12"/>
    <w:rsid w:val="5CC606DB"/>
    <w:rsid w:val="5D8F0AF4"/>
    <w:rsid w:val="5F5C03C6"/>
    <w:rsid w:val="61E138C1"/>
    <w:rsid w:val="639B3E4E"/>
    <w:rsid w:val="639C57BD"/>
    <w:rsid w:val="64F32289"/>
    <w:rsid w:val="66C7196C"/>
    <w:rsid w:val="68E25001"/>
    <w:rsid w:val="6B923E7E"/>
    <w:rsid w:val="6E87317F"/>
    <w:rsid w:val="6ECA57CB"/>
    <w:rsid w:val="71C01745"/>
    <w:rsid w:val="75F901D7"/>
    <w:rsid w:val="76CD220E"/>
    <w:rsid w:val="787F44B9"/>
    <w:rsid w:val="7C390A5C"/>
    <w:rsid w:val="7D575C62"/>
    <w:rsid w:val="7D852387"/>
    <w:rsid w:val="7F6E20C0"/>
    <w:rsid w:val="7FE2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1142</Words>
  <Characters>7242</Characters>
  <Lines>0</Lines>
  <Paragraphs>0</Paragraphs>
  <TotalTime>82</TotalTime>
  <ScaleCrop>false</ScaleCrop>
  <LinksUpToDate>false</LinksUpToDate>
  <CharactersWithSpaces>8204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2023-12-20T09:26:00Z</dcterms:created>
  <dc:creator>wang</dc:creator>
  <cp:lastModifiedBy>wang</cp:lastModifiedBy>
  <dcterms:modified xsi:type="dcterms:W3CDTF">2024-02-06T10:40:11Z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D3F289641E114C54827CB8F50D83D3D4_11</vt:lpwstr>
  </property>
</Properties>
</file>