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Materials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Table 1.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Cox proportional hazard ratios for ACM at ICU and in-hospital.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5"/>
        <w:gridCol w:w="2478"/>
        <w:gridCol w:w="1501"/>
        <w:gridCol w:w="1725"/>
        <w:gridCol w:w="2512"/>
        <w:gridCol w:w="1501"/>
        <w:gridCol w:w="1729"/>
        <w:gridCol w:w="2364"/>
        <w:gridCol w:w="1501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Categories</w:t>
            </w:r>
          </w:p>
        </w:tc>
        <w:tc>
          <w:tcPr>
            <w:tcW w:w="1349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Model 1</w:t>
            </w:r>
          </w:p>
        </w:tc>
        <w:tc>
          <w:tcPr>
            <w:tcW w:w="1358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</w:tc>
        <w:tc>
          <w:tcPr>
            <w:tcW w:w="132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Model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  <w:vMerge w:val="continue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i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ICU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Continues variable Per unit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1.22(0.92-1.61)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0.167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1.32(0.98-1.77)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1.31(0.96-1.79)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Quartile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0.470</w:t>
            </w: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0.247</w:t>
            </w: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Q1(N=369)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Q2(N=367)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0.89(0.48-1.63)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0.698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0.88(0.48-1.62)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0.681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0.92(0.50-1.71)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0.797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Q3(N=369)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0.87(0.48-1.57)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0.641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0.91(0.50-1.67)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0.769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0.95(0.52-1.76)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0.871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Q4(N=370)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1.24(0.72-2.12)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0.435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1.39(0.80-2.42)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0.246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1.40(0.77-2.54)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0.273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In-hospital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Continues variable Per unit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1.21(0.97-1.51)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0.085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1.32(1.05-1.66)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1.29(1.01-1.64)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Quartile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0.261</w:t>
            </w: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0.153</w:t>
            </w: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Q1(N=369)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Q2(N=367)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1.15(0.73-1.84)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0.546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1.17(0.73-1.85)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0.517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1.18(0.74-1.89)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0.483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Q3(N=369)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0.86(0.52-1.41)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0.544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0.95(0.57-1.59)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0.853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0.93(0.55-1.57)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0.773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Q4(N=370)</w:t>
            </w:r>
          </w:p>
        </w:tc>
        <w:tc>
          <w:tcPr>
            <w:tcW w:w="586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1.32(0.84-2.06)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0.232</w:t>
            </w:r>
          </w:p>
        </w:tc>
        <w:tc>
          <w:tcPr>
            <w:tcW w:w="407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1.50(0.94-2.37)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  <w:tc>
          <w:tcPr>
            <w:tcW w:w="408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1.40(0.87-2.26)</w:t>
            </w:r>
          </w:p>
        </w:tc>
        <w:tc>
          <w:tcPr>
            <w:tcW w:w="355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0.165</w:t>
            </w:r>
          </w:p>
        </w:tc>
        <w:tc>
          <w:tcPr>
            <w:tcW w:w="410" w:type="pct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Times New Roman Un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HR: hazard ratio; CI: confidence interval; ACM: all-cause mortality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; ICU: intensive care unit. Model 1: Unadjusted;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djusted age, sex, and ethnicity; Model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: adjusted age, sex, ethnicity, hypertension, diabetes, RF, liver disease, and IVH.</w:t>
      </w: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Figure 1.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Kaplan-Meier survival analysis curves for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(A)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ICU and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(B)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in-hospital ACM.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363845" cy="3576320"/>
            <wp:effectExtent l="0" t="0" r="8255" b="5080"/>
            <wp:docPr id="1" name="图片 1" descr="km icu mort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m icu mortalit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150485" cy="3434715"/>
            <wp:effectExtent l="0" t="0" r="5715" b="6985"/>
            <wp:docPr id="2" name="图片 2" descr="km inhos mort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km inhos mortalit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6746" w:firstLineChars="2400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                                                (B)</w:t>
      </w:r>
    </w:p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ACM: all-cause mortality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; ICU: intensive care unit.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Figure 2.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Restricted cubic spline curve for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(A)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ICU and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(B)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in-hospital ACM.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3515" cy="3510280"/>
            <wp:effectExtent l="0" t="0" r="6985" b="7620"/>
            <wp:docPr id="3" name="图片 3" descr="RCS icu mort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CS icu mortali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9230" cy="3513455"/>
            <wp:effectExtent l="0" t="0" r="1270" b="4445"/>
            <wp:docPr id="4" name="图片 4" descr="RCS inhos mort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CS inhos mortalit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6440" w:firstLineChars="2300"/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                  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(B)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  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HR, hazard ratio; CI, confidence interval; TyG index, triglyceride-glucose index; ACM: all-cause mortality; ICU: intensive care unit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.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Figure 3.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Forest plots of hazard ratios for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(A)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ICU and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in-hospital ACM in different subgroups.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125595" cy="3288665"/>
            <wp:effectExtent l="0" t="0" r="8255" b="6985"/>
            <wp:docPr id="7" name="图片 7" descr="森林图 i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森林图 icu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559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129405" cy="3290570"/>
            <wp:effectExtent l="0" t="0" r="4445" b="5080"/>
            <wp:docPr id="8" name="图片 8" descr="森林图 in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森林图 inho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firstLine="5903" w:firstLineChars="2100"/>
        <w:jc w:val="left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                                                        (B)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HR, hazard ratio; CI, confidence interval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</w:rPr>
        <w:t>ACM: all-cause mortality.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 xml:space="preserve"> HRs were adjusted for age, sex, ethnicity, hypertension, diabetes, RF, liver disease, and IVH.</w:t>
      </w:r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Uni">
    <w:altName w:val="宋体"/>
    <w:panose1 w:val="02020603050405020304"/>
    <w:charset w:val="86"/>
    <w:family w:val="roman"/>
    <w:pitch w:val="default"/>
    <w:sig w:usb0="00000000" w:usb1="00000000" w:usb2="0000003E" w:usb3="00000000" w:csb0="001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FBF59A"/>
    <w:multiLevelType w:val="singleLevel"/>
    <w:tmpl w:val="8EFBF59A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BBF91291"/>
    <w:multiLevelType w:val="singleLevel"/>
    <w:tmpl w:val="BBF91291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F99052F3"/>
    <w:multiLevelType w:val="singleLevel"/>
    <w:tmpl w:val="F99052F3"/>
    <w:lvl w:ilvl="0" w:tentative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kZTc0ZmEzZjE0NTkxMGE4OWE1ZGNkNWI4Mjg4NDQifQ=="/>
  </w:docVars>
  <w:rsids>
    <w:rsidRoot w:val="6A354621"/>
    <w:rsid w:val="30EF11CD"/>
    <w:rsid w:val="41BB153F"/>
    <w:rsid w:val="4D332FDA"/>
    <w:rsid w:val="6A35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2024-02-01T03:01:00Z</dcterms:created>
  <dc:creator>Huang Yongwei</dc:creator>
  <cp:lastModifiedBy>Huang Yongwei</cp:lastModifiedBy>
  <dcterms:modified xsi:type="dcterms:W3CDTF">2024-03-07T14:40:16Z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E9E7EE35DDAD432DB85015010BACBDC5_11</vt:lpwstr>
  </property>
</Properties>
</file>