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5D318B" w14:textId="3432DF27" w:rsidR="00875D55" w:rsidRPr="00DF0CD5" w:rsidRDefault="00AB4FB6">
      <w:pPr>
        <w:adjustRightInd w:val="0"/>
        <w:ind w:firstLineChars="0"/>
        <w:jc w:val="center"/>
        <w:rPr>
          <w:b/>
          <w:bCs/>
          <w:color w:val="000000" w:themeColor="text1"/>
          <w:sz w:val="28"/>
          <w:szCs w:val="28"/>
        </w:rPr>
      </w:pPr>
      <w:r w:rsidRPr="00DF0CD5">
        <w:rPr>
          <w:b/>
          <w:bCs/>
          <w:color w:val="000000" w:themeColor="text1"/>
        </w:rPr>
        <w:t>Additional</w:t>
      </w:r>
      <w:r w:rsidR="006A6E5C" w:rsidRPr="00DF0CD5">
        <w:rPr>
          <w:b/>
          <w:bCs/>
          <w:color w:val="000000" w:themeColor="text1"/>
          <w:sz w:val="28"/>
          <w:szCs w:val="28"/>
        </w:rPr>
        <w:t xml:space="preserve"> file</w:t>
      </w:r>
      <w:r w:rsidR="006A6E5C" w:rsidRPr="00DF0CD5">
        <w:rPr>
          <w:rFonts w:hint="eastAsia"/>
          <w:b/>
          <w:bCs/>
          <w:color w:val="000000" w:themeColor="text1"/>
          <w:sz w:val="28"/>
          <w:szCs w:val="28"/>
        </w:rPr>
        <w:t>s</w:t>
      </w:r>
    </w:p>
    <w:p w14:paraId="1E429D94" w14:textId="77777777" w:rsidR="00875D55" w:rsidRPr="00DF0CD5" w:rsidRDefault="006A6E5C">
      <w:pPr>
        <w:adjustRightInd w:val="0"/>
        <w:ind w:firstLineChars="0"/>
        <w:rPr>
          <w:b/>
          <w:bCs/>
          <w:color w:val="000000" w:themeColor="text1"/>
        </w:rPr>
      </w:pPr>
      <w:r w:rsidRPr="00DF0CD5">
        <w:rPr>
          <w:b/>
          <w:bCs/>
          <w:color w:val="000000" w:themeColor="text1"/>
        </w:rPr>
        <w:t>Materials and methods</w:t>
      </w:r>
    </w:p>
    <w:p w14:paraId="7CA408CF" w14:textId="77777777" w:rsidR="00875D55" w:rsidRPr="00DF0CD5" w:rsidRDefault="006A6E5C">
      <w:pPr>
        <w:adjustRightInd w:val="0"/>
        <w:ind w:firstLineChars="0"/>
        <w:rPr>
          <w:b/>
          <w:bCs/>
          <w:color w:val="000000" w:themeColor="text1"/>
        </w:rPr>
      </w:pPr>
      <w:r w:rsidRPr="00DF0CD5">
        <w:rPr>
          <w:b/>
          <w:bCs/>
          <w:color w:val="000000" w:themeColor="text1"/>
        </w:rPr>
        <w:t>Sample size calcul</w:t>
      </w:r>
      <w:bookmarkStart w:id="0" w:name="_GoBack"/>
      <w:bookmarkEnd w:id="0"/>
      <w:r w:rsidRPr="00DF0CD5">
        <w:rPr>
          <w:b/>
          <w:bCs/>
          <w:color w:val="000000" w:themeColor="text1"/>
        </w:rPr>
        <w:t>ation</w:t>
      </w:r>
    </w:p>
    <w:p w14:paraId="3BF2E96E" w14:textId="77777777" w:rsidR="00875D55" w:rsidRPr="00DF0CD5" w:rsidRDefault="006A6E5C">
      <w:pPr>
        <w:adjustRightInd w:val="0"/>
        <w:ind w:firstLine="480"/>
        <w:rPr>
          <w:color w:val="000000" w:themeColor="text1"/>
        </w:rPr>
      </w:pPr>
      <w:r w:rsidRPr="00DF0CD5">
        <w:rPr>
          <w:color w:val="000000" w:themeColor="text1"/>
        </w:rPr>
        <w:t>Sample size was estimated using a previously published study sequenced oral-gut microbiota and the outcome were cardiovascular outcomes[1]. To achieve a minimum correlation coefficient of 0.25 (r=0.25), 5% significance level (α=0.05), and 80% test power (β=0.2) in correlation analyses, a sample size of 123 was required.</w:t>
      </w:r>
    </w:p>
    <w:p w14:paraId="70F20117" w14:textId="77777777" w:rsidR="00875D55" w:rsidRPr="00DF0CD5" w:rsidRDefault="006A6E5C">
      <w:pPr>
        <w:adjustRightInd w:val="0"/>
        <w:ind w:firstLineChars="0"/>
        <w:contextualSpacing/>
        <w:rPr>
          <w:b/>
          <w:bCs/>
          <w:color w:val="000000" w:themeColor="text1"/>
        </w:rPr>
      </w:pPr>
      <w:r w:rsidRPr="00DF0CD5">
        <w:rPr>
          <w:b/>
          <w:bCs/>
          <w:color w:val="000000" w:themeColor="text1"/>
        </w:rPr>
        <w:t>Diagnosis Criteria</w:t>
      </w:r>
    </w:p>
    <w:p w14:paraId="0F20D149" w14:textId="77777777" w:rsidR="00875D55" w:rsidRPr="00DF0CD5" w:rsidRDefault="006A6E5C">
      <w:pPr>
        <w:adjustRightInd w:val="0"/>
        <w:ind w:firstLine="480"/>
        <w:contextualSpacing/>
        <w:rPr>
          <w:snapToGrid w:val="0"/>
          <w:color w:val="000000" w:themeColor="text1"/>
        </w:rPr>
      </w:pPr>
      <w:r w:rsidRPr="00DF0CD5">
        <w:rPr>
          <w:snapToGrid w:val="0"/>
          <w:color w:val="000000" w:themeColor="text1"/>
        </w:rPr>
        <w:t>Diabetes diagnosis criteria refer to the "Classification and Diagnosis of Diabetes: Standards of Medical Care in 2021"[2]</w:t>
      </w:r>
      <w:r w:rsidRPr="00DF0CD5">
        <w:rPr>
          <w:snapToGrid w:val="0"/>
          <w:color w:val="000000" w:themeColor="text1"/>
        </w:rPr>
        <w:t>：</w:t>
      </w:r>
    </w:p>
    <w:p w14:paraId="79098FCB" w14:textId="77777777" w:rsidR="00875D55" w:rsidRPr="00DF0CD5" w:rsidRDefault="006A6E5C">
      <w:pPr>
        <w:adjustRightInd w:val="0"/>
        <w:ind w:firstLine="480"/>
        <w:contextualSpacing/>
        <w:rPr>
          <w:snapToGrid w:val="0"/>
          <w:color w:val="000000" w:themeColor="text1"/>
        </w:rPr>
      </w:pPr>
      <w:r w:rsidRPr="00DF0CD5">
        <w:rPr>
          <w:snapToGrid w:val="0"/>
          <w:color w:val="000000" w:themeColor="text1"/>
        </w:rPr>
        <w:t>1. Individuals with typical symptoms of diabetes and a glycated hemoglobin (HbA1c) level ≥ 6.5%.</w:t>
      </w:r>
    </w:p>
    <w:p w14:paraId="7EDE5A60" w14:textId="77777777" w:rsidR="00875D55" w:rsidRPr="00DF0CD5" w:rsidRDefault="006A6E5C">
      <w:pPr>
        <w:adjustRightInd w:val="0"/>
        <w:ind w:firstLine="480"/>
        <w:contextualSpacing/>
        <w:rPr>
          <w:snapToGrid w:val="0"/>
          <w:color w:val="000000" w:themeColor="text1"/>
        </w:rPr>
      </w:pPr>
      <w:r w:rsidRPr="00DF0CD5">
        <w:rPr>
          <w:snapToGrid w:val="0"/>
          <w:color w:val="000000" w:themeColor="text1"/>
        </w:rPr>
        <w:t>2. Individuals with typical symptoms of diabetes and a fasting blood glucose level ≥ 7.0 mmol/L and/or a random blood glucose level ≥ 11.1 mmol/L.</w:t>
      </w:r>
    </w:p>
    <w:p w14:paraId="333E09FD" w14:textId="77777777" w:rsidR="00875D55" w:rsidRPr="00DF0CD5" w:rsidRDefault="006A6E5C">
      <w:pPr>
        <w:adjustRightInd w:val="0"/>
        <w:ind w:firstLine="480"/>
        <w:contextualSpacing/>
        <w:rPr>
          <w:snapToGrid w:val="0"/>
          <w:color w:val="000000" w:themeColor="text1"/>
        </w:rPr>
      </w:pPr>
      <w:r w:rsidRPr="00DF0CD5">
        <w:rPr>
          <w:snapToGrid w:val="0"/>
          <w:color w:val="000000" w:themeColor="text1"/>
        </w:rPr>
        <w:t>3. Individuals with a history of diabetes and currently using antidiabetic medications.</w:t>
      </w:r>
    </w:p>
    <w:p w14:paraId="6E120526" w14:textId="77777777" w:rsidR="00875D55" w:rsidRPr="00DF0CD5" w:rsidRDefault="006A6E5C">
      <w:pPr>
        <w:adjustRightInd w:val="0"/>
        <w:ind w:firstLine="480"/>
        <w:rPr>
          <w:snapToGrid w:val="0"/>
          <w:color w:val="000000" w:themeColor="text1"/>
        </w:rPr>
      </w:pPr>
      <w:r w:rsidRPr="00DF0CD5">
        <w:rPr>
          <w:snapToGrid w:val="0"/>
          <w:color w:val="000000" w:themeColor="text1"/>
        </w:rPr>
        <w:t>The diagnosis of coronary heart disease follows the guidelines from the American College of Cardiology/American Heart Association Working Group on "Stable Ischemic Heart Disease Diagnosis and Management (2012)"[3]. Participants should conform to specific subtypes of stable coronary heart disease:</w:t>
      </w:r>
    </w:p>
    <w:p w14:paraId="445C85A1" w14:textId="77777777" w:rsidR="00875D55" w:rsidRPr="00DF0CD5" w:rsidRDefault="006A6E5C">
      <w:pPr>
        <w:adjustRightInd w:val="0"/>
        <w:ind w:firstLineChars="0" w:firstLine="480"/>
        <w:rPr>
          <w:snapToGrid w:val="0"/>
          <w:color w:val="000000" w:themeColor="text1"/>
        </w:rPr>
      </w:pPr>
      <w:r w:rsidRPr="00DF0CD5">
        <w:rPr>
          <w:snapToGrid w:val="0"/>
          <w:color w:val="000000" w:themeColor="text1"/>
        </w:rPr>
        <w:t>1. Coronary angiography indicates at least one coronary artery with &gt;50% stenosis or has undergone coronary revascularization (including percutaneous coronary intervention and/or coronary artery bypass grafting).</w:t>
      </w:r>
    </w:p>
    <w:p w14:paraId="2C7F5106" w14:textId="77777777" w:rsidR="00875D55" w:rsidRPr="00DF0CD5" w:rsidRDefault="006A6E5C">
      <w:pPr>
        <w:adjustRightInd w:val="0"/>
        <w:ind w:firstLine="480"/>
        <w:rPr>
          <w:snapToGrid w:val="0"/>
          <w:color w:val="000000" w:themeColor="text1"/>
        </w:rPr>
      </w:pPr>
      <w:r w:rsidRPr="00DF0CD5">
        <w:rPr>
          <w:snapToGrid w:val="0"/>
          <w:color w:val="000000" w:themeColor="text1"/>
        </w:rPr>
        <w:t>2. History of previous acute coronary syndrome (ACS).[4, 5].</w:t>
      </w:r>
    </w:p>
    <w:p w14:paraId="2B541D5C" w14:textId="77777777" w:rsidR="00875D55" w:rsidRPr="00DF0CD5" w:rsidRDefault="006A6E5C">
      <w:pPr>
        <w:adjustRightInd w:val="0"/>
        <w:ind w:firstLineChars="0"/>
        <w:rPr>
          <w:b/>
          <w:bCs/>
          <w:color w:val="000000" w:themeColor="text1"/>
        </w:rPr>
      </w:pPr>
      <w:r w:rsidRPr="00DF0CD5">
        <w:rPr>
          <w:b/>
          <w:bCs/>
          <w:color w:val="000000" w:themeColor="text1"/>
        </w:rPr>
        <w:t>Inclusion and exclusion criteria</w:t>
      </w:r>
    </w:p>
    <w:p w14:paraId="54F72584" w14:textId="77777777" w:rsidR="00875D55" w:rsidRPr="00DF0CD5" w:rsidRDefault="006A6E5C">
      <w:pPr>
        <w:adjustRightInd w:val="0"/>
        <w:ind w:firstLine="480"/>
        <w:rPr>
          <w:b/>
          <w:bCs/>
          <w:color w:val="000000" w:themeColor="text1"/>
        </w:rPr>
      </w:pPr>
      <w:r w:rsidRPr="00DF0CD5">
        <w:rPr>
          <w:color w:val="000000" w:themeColor="text1"/>
        </w:rPr>
        <w:t>Participants with any of these conditions were excluded: 1. Acute myocardial infarction, congenital heart disease, severe cardiac dysfunction (NYHA class ≥Ⅲ), uncontrolled severe hypertension (systolic blood pressure ≥180 mmHg and/or diastolic blood pressure ≥110 mmHg), Patients with grade Ⅱ or above type Ⅱ sinus or atrioventricular block without pacemaker implantation, difficult to control malignant arrhythmia, pulmonary embolism, severe valvular disease, etc; 2. lack of teeth (less than 20 teeth) or associated with severe oral diseases, chronic diarrhea or severe constipation of the digestive tract;3.patients with severe respiratory system, nervous system, hematological system, autoimmune diseases and malignant tumors; 4. severe liver and kidney dysfunction (alanine aminotransferase and/or aspartate aminotransferase 3 times higher than normal, creatinine higher than normal); 5. patients with severe trauma, infection or surgical operation history in the past month;6. use of antibiotics and probiotic products within 3 months; 7. those who were participating in other clinical trials.</w:t>
      </w:r>
    </w:p>
    <w:p w14:paraId="286723A7" w14:textId="77777777" w:rsidR="00875D55" w:rsidRPr="00DF0CD5" w:rsidRDefault="006A6E5C">
      <w:pPr>
        <w:adjustRightInd w:val="0"/>
        <w:ind w:firstLineChars="0"/>
        <w:rPr>
          <w:b/>
          <w:bCs/>
          <w:color w:val="000000" w:themeColor="text1"/>
        </w:rPr>
      </w:pPr>
      <w:r w:rsidRPr="00DF0CD5">
        <w:rPr>
          <w:b/>
          <w:bCs/>
          <w:color w:val="000000" w:themeColor="text1"/>
        </w:rPr>
        <w:t>Phenotyping and metadata collection</w:t>
      </w:r>
    </w:p>
    <w:p w14:paraId="17CF8A53" w14:textId="77777777" w:rsidR="00875D55" w:rsidRPr="00DF0CD5" w:rsidRDefault="006A6E5C">
      <w:pPr>
        <w:adjustRightInd w:val="0"/>
        <w:ind w:firstLine="480"/>
        <w:rPr>
          <w:color w:val="000000" w:themeColor="text1"/>
        </w:rPr>
      </w:pPr>
      <w:r w:rsidRPr="00DF0CD5">
        <w:rPr>
          <w:color w:val="000000" w:themeColor="text1"/>
        </w:rPr>
        <w:t>The clinical data collected in this study encompass comprehensive demographic information, medical history, history of diabetes and statin use, and severity of coronary artery atherosclerotic lesions. Resting heart rate and blood pressure were measured, with blood pressure obtained from the left side while the subject was in a sitting position. Smoking history was defined as smoking ≥1 cigarette per day, continuously or cumulatively for more than 6 months; recent smoking history was defined as an average of ≥1 cigarette per day over the past 3 months. Alcohol history was defined as consuming &gt;50 g of alcohol per day.</w:t>
      </w:r>
    </w:p>
    <w:p w14:paraId="0FFA3EAA" w14:textId="77777777" w:rsidR="00875D55" w:rsidRPr="00DF0CD5" w:rsidRDefault="006A6E5C">
      <w:pPr>
        <w:adjustRightInd w:val="0"/>
        <w:ind w:firstLine="480"/>
        <w:rPr>
          <w:color w:val="000000" w:themeColor="text1"/>
        </w:rPr>
      </w:pPr>
      <w:r w:rsidRPr="00DF0CD5">
        <w:rPr>
          <w:color w:val="000000" w:themeColor="text1"/>
        </w:rPr>
        <w:t>Blood Sample Collection: Peripheral venous blood was drawn in the morning on an empty stomach. The measured parameters included complete Systolic Blood Pressure (SBP), Diastolic Blood Pressure (DBP), triglycerides(TG), cholesterol (TC), high-density lipoprotein cholesterol (HDL-C), low-density lipoprotein cholesterol (LDL-C),alanine aminotransferase (ALT), aspartate aminotransferase (AST), creatinine (Cr), blood urea nitrogen (BUN), uric acid (UA), fasting blood glucose (FBG), glycated hemoglobin (HBA1c), creatine kinase-MB (cTnT), N-terminal pro-B-type natriuretic peptide (NTproBNP), etc. After blood collection, the samples were immediately sent to the laboratory for analysis.</w:t>
      </w:r>
    </w:p>
    <w:p w14:paraId="0E42AF31" w14:textId="77777777" w:rsidR="00875D55" w:rsidRPr="00DF0CD5" w:rsidRDefault="006A6E5C">
      <w:pPr>
        <w:adjustRightInd w:val="0"/>
        <w:ind w:firstLine="480"/>
        <w:rPr>
          <w:color w:val="000000" w:themeColor="text1"/>
        </w:rPr>
      </w:pPr>
      <w:r w:rsidRPr="00DF0CD5">
        <w:rPr>
          <w:color w:val="000000" w:themeColor="text1"/>
        </w:rPr>
        <w:t>Oral Microbiota Collection[6]: Use a swab to collect a sample of the patient's tongue coating. In the morning, before the patient eats or drinks, scrape the swab from the base to the tip of the tongue, rolling the swab 30 times. Place the swab into an EP tube containing 1 mL of phosphate-buffered saline (PBS), gently agitate to elute the tongue coating microbiota from the swab. Repeat the process with a new swab two more times to ensure thorough collection of the tongue coating sample. After collection, centrifuge (10000×g, 4 ℃, 15 min), gently absorb and discard the supernatant, and retain the precipitate as the sample. Freeze rapidly in liquid nitrogen and store at -80 ℃ until analysis.</w:t>
      </w:r>
    </w:p>
    <w:p w14:paraId="2F479D74" w14:textId="77777777" w:rsidR="00875D55" w:rsidRPr="00DF0CD5" w:rsidRDefault="006A6E5C">
      <w:pPr>
        <w:adjustRightInd w:val="0"/>
        <w:ind w:firstLine="480"/>
        <w:rPr>
          <w:color w:val="000000" w:themeColor="text1"/>
        </w:rPr>
      </w:pPr>
      <w:r w:rsidRPr="00DF0CD5">
        <w:rPr>
          <w:color w:val="000000" w:themeColor="text1"/>
        </w:rPr>
        <w:t>Intestinal Microbiota Collection [7]: Use a sterile fecal collector to collect the sample. The subject will excrete feces into a clean container, taking care to avoid contamination from urine, toilet bowl surfaces, etc. Collect the sample immediately after defecation, preferably obtaining feces from the posterior part, and trying to collect feces from the inner side of the middle part. Place the fecal sample into a sterile EP tube. Freeze the sample in liquid nitrogen within 2 hours of collection and store at -80 ℃ until analysis.</w:t>
      </w:r>
    </w:p>
    <w:p w14:paraId="20EF2632" w14:textId="36FE37F5" w:rsidR="00B31BF6" w:rsidRPr="00DF0CD5" w:rsidRDefault="00B31BF6" w:rsidP="00B31BF6">
      <w:pPr>
        <w:adjustRightInd w:val="0"/>
        <w:ind w:firstLineChars="0"/>
        <w:rPr>
          <w:b/>
          <w:bCs/>
          <w:color w:val="000000" w:themeColor="text1"/>
        </w:rPr>
      </w:pPr>
      <w:r w:rsidRPr="00DF0CD5">
        <w:rPr>
          <w:b/>
          <w:bCs/>
          <w:color w:val="000000" w:themeColor="text1"/>
        </w:rPr>
        <w:t xml:space="preserve">DNA library construction and sequencing </w:t>
      </w:r>
    </w:p>
    <w:p w14:paraId="11DCB0D3" w14:textId="77777777" w:rsidR="00875D55" w:rsidRPr="00DF0CD5" w:rsidRDefault="006A6E5C">
      <w:pPr>
        <w:adjustRightInd w:val="0"/>
        <w:ind w:firstLine="480"/>
        <w:rPr>
          <w:b/>
          <w:bCs/>
          <w:color w:val="000000" w:themeColor="text1"/>
        </w:rPr>
      </w:pPr>
      <w:r w:rsidRPr="00DF0CD5">
        <w:rPr>
          <w:color w:val="000000" w:themeColor="text1"/>
        </w:rPr>
        <w:t>The genomic DNA was randomly sheared into short fragments. The obtained fragments were end repaired, A-tailed and further ligated with Illumina adapter. The fragments with adapters were PCR amplified, size selected, and purified. The library was checked with Qubit and real-time PCR for quantification and bioanalyzer for size distribution detection. Quantified libraries will be pooled and sequenced on Illumina platforms, according to effective library concentration and data amount required.</w:t>
      </w:r>
    </w:p>
    <w:p w14:paraId="39C2C0C4" w14:textId="77777777" w:rsidR="00875D55" w:rsidRPr="00DF0CD5" w:rsidRDefault="006A6E5C">
      <w:pPr>
        <w:adjustRightInd w:val="0"/>
        <w:ind w:firstLineChars="0"/>
        <w:rPr>
          <w:b/>
          <w:bCs/>
          <w:color w:val="000000" w:themeColor="text1"/>
        </w:rPr>
      </w:pPr>
      <w:r w:rsidRPr="00DF0CD5">
        <w:rPr>
          <w:b/>
          <w:bCs/>
          <w:color w:val="000000" w:themeColor="text1"/>
        </w:rPr>
        <w:t>Metagenome sequencing and analysis</w:t>
      </w:r>
    </w:p>
    <w:p w14:paraId="2B525761" w14:textId="05945966" w:rsidR="00875D55" w:rsidRPr="00DF0CD5" w:rsidRDefault="00024DC1">
      <w:pPr>
        <w:adjustRightInd w:val="0"/>
        <w:ind w:firstLine="480"/>
        <w:contextualSpacing/>
        <w:rPr>
          <w:snapToGrid w:val="0"/>
          <w:color w:val="000000" w:themeColor="text1"/>
        </w:rPr>
      </w:pPr>
      <w:r w:rsidRPr="00DF0CD5">
        <w:rPr>
          <w:snapToGrid w:val="0"/>
          <w:color w:val="000000" w:themeColor="text1"/>
        </w:rPr>
        <w:t>Low-quality raw paired-end reads and adapters were removed using trim-galore v0.5.0 (q &gt; 20) and cut-adapter v1.11 (PMID: 28715235). Filtered high-quality reads were aligned to the human genome assembly (hg38) using Bowtie2 v2.1.0 (</w:t>
      </w:r>
      <w:r w:rsidR="00495C6D" w:rsidRPr="00DF0CD5">
        <w:rPr>
          <w:snapToGrid w:val="0"/>
          <w:color w:val="000000" w:themeColor="text1"/>
        </w:rPr>
        <w:t>PMID: 22388286</w:t>
      </w:r>
      <w:r w:rsidRPr="00DF0CD5">
        <w:rPr>
          <w:snapToGrid w:val="0"/>
          <w:color w:val="000000" w:themeColor="text1"/>
        </w:rPr>
        <w:t>) for de-human contamination. The unaligned paired-end reads were merged</w:t>
      </w:r>
      <w:r w:rsidR="006A6E5C" w:rsidRPr="00DF0CD5">
        <w:rPr>
          <w:snapToGrid w:val="0"/>
          <w:color w:val="000000" w:themeColor="text1"/>
        </w:rPr>
        <w:t>, based on the ChocoPhlAn database, species composition annotation was performed using MetaPhlAn3 to obtain species abundance tables. Functional annotation was performed using HUMANN3 to obtain the MetaCyc pathway[8] and Gene family abundance table, and the KEGG abundance table was obtained based on the Gene family abundance table using the humann regroup table command. From the abundance table at each taxonomic level, the number of annotated genes was counted and the functional comparison between groups was performed.</w:t>
      </w:r>
    </w:p>
    <w:p w14:paraId="10EEDBFD" w14:textId="4C46E86D" w:rsidR="00875D55" w:rsidRPr="00DF0CD5" w:rsidRDefault="00495C6D">
      <w:pPr>
        <w:adjustRightInd w:val="0"/>
        <w:ind w:firstLine="480"/>
        <w:rPr>
          <w:color w:val="000000" w:themeColor="text1"/>
        </w:rPr>
      </w:pPr>
      <w:r w:rsidRPr="00DF0CD5">
        <w:rPr>
          <w:color w:val="000000" w:themeColor="text1"/>
        </w:rPr>
        <w:t>Metabolic pathways</w:t>
      </w:r>
      <w:r w:rsidR="006A6E5C" w:rsidRPr="00DF0CD5">
        <w:rPr>
          <w:color w:val="000000" w:themeColor="text1"/>
        </w:rPr>
        <w:t xml:space="preserve"> were tested </w:t>
      </w:r>
      <w:r w:rsidRPr="00DF0CD5">
        <w:rPr>
          <w:color w:val="000000" w:themeColor="text1"/>
        </w:rPr>
        <w:t xml:space="preserve">using Mann-Whitney U test </w:t>
      </w:r>
      <w:r w:rsidR="006A6E5C" w:rsidRPr="00DF0CD5">
        <w:rPr>
          <w:color w:val="000000" w:themeColor="text1"/>
        </w:rPr>
        <w:t>and visualized by corrplot R package. Correlations between species were analyzed using Spearman correlation. When multiple comparisons were performed, Benja mini-Hochberg corrected p-values were used.</w:t>
      </w:r>
    </w:p>
    <w:p w14:paraId="367A31C8" w14:textId="77777777" w:rsidR="00875D55" w:rsidRPr="00DF0CD5" w:rsidRDefault="006A6E5C">
      <w:pPr>
        <w:adjustRightInd w:val="0"/>
        <w:ind w:firstLineChars="0"/>
        <w:rPr>
          <w:b/>
          <w:bCs/>
          <w:color w:val="000000" w:themeColor="text1"/>
        </w:rPr>
      </w:pPr>
      <w:r w:rsidRPr="00DF0CD5">
        <w:rPr>
          <w:b/>
          <w:bCs/>
          <w:color w:val="000000" w:themeColor="text1"/>
        </w:rPr>
        <w:t>qPCR sequencing primer sequence in validation cohort</w:t>
      </w:r>
    </w:p>
    <w:p w14:paraId="08D49A54" w14:textId="77777777" w:rsidR="00875D55" w:rsidRPr="00DF0CD5" w:rsidRDefault="006A6E5C">
      <w:pPr>
        <w:adjustRightInd w:val="0"/>
        <w:ind w:firstLineChars="0"/>
        <w:rPr>
          <w:b/>
          <w:bCs/>
          <w:color w:val="000000" w:themeColor="text1"/>
        </w:rPr>
      </w:pPr>
      <w:r w:rsidRPr="00DF0CD5">
        <w:rPr>
          <w:b/>
          <w:bCs/>
          <w:color w:val="000000" w:themeColor="text1"/>
        </w:rPr>
        <w:t>Table1. Primer design</w:t>
      </w:r>
    </w:p>
    <w:tbl>
      <w:tblPr>
        <w:tblStyle w:val="3"/>
        <w:tblW w:w="8873" w:type="dxa"/>
        <w:tblLayout w:type="fixed"/>
        <w:tblLook w:val="04A0" w:firstRow="1" w:lastRow="0" w:firstColumn="1" w:lastColumn="0" w:noHBand="0" w:noVBand="1"/>
      </w:tblPr>
      <w:tblGrid>
        <w:gridCol w:w="2746"/>
        <w:gridCol w:w="2216"/>
        <w:gridCol w:w="3911"/>
      </w:tblGrid>
      <w:tr w:rsidR="00DF0CD5" w:rsidRPr="00DF0CD5" w14:paraId="250AF317" w14:textId="77777777" w:rsidTr="00875D55">
        <w:trPr>
          <w:cnfStyle w:val="100000000000" w:firstRow="1" w:lastRow="0" w:firstColumn="0" w:lastColumn="0" w:oddVBand="0" w:evenVBand="0" w:oddHBand="0" w:evenHBand="0" w:firstRowFirstColumn="0" w:firstRowLastColumn="0" w:lastRowFirstColumn="0" w:lastRowLastColumn="0"/>
          <w:trHeight w:val="171"/>
        </w:trPr>
        <w:tc>
          <w:tcPr>
            <w:tcW w:w="2746" w:type="dxa"/>
          </w:tcPr>
          <w:p w14:paraId="5F3145BB" w14:textId="77777777" w:rsidR="00875D55" w:rsidRPr="00DF0CD5" w:rsidRDefault="006A6E5C">
            <w:pPr>
              <w:pStyle w:val="a2"/>
              <w:rPr>
                <w:b/>
                <w:bCs/>
                <w:color w:val="000000" w:themeColor="text1"/>
                <w:szCs w:val="24"/>
              </w:rPr>
            </w:pPr>
            <w:r w:rsidRPr="00DF0CD5">
              <w:rPr>
                <w:b/>
                <w:bCs/>
                <w:color w:val="000000" w:themeColor="text1"/>
                <w:szCs w:val="24"/>
                <w:lang w:bidi="ar"/>
              </w:rPr>
              <w:t>Full name of primer</w:t>
            </w:r>
            <w:r w:rsidRPr="00DF0CD5">
              <w:rPr>
                <w:b/>
                <w:bCs/>
                <w:color w:val="000000" w:themeColor="text1"/>
                <w:szCs w:val="24"/>
              </w:rPr>
              <w:t>s</w:t>
            </w:r>
          </w:p>
        </w:tc>
        <w:tc>
          <w:tcPr>
            <w:tcW w:w="6127" w:type="dxa"/>
            <w:gridSpan w:val="2"/>
          </w:tcPr>
          <w:p w14:paraId="004D0023" w14:textId="77777777" w:rsidR="00875D55" w:rsidRPr="00DF0CD5" w:rsidRDefault="006A6E5C">
            <w:pPr>
              <w:pStyle w:val="a2"/>
              <w:rPr>
                <w:color w:val="000000" w:themeColor="text1"/>
                <w:szCs w:val="24"/>
              </w:rPr>
            </w:pPr>
            <w:r w:rsidRPr="00DF0CD5">
              <w:rPr>
                <w:b/>
                <w:bCs/>
                <w:color w:val="000000" w:themeColor="text1"/>
                <w:szCs w:val="24"/>
              </w:rPr>
              <w:t>Primer sequence</w:t>
            </w:r>
            <w:r w:rsidRPr="00DF0CD5">
              <w:rPr>
                <w:b/>
                <w:bCs/>
                <w:color w:val="000000" w:themeColor="text1"/>
                <w:szCs w:val="24"/>
              </w:rPr>
              <w:t>（</w:t>
            </w:r>
            <w:r w:rsidRPr="00DF0CD5">
              <w:rPr>
                <w:b/>
                <w:bCs/>
                <w:color w:val="000000" w:themeColor="text1"/>
                <w:szCs w:val="24"/>
              </w:rPr>
              <w:t>5' to 3'</w:t>
            </w:r>
            <w:r w:rsidRPr="00DF0CD5">
              <w:rPr>
                <w:b/>
                <w:bCs/>
                <w:color w:val="000000" w:themeColor="text1"/>
                <w:szCs w:val="24"/>
              </w:rPr>
              <w:t>）</w:t>
            </w:r>
          </w:p>
        </w:tc>
      </w:tr>
      <w:tr w:rsidR="00DF0CD5" w:rsidRPr="00DF0CD5" w14:paraId="40AF4323" w14:textId="77777777" w:rsidTr="00875D55">
        <w:trPr>
          <w:trHeight w:val="317"/>
        </w:trPr>
        <w:tc>
          <w:tcPr>
            <w:tcW w:w="2746" w:type="dxa"/>
          </w:tcPr>
          <w:p w14:paraId="301C91EC" w14:textId="77777777" w:rsidR="00875D55" w:rsidRPr="00DF0CD5" w:rsidRDefault="006A6E5C">
            <w:pPr>
              <w:pStyle w:val="a2"/>
              <w:rPr>
                <w:i/>
                <w:iCs/>
                <w:color w:val="000000" w:themeColor="text1"/>
                <w:szCs w:val="24"/>
              </w:rPr>
            </w:pPr>
            <w:r w:rsidRPr="00DF0CD5">
              <w:rPr>
                <w:i/>
                <w:iCs/>
                <w:color w:val="000000" w:themeColor="text1"/>
                <w:szCs w:val="24"/>
              </w:rPr>
              <w:t>Fusobacterium nucleatum</w:t>
            </w:r>
          </w:p>
        </w:tc>
        <w:tc>
          <w:tcPr>
            <w:tcW w:w="2216" w:type="dxa"/>
          </w:tcPr>
          <w:p w14:paraId="5316E76B" w14:textId="77777777" w:rsidR="00875D55" w:rsidRPr="00DF0CD5" w:rsidRDefault="006A6E5C">
            <w:pPr>
              <w:pStyle w:val="a2"/>
              <w:rPr>
                <w:color w:val="000000" w:themeColor="text1"/>
                <w:szCs w:val="24"/>
              </w:rPr>
            </w:pPr>
            <w:r w:rsidRPr="00DF0CD5">
              <w:rPr>
                <w:color w:val="000000" w:themeColor="text1"/>
                <w:szCs w:val="24"/>
              </w:rPr>
              <w:t>upstream primer</w:t>
            </w:r>
          </w:p>
        </w:tc>
        <w:tc>
          <w:tcPr>
            <w:tcW w:w="3911" w:type="dxa"/>
          </w:tcPr>
          <w:p w14:paraId="30B8E829" w14:textId="77777777" w:rsidR="00875D55" w:rsidRPr="00DF0CD5" w:rsidRDefault="006A6E5C">
            <w:pPr>
              <w:pStyle w:val="a2"/>
              <w:rPr>
                <w:color w:val="000000" w:themeColor="text1"/>
                <w:szCs w:val="24"/>
              </w:rPr>
            </w:pPr>
            <w:r w:rsidRPr="00DF0CD5">
              <w:rPr>
                <w:color w:val="000000" w:themeColor="text1"/>
                <w:szCs w:val="24"/>
              </w:rPr>
              <w:t>CAACCATTACTTTAACTCTACCATGTTCA</w:t>
            </w:r>
          </w:p>
        </w:tc>
      </w:tr>
      <w:tr w:rsidR="00DF0CD5" w:rsidRPr="00DF0CD5" w14:paraId="0C3A5079" w14:textId="77777777" w:rsidTr="00875D55">
        <w:trPr>
          <w:trHeight w:val="317"/>
        </w:trPr>
        <w:tc>
          <w:tcPr>
            <w:tcW w:w="2746" w:type="dxa"/>
          </w:tcPr>
          <w:p w14:paraId="1EAF722E" w14:textId="77777777" w:rsidR="00875D55" w:rsidRPr="00DF0CD5" w:rsidRDefault="006A6E5C">
            <w:pPr>
              <w:pStyle w:val="a2"/>
              <w:rPr>
                <w:i/>
                <w:iCs/>
                <w:color w:val="000000" w:themeColor="text1"/>
                <w:szCs w:val="24"/>
              </w:rPr>
            </w:pPr>
            <w:r w:rsidRPr="00DF0CD5">
              <w:rPr>
                <w:i/>
                <w:iCs/>
                <w:color w:val="000000" w:themeColor="text1"/>
                <w:szCs w:val="24"/>
              </w:rPr>
              <w:t>Fusobacterium nucleatum</w:t>
            </w:r>
          </w:p>
        </w:tc>
        <w:tc>
          <w:tcPr>
            <w:tcW w:w="2216" w:type="dxa"/>
          </w:tcPr>
          <w:p w14:paraId="4BBC07BB" w14:textId="77777777" w:rsidR="00875D55" w:rsidRPr="00DF0CD5" w:rsidRDefault="006A6E5C">
            <w:pPr>
              <w:pStyle w:val="a2"/>
              <w:rPr>
                <w:color w:val="000000" w:themeColor="text1"/>
                <w:szCs w:val="24"/>
              </w:rPr>
            </w:pPr>
            <w:r w:rsidRPr="00DF0CD5">
              <w:rPr>
                <w:color w:val="000000" w:themeColor="text1"/>
                <w:szCs w:val="24"/>
              </w:rPr>
              <w:t>downstream primer</w:t>
            </w:r>
          </w:p>
        </w:tc>
        <w:tc>
          <w:tcPr>
            <w:tcW w:w="3911" w:type="dxa"/>
          </w:tcPr>
          <w:p w14:paraId="0781738B" w14:textId="77777777" w:rsidR="00875D55" w:rsidRPr="00DF0CD5" w:rsidRDefault="006A6E5C">
            <w:pPr>
              <w:pStyle w:val="a2"/>
              <w:rPr>
                <w:color w:val="000000" w:themeColor="text1"/>
                <w:szCs w:val="24"/>
              </w:rPr>
            </w:pPr>
            <w:r w:rsidRPr="00DF0CD5">
              <w:rPr>
                <w:color w:val="000000" w:themeColor="text1"/>
                <w:szCs w:val="24"/>
              </w:rPr>
              <w:t>GTTGACTTTACAGAAGGAGATTATGTAAAAATC</w:t>
            </w:r>
          </w:p>
        </w:tc>
      </w:tr>
      <w:tr w:rsidR="00DF0CD5" w:rsidRPr="00DF0CD5" w14:paraId="49E5CA5D" w14:textId="77777777" w:rsidTr="00875D55">
        <w:trPr>
          <w:trHeight w:val="317"/>
        </w:trPr>
        <w:tc>
          <w:tcPr>
            <w:tcW w:w="2746" w:type="dxa"/>
          </w:tcPr>
          <w:p w14:paraId="342DF58B" w14:textId="77777777" w:rsidR="00875D55" w:rsidRPr="00DF0CD5" w:rsidRDefault="006A6E5C">
            <w:pPr>
              <w:pStyle w:val="a2"/>
              <w:rPr>
                <w:i/>
                <w:iCs/>
                <w:color w:val="000000" w:themeColor="text1"/>
                <w:szCs w:val="24"/>
              </w:rPr>
            </w:pPr>
            <w:r w:rsidRPr="00DF0CD5">
              <w:rPr>
                <w:i/>
                <w:iCs/>
                <w:color w:val="000000" w:themeColor="text1"/>
                <w:szCs w:val="24"/>
              </w:rPr>
              <w:t>Latcobacillus</w:t>
            </w:r>
          </w:p>
        </w:tc>
        <w:tc>
          <w:tcPr>
            <w:tcW w:w="2216" w:type="dxa"/>
          </w:tcPr>
          <w:p w14:paraId="6231A930" w14:textId="77777777" w:rsidR="00875D55" w:rsidRPr="00DF0CD5" w:rsidRDefault="006A6E5C">
            <w:pPr>
              <w:pStyle w:val="a2"/>
              <w:rPr>
                <w:color w:val="000000" w:themeColor="text1"/>
                <w:szCs w:val="24"/>
              </w:rPr>
            </w:pPr>
            <w:r w:rsidRPr="00DF0CD5">
              <w:rPr>
                <w:color w:val="000000" w:themeColor="text1"/>
                <w:szCs w:val="24"/>
              </w:rPr>
              <w:t>upstream primer</w:t>
            </w:r>
          </w:p>
        </w:tc>
        <w:tc>
          <w:tcPr>
            <w:tcW w:w="3911" w:type="dxa"/>
          </w:tcPr>
          <w:p w14:paraId="26349285" w14:textId="77777777" w:rsidR="00875D55" w:rsidRPr="00DF0CD5" w:rsidRDefault="006A6E5C">
            <w:pPr>
              <w:pStyle w:val="a2"/>
              <w:rPr>
                <w:color w:val="000000" w:themeColor="text1"/>
                <w:szCs w:val="24"/>
              </w:rPr>
            </w:pPr>
            <w:r w:rsidRPr="00DF0CD5">
              <w:rPr>
                <w:color w:val="000000" w:themeColor="text1"/>
                <w:szCs w:val="24"/>
              </w:rPr>
              <w:t>GAGGCAGCAGTAGGGAATCTTC</w:t>
            </w:r>
          </w:p>
        </w:tc>
      </w:tr>
      <w:tr w:rsidR="00DF0CD5" w:rsidRPr="00DF0CD5" w14:paraId="542B7AFA" w14:textId="77777777" w:rsidTr="00875D55">
        <w:trPr>
          <w:trHeight w:val="317"/>
        </w:trPr>
        <w:tc>
          <w:tcPr>
            <w:tcW w:w="2746" w:type="dxa"/>
          </w:tcPr>
          <w:p w14:paraId="0F9127A8" w14:textId="77777777" w:rsidR="00875D55" w:rsidRPr="00DF0CD5" w:rsidRDefault="006A6E5C">
            <w:pPr>
              <w:pStyle w:val="a2"/>
              <w:rPr>
                <w:i/>
                <w:iCs/>
                <w:color w:val="000000" w:themeColor="text1"/>
                <w:szCs w:val="24"/>
              </w:rPr>
            </w:pPr>
            <w:r w:rsidRPr="00DF0CD5">
              <w:rPr>
                <w:i/>
                <w:iCs/>
                <w:color w:val="000000" w:themeColor="text1"/>
                <w:szCs w:val="24"/>
              </w:rPr>
              <w:t>Latcobacillus</w:t>
            </w:r>
          </w:p>
        </w:tc>
        <w:tc>
          <w:tcPr>
            <w:tcW w:w="2216" w:type="dxa"/>
          </w:tcPr>
          <w:p w14:paraId="4EAB11A7" w14:textId="77777777" w:rsidR="00875D55" w:rsidRPr="00DF0CD5" w:rsidRDefault="006A6E5C">
            <w:pPr>
              <w:pStyle w:val="a2"/>
              <w:rPr>
                <w:color w:val="000000" w:themeColor="text1"/>
                <w:szCs w:val="24"/>
              </w:rPr>
            </w:pPr>
            <w:r w:rsidRPr="00DF0CD5">
              <w:rPr>
                <w:color w:val="000000" w:themeColor="text1"/>
                <w:szCs w:val="24"/>
              </w:rPr>
              <w:t>downstream primer</w:t>
            </w:r>
          </w:p>
        </w:tc>
        <w:tc>
          <w:tcPr>
            <w:tcW w:w="3911" w:type="dxa"/>
          </w:tcPr>
          <w:p w14:paraId="13D1014C" w14:textId="77777777" w:rsidR="00875D55" w:rsidRPr="00DF0CD5" w:rsidRDefault="006A6E5C">
            <w:pPr>
              <w:pStyle w:val="a2"/>
              <w:rPr>
                <w:color w:val="000000" w:themeColor="text1"/>
                <w:szCs w:val="24"/>
              </w:rPr>
            </w:pPr>
            <w:r w:rsidRPr="00DF0CD5">
              <w:rPr>
                <w:color w:val="000000" w:themeColor="text1"/>
                <w:szCs w:val="24"/>
              </w:rPr>
              <w:t>GGCCAGTTACTACCTCTATCCTTCTTC</w:t>
            </w:r>
          </w:p>
        </w:tc>
      </w:tr>
      <w:tr w:rsidR="00DF0CD5" w:rsidRPr="00DF0CD5" w14:paraId="5310549B" w14:textId="77777777" w:rsidTr="00875D55">
        <w:trPr>
          <w:trHeight w:val="317"/>
        </w:trPr>
        <w:tc>
          <w:tcPr>
            <w:tcW w:w="2746" w:type="dxa"/>
          </w:tcPr>
          <w:p w14:paraId="2319B5C5" w14:textId="77777777" w:rsidR="00875D55" w:rsidRPr="00DF0CD5" w:rsidRDefault="006A6E5C">
            <w:pPr>
              <w:pStyle w:val="a2"/>
              <w:rPr>
                <w:i/>
                <w:iCs/>
                <w:color w:val="000000" w:themeColor="text1"/>
                <w:szCs w:val="24"/>
              </w:rPr>
            </w:pPr>
            <w:r w:rsidRPr="00DF0CD5">
              <w:rPr>
                <w:i/>
                <w:iCs/>
                <w:color w:val="000000" w:themeColor="text1"/>
                <w:szCs w:val="24"/>
              </w:rPr>
              <w:t>Eubacterium</w:t>
            </w:r>
          </w:p>
        </w:tc>
        <w:tc>
          <w:tcPr>
            <w:tcW w:w="2216" w:type="dxa"/>
          </w:tcPr>
          <w:p w14:paraId="2C5EFE17" w14:textId="77777777" w:rsidR="00875D55" w:rsidRPr="00DF0CD5" w:rsidRDefault="006A6E5C">
            <w:pPr>
              <w:pStyle w:val="a2"/>
              <w:rPr>
                <w:color w:val="000000" w:themeColor="text1"/>
                <w:szCs w:val="24"/>
              </w:rPr>
            </w:pPr>
            <w:r w:rsidRPr="00DF0CD5">
              <w:rPr>
                <w:color w:val="000000" w:themeColor="text1"/>
                <w:szCs w:val="24"/>
              </w:rPr>
              <w:t>upstream primer</w:t>
            </w:r>
          </w:p>
        </w:tc>
        <w:tc>
          <w:tcPr>
            <w:tcW w:w="3911" w:type="dxa"/>
          </w:tcPr>
          <w:p w14:paraId="534682AF" w14:textId="77777777" w:rsidR="00875D55" w:rsidRPr="00DF0CD5" w:rsidRDefault="006A6E5C">
            <w:pPr>
              <w:pStyle w:val="a2"/>
              <w:rPr>
                <w:color w:val="000000" w:themeColor="text1"/>
                <w:szCs w:val="24"/>
              </w:rPr>
            </w:pPr>
            <w:r w:rsidRPr="00DF0CD5">
              <w:rPr>
                <w:color w:val="000000" w:themeColor="text1"/>
                <w:szCs w:val="24"/>
              </w:rPr>
              <w:t>CGGTACCTGACTAAGAAGC</w:t>
            </w:r>
          </w:p>
        </w:tc>
      </w:tr>
      <w:tr w:rsidR="00DF0CD5" w:rsidRPr="00DF0CD5" w14:paraId="4E59EBA9" w14:textId="77777777" w:rsidTr="00875D55">
        <w:trPr>
          <w:trHeight w:val="317"/>
        </w:trPr>
        <w:tc>
          <w:tcPr>
            <w:tcW w:w="2746" w:type="dxa"/>
          </w:tcPr>
          <w:p w14:paraId="348AA0C4" w14:textId="77777777" w:rsidR="00875D55" w:rsidRPr="00DF0CD5" w:rsidRDefault="006A6E5C">
            <w:pPr>
              <w:pStyle w:val="a2"/>
              <w:rPr>
                <w:i/>
                <w:iCs/>
                <w:color w:val="000000" w:themeColor="text1"/>
                <w:szCs w:val="24"/>
              </w:rPr>
            </w:pPr>
            <w:r w:rsidRPr="00DF0CD5">
              <w:rPr>
                <w:i/>
                <w:iCs/>
                <w:color w:val="000000" w:themeColor="text1"/>
                <w:szCs w:val="24"/>
              </w:rPr>
              <w:t>Eubacterium</w:t>
            </w:r>
          </w:p>
        </w:tc>
        <w:tc>
          <w:tcPr>
            <w:tcW w:w="2216" w:type="dxa"/>
          </w:tcPr>
          <w:p w14:paraId="45464C9B" w14:textId="77777777" w:rsidR="00875D55" w:rsidRPr="00DF0CD5" w:rsidRDefault="006A6E5C">
            <w:pPr>
              <w:pStyle w:val="a2"/>
              <w:rPr>
                <w:color w:val="000000" w:themeColor="text1"/>
                <w:szCs w:val="24"/>
              </w:rPr>
            </w:pPr>
            <w:r w:rsidRPr="00DF0CD5">
              <w:rPr>
                <w:color w:val="000000" w:themeColor="text1"/>
                <w:szCs w:val="24"/>
              </w:rPr>
              <w:t>downstream primer</w:t>
            </w:r>
          </w:p>
        </w:tc>
        <w:tc>
          <w:tcPr>
            <w:tcW w:w="3911" w:type="dxa"/>
          </w:tcPr>
          <w:p w14:paraId="34F5A223" w14:textId="77777777" w:rsidR="00875D55" w:rsidRPr="00DF0CD5" w:rsidRDefault="006A6E5C">
            <w:pPr>
              <w:pStyle w:val="a2"/>
              <w:rPr>
                <w:color w:val="000000" w:themeColor="text1"/>
                <w:szCs w:val="24"/>
              </w:rPr>
            </w:pPr>
            <w:r w:rsidRPr="00DF0CD5">
              <w:rPr>
                <w:color w:val="000000" w:themeColor="text1"/>
                <w:szCs w:val="24"/>
              </w:rPr>
              <w:t>AGTTTCATTCTTGCGAACG</w:t>
            </w:r>
          </w:p>
        </w:tc>
      </w:tr>
      <w:tr w:rsidR="00DF0CD5" w:rsidRPr="00DF0CD5" w14:paraId="4F4D10AE" w14:textId="77777777" w:rsidTr="00875D55">
        <w:trPr>
          <w:trHeight w:val="317"/>
        </w:trPr>
        <w:tc>
          <w:tcPr>
            <w:tcW w:w="2746" w:type="dxa"/>
          </w:tcPr>
          <w:p w14:paraId="6AB28F27" w14:textId="77777777" w:rsidR="00875D55" w:rsidRPr="00DF0CD5" w:rsidRDefault="006A6E5C">
            <w:pPr>
              <w:pStyle w:val="a2"/>
              <w:rPr>
                <w:i/>
                <w:iCs/>
                <w:color w:val="000000" w:themeColor="text1"/>
                <w:szCs w:val="24"/>
              </w:rPr>
            </w:pPr>
            <w:r w:rsidRPr="00DF0CD5">
              <w:rPr>
                <w:i/>
                <w:iCs/>
                <w:color w:val="000000" w:themeColor="text1"/>
                <w:szCs w:val="24"/>
              </w:rPr>
              <w:t>Eubacterium rectale</w:t>
            </w:r>
          </w:p>
        </w:tc>
        <w:tc>
          <w:tcPr>
            <w:tcW w:w="2216" w:type="dxa"/>
          </w:tcPr>
          <w:p w14:paraId="5F2AC66C" w14:textId="77777777" w:rsidR="00875D55" w:rsidRPr="00DF0CD5" w:rsidRDefault="006A6E5C">
            <w:pPr>
              <w:pStyle w:val="a2"/>
              <w:rPr>
                <w:color w:val="000000" w:themeColor="text1"/>
                <w:szCs w:val="24"/>
              </w:rPr>
            </w:pPr>
            <w:r w:rsidRPr="00DF0CD5">
              <w:rPr>
                <w:color w:val="000000" w:themeColor="text1"/>
                <w:szCs w:val="24"/>
              </w:rPr>
              <w:t>upstream primer</w:t>
            </w:r>
          </w:p>
        </w:tc>
        <w:tc>
          <w:tcPr>
            <w:tcW w:w="3911" w:type="dxa"/>
          </w:tcPr>
          <w:p w14:paraId="070B15B9" w14:textId="77777777" w:rsidR="00875D55" w:rsidRPr="00DF0CD5" w:rsidRDefault="006A6E5C">
            <w:pPr>
              <w:pStyle w:val="a2"/>
              <w:rPr>
                <w:color w:val="000000" w:themeColor="text1"/>
                <w:szCs w:val="24"/>
              </w:rPr>
            </w:pPr>
            <w:r w:rsidRPr="00DF0CD5">
              <w:rPr>
                <w:color w:val="000000" w:themeColor="text1"/>
                <w:szCs w:val="24"/>
              </w:rPr>
              <w:t>CATTGCTTCTCGGTGCCGTC</w:t>
            </w:r>
          </w:p>
        </w:tc>
      </w:tr>
      <w:tr w:rsidR="00DF0CD5" w:rsidRPr="00DF0CD5" w14:paraId="5D3F8A54" w14:textId="77777777" w:rsidTr="00875D55">
        <w:trPr>
          <w:trHeight w:val="317"/>
        </w:trPr>
        <w:tc>
          <w:tcPr>
            <w:tcW w:w="2746" w:type="dxa"/>
          </w:tcPr>
          <w:p w14:paraId="5A85BF12" w14:textId="77777777" w:rsidR="00875D55" w:rsidRPr="00DF0CD5" w:rsidRDefault="006A6E5C">
            <w:pPr>
              <w:pStyle w:val="a2"/>
              <w:rPr>
                <w:i/>
                <w:iCs/>
                <w:color w:val="000000" w:themeColor="text1"/>
                <w:szCs w:val="24"/>
              </w:rPr>
            </w:pPr>
            <w:r w:rsidRPr="00DF0CD5">
              <w:rPr>
                <w:i/>
                <w:iCs/>
                <w:color w:val="000000" w:themeColor="text1"/>
                <w:szCs w:val="24"/>
              </w:rPr>
              <w:t>Eubacterium rectale</w:t>
            </w:r>
          </w:p>
        </w:tc>
        <w:tc>
          <w:tcPr>
            <w:tcW w:w="2216" w:type="dxa"/>
          </w:tcPr>
          <w:p w14:paraId="580009E7" w14:textId="77777777" w:rsidR="00875D55" w:rsidRPr="00DF0CD5" w:rsidRDefault="006A6E5C">
            <w:pPr>
              <w:pStyle w:val="a2"/>
              <w:rPr>
                <w:color w:val="000000" w:themeColor="text1"/>
                <w:szCs w:val="24"/>
              </w:rPr>
            </w:pPr>
            <w:r w:rsidRPr="00DF0CD5">
              <w:rPr>
                <w:color w:val="000000" w:themeColor="text1"/>
                <w:szCs w:val="24"/>
              </w:rPr>
              <w:t>downstream primer</w:t>
            </w:r>
          </w:p>
        </w:tc>
        <w:tc>
          <w:tcPr>
            <w:tcW w:w="3911" w:type="dxa"/>
          </w:tcPr>
          <w:p w14:paraId="1488C022" w14:textId="77777777" w:rsidR="00875D55" w:rsidRPr="00DF0CD5" w:rsidRDefault="006A6E5C">
            <w:pPr>
              <w:pStyle w:val="a2"/>
              <w:rPr>
                <w:color w:val="000000" w:themeColor="text1"/>
                <w:szCs w:val="24"/>
              </w:rPr>
            </w:pPr>
            <w:r w:rsidRPr="00DF0CD5">
              <w:rPr>
                <w:color w:val="000000" w:themeColor="text1"/>
                <w:szCs w:val="24"/>
              </w:rPr>
              <w:t>ATTTGCTCGGCTTCACAGCT</w:t>
            </w:r>
          </w:p>
        </w:tc>
      </w:tr>
    </w:tbl>
    <w:p w14:paraId="69AA9846" w14:textId="77777777" w:rsidR="00875D55" w:rsidRPr="00DF0CD5" w:rsidRDefault="006A6E5C">
      <w:pPr>
        <w:adjustRightInd w:val="0"/>
        <w:ind w:firstLineChars="0"/>
        <w:rPr>
          <w:b/>
          <w:bCs/>
          <w:color w:val="000000" w:themeColor="text1"/>
        </w:rPr>
      </w:pPr>
      <w:r w:rsidRPr="00DF0CD5">
        <w:rPr>
          <w:b/>
          <w:bCs/>
          <w:color w:val="000000" w:themeColor="text1"/>
        </w:rPr>
        <w:t>Animal modeling</w:t>
      </w:r>
    </w:p>
    <w:p w14:paraId="50A09483" w14:textId="1EE1CCB8" w:rsidR="00875D55" w:rsidRPr="00DF0CD5" w:rsidRDefault="006A6E5C">
      <w:pPr>
        <w:adjustRightInd w:val="0"/>
        <w:ind w:firstLineChars="0"/>
        <w:contextualSpacing/>
        <w:rPr>
          <w:b/>
          <w:bCs/>
          <w:color w:val="000000" w:themeColor="text1"/>
        </w:rPr>
      </w:pPr>
      <w:r w:rsidRPr="00DF0CD5">
        <w:rPr>
          <w:b/>
          <w:bCs/>
          <w:color w:val="000000" w:themeColor="text1"/>
        </w:rPr>
        <w:t xml:space="preserve">Diabetes </w:t>
      </w:r>
      <w:r w:rsidR="006267B6" w:rsidRPr="00DF0CD5">
        <w:rPr>
          <w:b/>
          <w:bCs/>
          <w:color w:val="000000" w:themeColor="text1"/>
        </w:rPr>
        <w:t>M</w:t>
      </w:r>
      <w:r w:rsidRPr="00DF0CD5">
        <w:rPr>
          <w:b/>
          <w:bCs/>
          <w:color w:val="000000" w:themeColor="text1"/>
        </w:rPr>
        <w:t>odeling</w:t>
      </w:r>
    </w:p>
    <w:p w14:paraId="3B6E52B0" w14:textId="77777777" w:rsidR="00875D55" w:rsidRPr="00DF0CD5" w:rsidRDefault="006A6E5C">
      <w:pPr>
        <w:adjustRightInd w:val="0"/>
        <w:ind w:firstLine="480"/>
        <w:rPr>
          <w:color w:val="000000" w:themeColor="text1"/>
        </w:rPr>
      </w:pPr>
      <w:r w:rsidRPr="00DF0CD5">
        <w:rPr>
          <w:color w:val="000000" w:themeColor="text1"/>
        </w:rPr>
        <w:t>C57BL/6J mice, maintained on a standard diet, were induced with diabetes by intraperitoneal injection of 50 mg/kg streptozotocin (STZ) for five consecutive days. Fasting blood glucose levels were monitored continuously for one week after induction. A fasting blood glucose level exceeding 200 mg/dL within the first week confirmed the successful establishment of the diabetes model[9, 10].</w:t>
      </w:r>
    </w:p>
    <w:p w14:paraId="1266EF66" w14:textId="7580C92B" w:rsidR="00875D55" w:rsidRPr="00DF0CD5" w:rsidRDefault="006A6E5C">
      <w:pPr>
        <w:adjustRightInd w:val="0"/>
        <w:ind w:firstLineChars="0"/>
        <w:contextualSpacing/>
        <w:rPr>
          <w:b/>
          <w:bCs/>
          <w:color w:val="000000" w:themeColor="text1"/>
        </w:rPr>
      </w:pPr>
      <w:r w:rsidRPr="00DF0CD5">
        <w:rPr>
          <w:b/>
          <w:bCs/>
          <w:color w:val="000000" w:themeColor="text1"/>
        </w:rPr>
        <w:t>Pseudo-sterile Model</w:t>
      </w:r>
      <w:r w:rsidR="006267B6" w:rsidRPr="00DF0CD5">
        <w:rPr>
          <w:rFonts w:hint="eastAsia"/>
          <w:b/>
          <w:bCs/>
          <w:color w:val="000000" w:themeColor="text1"/>
        </w:rPr>
        <w:t>ing</w:t>
      </w:r>
    </w:p>
    <w:p w14:paraId="11FADE25" w14:textId="77777777" w:rsidR="00875D55" w:rsidRPr="00DF0CD5" w:rsidRDefault="006A6E5C">
      <w:pPr>
        <w:adjustRightInd w:val="0"/>
        <w:ind w:firstLineChars="100" w:firstLine="240"/>
        <w:contextualSpacing/>
        <w:rPr>
          <w:color w:val="000000" w:themeColor="text1"/>
        </w:rPr>
      </w:pPr>
      <w:r w:rsidRPr="00DF0CD5">
        <w:rPr>
          <w:color w:val="000000" w:themeColor="text1"/>
        </w:rPr>
        <w:t>Broad-spectrum Antibiotic (ABX) Regimen: A solution containing ampicillin (1 g/L) (Shanghai Aladdin Biochemical Technology Co.,Ltd., China (A105483)), neomycin sulfate (1 g/L) (Sigma-Aldrich, USA (N6386)), metronidazole (1 g/L) (Sigma-Aldrich, USA (M1547)), and vancomycin (0.5 g/L) (Shanghai Aladdin Biochemical Technology Co.,Ltd., China (V105495)) was prepared. The solution was administered once daily via gavage for a duration of six weeks, prepared freshly each day[11].</w:t>
      </w:r>
    </w:p>
    <w:p w14:paraId="391B81AF" w14:textId="77777777" w:rsidR="00875D55" w:rsidRPr="00DF0CD5" w:rsidRDefault="006A6E5C">
      <w:pPr>
        <w:adjustRightInd w:val="0"/>
        <w:ind w:firstLineChars="0"/>
        <w:contextualSpacing/>
        <w:rPr>
          <w:b/>
          <w:bCs/>
          <w:color w:val="000000" w:themeColor="text1"/>
        </w:rPr>
      </w:pPr>
      <w:r w:rsidRPr="00DF0CD5">
        <w:rPr>
          <w:b/>
          <w:bCs/>
          <w:color w:val="000000" w:themeColor="text1"/>
        </w:rPr>
        <w:t>Preparation of Human Fecal Microbiota Suspension</w:t>
      </w:r>
    </w:p>
    <w:p w14:paraId="6F4AECAA" w14:textId="77777777" w:rsidR="00875D55" w:rsidRPr="00DF0CD5" w:rsidRDefault="006A6E5C">
      <w:pPr>
        <w:adjustRightInd w:val="0"/>
        <w:ind w:firstLine="480"/>
        <w:contextualSpacing/>
        <w:rPr>
          <w:color w:val="000000" w:themeColor="text1"/>
        </w:rPr>
      </w:pPr>
      <w:r w:rsidRPr="00DF0CD5">
        <w:rPr>
          <w:color w:val="000000" w:themeColor="text1"/>
        </w:rPr>
        <w:t>Fecal samples from 10 clinical patients* (≥1 g/sample) were combined. After mixing, the fecal material was resuspended in phosphate-buffered saline (PBS) at a 1:4 ratio and homogenized. The fecal suspension was centrifuged at 6000 g, 4 ℃ for 15 minutes, and the collected supernatant was considered the fecal microbiota suspension ready for transplantation.</w:t>
      </w:r>
    </w:p>
    <w:p w14:paraId="28662AA6" w14:textId="77777777" w:rsidR="00875D55" w:rsidRPr="00DF0CD5" w:rsidRDefault="006A6E5C">
      <w:pPr>
        <w:adjustRightInd w:val="0"/>
        <w:ind w:firstLine="480"/>
        <w:contextualSpacing/>
        <w:rPr>
          <w:color w:val="000000" w:themeColor="text1"/>
        </w:rPr>
      </w:pPr>
      <w:r w:rsidRPr="00DF0CD5">
        <w:rPr>
          <w:color w:val="000000" w:themeColor="text1"/>
        </w:rPr>
        <w:t>For randomization, fecal samples from the first part of the clinical study, specifically from DCHD patients (n=10), were combined to create a fecal mixture for Fecal Microbiota Transplantation (FMT). The inclusion and exclusion criteria for human donors, as well as the fecal collection method, were consistent with those in the discovery cohort.</w:t>
      </w:r>
    </w:p>
    <w:p w14:paraId="727EE391" w14:textId="77777777" w:rsidR="00875D55" w:rsidRPr="00DF0CD5" w:rsidRDefault="006A6E5C">
      <w:pPr>
        <w:adjustRightInd w:val="0"/>
        <w:ind w:firstLineChars="0"/>
        <w:contextualSpacing/>
        <w:rPr>
          <w:b/>
          <w:bCs/>
          <w:color w:val="000000" w:themeColor="text1"/>
        </w:rPr>
      </w:pPr>
      <w:r w:rsidRPr="00DF0CD5">
        <w:rPr>
          <w:b/>
          <w:bCs/>
          <w:color w:val="000000" w:themeColor="text1"/>
        </w:rPr>
        <w:t>Table 2. Characteristics of feacl microbiota transplantation donors.</w:t>
      </w:r>
    </w:p>
    <w:tbl>
      <w:tblPr>
        <w:tblStyle w:val="3"/>
        <w:tblW w:w="5000" w:type="pct"/>
        <w:tblLook w:val="04A0" w:firstRow="1" w:lastRow="0" w:firstColumn="1" w:lastColumn="0" w:noHBand="0" w:noVBand="1"/>
      </w:tblPr>
      <w:tblGrid>
        <w:gridCol w:w="2836"/>
        <w:gridCol w:w="5470"/>
      </w:tblGrid>
      <w:tr w:rsidR="00DF0CD5" w:rsidRPr="00DF0CD5" w14:paraId="1C630D8F" w14:textId="77777777" w:rsidTr="00875D55">
        <w:trPr>
          <w:cnfStyle w:val="100000000000" w:firstRow="1" w:lastRow="0" w:firstColumn="0" w:lastColumn="0" w:oddVBand="0" w:evenVBand="0" w:oddHBand="0" w:evenHBand="0" w:firstRowFirstColumn="0" w:firstRowLastColumn="0" w:lastRowFirstColumn="0" w:lastRowLastColumn="0"/>
          <w:trHeight w:val="510"/>
        </w:trPr>
        <w:tc>
          <w:tcPr>
            <w:tcW w:w="1707" w:type="pct"/>
          </w:tcPr>
          <w:p w14:paraId="08ED1389" w14:textId="77777777" w:rsidR="00875D55" w:rsidRPr="00DF0CD5" w:rsidRDefault="00875D55">
            <w:pPr>
              <w:pStyle w:val="a2"/>
              <w:rPr>
                <w:color w:val="000000" w:themeColor="text1"/>
                <w:szCs w:val="24"/>
              </w:rPr>
            </w:pPr>
          </w:p>
        </w:tc>
        <w:tc>
          <w:tcPr>
            <w:tcW w:w="3293" w:type="pct"/>
          </w:tcPr>
          <w:p w14:paraId="0A132AF1" w14:textId="77777777" w:rsidR="00875D55" w:rsidRPr="00DF0CD5" w:rsidRDefault="006A6E5C">
            <w:pPr>
              <w:pStyle w:val="a2"/>
              <w:rPr>
                <w:color w:val="000000" w:themeColor="text1"/>
                <w:szCs w:val="24"/>
              </w:rPr>
            </w:pPr>
            <w:r w:rsidRPr="00DF0CD5">
              <w:rPr>
                <w:b/>
                <w:bCs/>
                <w:color w:val="000000" w:themeColor="text1"/>
                <w:szCs w:val="24"/>
              </w:rPr>
              <w:t>Feacl microbiota transplantation donors N=10</w:t>
            </w:r>
          </w:p>
        </w:tc>
      </w:tr>
      <w:tr w:rsidR="00DF0CD5" w:rsidRPr="00DF0CD5" w14:paraId="5CFC33EF" w14:textId="77777777" w:rsidTr="00875D55">
        <w:trPr>
          <w:trHeight w:val="510"/>
        </w:trPr>
        <w:tc>
          <w:tcPr>
            <w:tcW w:w="1707" w:type="pct"/>
          </w:tcPr>
          <w:p w14:paraId="1F0BEEA8" w14:textId="77777777" w:rsidR="00875D55" w:rsidRPr="00DF0CD5" w:rsidRDefault="006A6E5C">
            <w:pPr>
              <w:pStyle w:val="a2"/>
              <w:rPr>
                <w:color w:val="000000" w:themeColor="text1"/>
                <w:szCs w:val="24"/>
              </w:rPr>
            </w:pPr>
            <w:r w:rsidRPr="00DF0CD5">
              <w:rPr>
                <w:color w:val="000000" w:themeColor="text1"/>
                <w:szCs w:val="24"/>
              </w:rPr>
              <w:t xml:space="preserve">Age, yrs </w:t>
            </w:r>
            <w:r w:rsidRPr="00DF0CD5">
              <w:rPr>
                <w:color w:val="000000" w:themeColor="text1"/>
                <w:szCs w:val="24"/>
                <w:vertAlign w:val="superscript"/>
              </w:rPr>
              <w:t>b</w:t>
            </w:r>
          </w:p>
        </w:tc>
        <w:tc>
          <w:tcPr>
            <w:tcW w:w="3293" w:type="pct"/>
          </w:tcPr>
          <w:p w14:paraId="27CF765A" w14:textId="77777777" w:rsidR="00875D55" w:rsidRPr="00DF0CD5" w:rsidRDefault="006A6E5C">
            <w:pPr>
              <w:pStyle w:val="a2"/>
              <w:rPr>
                <w:color w:val="000000" w:themeColor="text1"/>
                <w:szCs w:val="24"/>
              </w:rPr>
            </w:pPr>
            <w:r w:rsidRPr="00DF0CD5">
              <w:rPr>
                <w:color w:val="000000" w:themeColor="text1"/>
                <w:szCs w:val="24"/>
              </w:rPr>
              <w:t>66.5±10.85</w:t>
            </w:r>
          </w:p>
        </w:tc>
      </w:tr>
      <w:tr w:rsidR="00DF0CD5" w:rsidRPr="00DF0CD5" w14:paraId="4EADC8A7" w14:textId="77777777" w:rsidTr="00875D55">
        <w:trPr>
          <w:trHeight w:val="510"/>
        </w:trPr>
        <w:tc>
          <w:tcPr>
            <w:tcW w:w="1707" w:type="pct"/>
          </w:tcPr>
          <w:p w14:paraId="52613E7A" w14:textId="77777777" w:rsidR="00875D55" w:rsidRPr="00DF0CD5" w:rsidRDefault="006A6E5C">
            <w:pPr>
              <w:pStyle w:val="a2"/>
              <w:rPr>
                <w:color w:val="000000" w:themeColor="text1"/>
                <w:szCs w:val="24"/>
              </w:rPr>
            </w:pPr>
            <w:r w:rsidRPr="00DF0CD5">
              <w:rPr>
                <w:color w:val="000000" w:themeColor="text1"/>
                <w:szCs w:val="24"/>
              </w:rPr>
              <w:t xml:space="preserve">Gender, n (M/F) </w:t>
            </w:r>
            <w:r w:rsidRPr="00DF0CD5">
              <w:rPr>
                <w:color w:val="000000" w:themeColor="text1"/>
                <w:szCs w:val="24"/>
                <w:vertAlign w:val="superscript"/>
              </w:rPr>
              <w:t>c</w:t>
            </w:r>
          </w:p>
        </w:tc>
        <w:tc>
          <w:tcPr>
            <w:tcW w:w="3293" w:type="pct"/>
          </w:tcPr>
          <w:p w14:paraId="77A6A250" w14:textId="77777777" w:rsidR="00875D55" w:rsidRPr="00DF0CD5" w:rsidRDefault="006A6E5C">
            <w:pPr>
              <w:pStyle w:val="a2"/>
              <w:rPr>
                <w:color w:val="000000" w:themeColor="text1"/>
                <w:szCs w:val="24"/>
              </w:rPr>
            </w:pPr>
            <w:r w:rsidRPr="00DF0CD5">
              <w:rPr>
                <w:color w:val="000000" w:themeColor="text1"/>
                <w:szCs w:val="24"/>
              </w:rPr>
              <w:t>70%(7)</w:t>
            </w:r>
          </w:p>
        </w:tc>
      </w:tr>
      <w:tr w:rsidR="00DF0CD5" w:rsidRPr="00DF0CD5" w14:paraId="49AA788A" w14:textId="77777777" w:rsidTr="00875D55">
        <w:trPr>
          <w:trHeight w:val="510"/>
        </w:trPr>
        <w:tc>
          <w:tcPr>
            <w:tcW w:w="1707" w:type="pct"/>
          </w:tcPr>
          <w:p w14:paraId="7BF79697" w14:textId="77777777" w:rsidR="00875D55" w:rsidRPr="00DF0CD5" w:rsidRDefault="006A6E5C">
            <w:pPr>
              <w:pStyle w:val="a2"/>
              <w:rPr>
                <w:color w:val="000000" w:themeColor="text1"/>
                <w:szCs w:val="24"/>
              </w:rPr>
            </w:pPr>
            <w:r w:rsidRPr="00DF0CD5">
              <w:rPr>
                <w:color w:val="000000" w:themeColor="text1"/>
                <w:szCs w:val="24"/>
              </w:rPr>
              <w:t xml:space="preserve">SBP, mmHg </w:t>
            </w:r>
            <w:r w:rsidRPr="00DF0CD5">
              <w:rPr>
                <w:color w:val="000000" w:themeColor="text1"/>
                <w:szCs w:val="24"/>
                <w:vertAlign w:val="superscript"/>
              </w:rPr>
              <w:t>b</w:t>
            </w:r>
          </w:p>
        </w:tc>
        <w:tc>
          <w:tcPr>
            <w:tcW w:w="3293" w:type="pct"/>
          </w:tcPr>
          <w:p w14:paraId="64591C95" w14:textId="77777777" w:rsidR="00875D55" w:rsidRPr="00DF0CD5" w:rsidRDefault="006A6E5C">
            <w:pPr>
              <w:pStyle w:val="a2"/>
              <w:rPr>
                <w:color w:val="000000" w:themeColor="text1"/>
                <w:szCs w:val="24"/>
              </w:rPr>
            </w:pPr>
            <w:r w:rsidRPr="00DF0CD5">
              <w:rPr>
                <w:color w:val="000000" w:themeColor="text1"/>
                <w:szCs w:val="24"/>
              </w:rPr>
              <w:t>139.20±17.65</w:t>
            </w:r>
          </w:p>
        </w:tc>
      </w:tr>
      <w:tr w:rsidR="00DF0CD5" w:rsidRPr="00DF0CD5" w14:paraId="65D2902C" w14:textId="77777777" w:rsidTr="00875D55">
        <w:trPr>
          <w:trHeight w:val="510"/>
        </w:trPr>
        <w:tc>
          <w:tcPr>
            <w:tcW w:w="1707" w:type="pct"/>
          </w:tcPr>
          <w:p w14:paraId="2BDF1C01" w14:textId="77777777" w:rsidR="00875D55" w:rsidRPr="00DF0CD5" w:rsidRDefault="006A6E5C">
            <w:pPr>
              <w:pStyle w:val="a2"/>
              <w:rPr>
                <w:color w:val="000000" w:themeColor="text1"/>
                <w:szCs w:val="24"/>
              </w:rPr>
            </w:pPr>
            <w:r w:rsidRPr="00DF0CD5">
              <w:rPr>
                <w:color w:val="000000" w:themeColor="text1"/>
                <w:szCs w:val="24"/>
              </w:rPr>
              <w:t xml:space="preserve">DBP, mmHg </w:t>
            </w:r>
            <w:r w:rsidRPr="00DF0CD5">
              <w:rPr>
                <w:color w:val="000000" w:themeColor="text1"/>
                <w:szCs w:val="24"/>
                <w:vertAlign w:val="superscript"/>
              </w:rPr>
              <w:t>b</w:t>
            </w:r>
          </w:p>
        </w:tc>
        <w:tc>
          <w:tcPr>
            <w:tcW w:w="3293" w:type="pct"/>
          </w:tcPr>
          <w:p w14:paraId="29420BFC" w14:textId="77777777" w:rsidR="00875D55" w:rsidRPr="00DF0CD5" w:rsidRDefault="006A6E5C">
            <w:pPr>
              <w:pStyle w:val="a2"/>
              <w:rPr>
                <w:color w:val="000000" w:themeColor="text1"/>
                <w:szCs w:val="24"/>
              </w:rPr>
            </w:pPr>
            <w:r w:rsidRPr="00DF0CD5">
              <w:rPr>
                <w:color w:val="000000" w:themeColor="text1"/>
                <w:szCs w:val="24"/>
              </w:rPr>
              <w:t>82.40±17.28</w:t>
            </w:r>
          </w:p>
        </w:tc>
      </w:tr>
      <w:tr w:rsidR="00DF0CD5" w:rsidRPr="00DF0CD5" w14:paraId="4D79907B" w14:textId="77777777" w:rsidTr="00875D55">
        <w:trPr>
          <w:trHeight w:val="510"/>
        </w:trPr>
        <w:tc>
          <w:tcPr>
            <w:tcW w:w="1707" w:type="pct"/>
          </w:tcPr>
          <w:p w14:paraId="59F1C8B7" w14:textId="77777777" w:rsidR="00875D55" w:rsidRPr="00DF0CD5" w:rsidRDefault="006A6E5C">
            <w:pPr>
              <w:pStyle w:val="a2"/>
              <w:rPr>
                <w:color w:val="000000" w:themeColor="text1"/>
                <w:szCs w:val="24"/>
              </w:rPr>
            </w:pPr>
            <w:r w:rsidRPr="00DF0CD5">
              <w:rPr>
                <w:color w:val="000000" w:themeColor="text1"/>
                <w:szCs w:val="24"/>
              </w:rPr>
              <w:t xml:space="preserve">Heart rate, bpm </w:t>
            </w:r>
            <w:r w:rsidRPr="00DF0CD5">
              <w:rPr>
                <w:color w:val="000000" w:themeColor="text1"/>
                <w:szCs w:val="24"/>
                <w:vertAlign w:val="superscript"/>
              </w:rPr>
              <w:t>b</w:t>
            </w:r>
          </w:p>
        </w:tc>
        <w:tc>
          <w:tcPr>
            <w:tcW w:w="3293" w:type="pct"/>
          </w:tcPr>
          <w:p w14:paraId="2BAE016E" w14:textId="77777777" w:rsidR="00875D55" w:rsidRPr="00DF0CD5" w:rsidRDefault="006A6E5C">
            <w:pPr>
              <w:pStyle w:val="a2"/>
              <w:rPr>
                <w:color w:val="000000" w:themeColor="text1"/>
                <w:szCs w:val="24"/>
              </w:rPr>
            </w:pPr>
            <w:r w:rsidRPr="00DF0CD5">
              <w:rPr>
                <w:color w:val="000000" w:themeColor="text1"/>
                <w:szCs w:val="24"/>
              </w:rPr>
              <w:t>80.20±17.12</w:t>
            </w:r>
          </w:p>
        </w:tc>
      </w:tr>
      <w:tr w:rsidR="00DF0CD5" w:rsidRPr="00DF0CD5" w14:paraId="01AD64BE" w14:textId="77777777" w:rsidTr="00875D55">
        <w:trPr>
          <w:trHeight w:val="510"/>
        </w:trPr>
        <w:tc>
          <w:tcPr>
            <w:tcW w:w="1707" w:type="pct"/>
          </w:tcPr>
          <w:p w14:paraId="4BA8AF60" w14:textId="77777777" w:rsidR="00875D55" w:rsidRPr="00DF0CD5" w:rsidRDefault="006A6E5C">
            <w:pPr>
              <w:pStyle w:val="a2"/>
              <w:rPr>
                <w:color w:val="000000" w:themeColor="text1"/>
                <w:szCs w:val="24"/>
              </w:rPr>
            </w:pPr>
            <w:r w:rsidRPr="00DF0CD5">
              <w:rPr>
                <w:color w:val="000000" w:themeColor="text1"/>
                <w:szCs w:val="24"/>
              </w:rPr>
              <w:t>BMI, kg/m</w:t>
            </w:r>
            <w:r w:rsidRPr="00DF0CD5">
              <w:rPr>
                <w:color w:val="000000" w:themeColor="text1"/>
                <w:szCs w:val="24"/>
                <w:vertAlign w:val="superscript"/>
              </w:rPr>
              <w:t>2 b</w:t>
            </w:r>
          </w:p>
        </w:tc>
        <w:tc>
          <w:tcPr>
            <w:tcW w:w="3293" w:type="pct"/>
          </w:tcPr>
          <w:p w14:paraId="215CD6E9" w14:textId="77777777" w:rsidR="00875D55" w:rsidRPr="00DF0CD5" w:rsidRDefault="006A6E5C">
            <w:pPr>
              <w:pStyle w:val="a2"/>
              <w:rPr>
                <w:color w:val="000000" w:themeColor="text1"/>
                <w:szCs w:val="24"/>
              </w:rPr>
            </w:pPr>
            <w:r w:rsidRPr="00DF0CD5">
              <w:rPr>
                <w:color w:val="000000" w:themeColor="text1"/>
                <w:szCs w:val="24"/>
              </w:rPr>
              <w:t>23.43±2.80</w:t>
            </w:r>
          </w:p>
        </w:tc>
      </w:tr>
      <w:tr w:rsidR="00DF0CD5" w:rsidRPr="00DF0CD5" w14:paraId="2B5D5E9A" w14:textId="77777777" w:rsidTr="00875D55">
        <w:trPr>
          <w:trHeight w:val="510"/>
        </w:trPr>
        <w:tc>
          <w:tcPr>
            <w:tcW w:w="1707" w:type="pct"/>
          </w:tcPr>
          <w:p w14:paraId="73FE740F" w14:textId="77777777" w:rsidR="00875D55" w:rsidRPr="00DF0CD5" w:rsidRDefault="006A6E5C">
            <w:pPr>
              <w:pStyle w:val="a2"/>
              <w:rPr>
                <w:color w:val="000000" w:themeColor="text1"/>
                <w:szCs w:val="24"/>
              </w:rPr>
            </w:pPr>
            <w:r w:rsidRPr="00DF0CD5">
              <w:rPr>
                <w:color w:val="000000" w:themeColor="text1"/>
                <w:szCs w:val="24"/>
              </w:rPr>
              <w:t xml:space="preserve">Current smoke </w:t>
            </w:r>
            <w:r w:rsidRPr="00DF0CD5">
              <w:rPr>
                <w:color w:val="000000" w:themeColor="text1"/>
                <w:szCs w:val="24"/>
                <w:vertAlign w:val="superscript"/>
              </w:rPr>
              <w:t>c</w:t>
            </w:r>
          </w:p>
        </w:tc>
        <w:tc>
          <w:tcPr>
            <w:tcW w:w="3293" w:type="pct"/>
          </w:tcPr>
          <w:p w14:paraId="03B755A5" w14:textId="77777777" w:rsidR="00875D55" w:rsidRPr="00DF0CD5" w:rsidRDefault="006A6E5C">
            <w:pPr>
              <w:pStyle w:val="a2"/>
              <w:rPr>
                <w:color w:val="000000" w:themeColor="text1"/>
                <w:szCs w:val="24"/>
              </w:rPr>
            </w:pPr>
            <w:r w:rsidRPr="00DF0CD5">
              <w:rPr>
                <w:color w:val="000000" w:themeColor="text1"/>
                <w:szCs w:val="24"/>
              </w:rPr>
              <w:t>30%(3)</w:t>
            </w:r>
          </w:p>
        </w:tc>
      </w:tr>
      <w:tr w:rsidR="00DF0CD5" w:rsidRPr="00DF0CD5" w14:paraId="02D8077E" w14:textId="77777777" w:rsidTr="00875D55">
        <w:trPr>
          <w:trHeight w:val="510"/>
        </w:trPr>
        <w:tc>
          <w:tcPr>
            <w:tcW w:w="1707" w:type="pct"/>
          </w:tcPr>
          <w:p w14:paraId="3803149C" w14:textId="77777777" w:rsidR="00875D55" w:rsidRPr="00DF0CD5" w:rsidRDefault="006A6E5C">
            <w:pPr>
              <w:pStyle w:val="a2"/>
              <w:rPr>
                <w:color w:val="000000" w:themeColor="text1"/>
                <w:szCs w:val="24"/>
              </w:rPr>
            </w:pPr>
            <w:r w:rsidRPr="00DF0CD5">
              <w:rPr>
                <w:color w:val="000000" w:themeColor="text1"/>
                <w:szCs w:val="24"/>
              </w:rPr>
              <w:t xml:space="preserve">Smoking history </w:t>
            </w:r>
            <w:r w:rsidRPr="00DF0CD5">
              <w:rPr>
                <w:color w:val="000000" w:themeColor="text1"/>
                <w:szCs w:val="24"/>
                <w:vertAlign w:val="superscript"/>
              </w:rPr>
              <w:t>c</w:t>
            </w:r>
          </w:p>
        </w:tc>
        <w:tc>
          <w:tcPr>
            <w:tcW w:w="3293" w:type="pct"/>
          </w:tcPr>
          <w:p w14:paraId="693A7644" w14:textId="77777777" w:rsidR="00875D55" w:rsidRPr="00DF0CD5" w:rsidRDefault="006A6E5C">
            <w:pPr>
              <w:pStyle w:val="a2"/>
              <w:rPr>
                <w:color w:val="000000" w:themeColor="text1"/>
                <w:szCs w:val="24"/>
              </w:rPr>
            </w:pPr>
            <w:r w:rsidRPr="00DF0CD5">
              <w:rPr>
                <w:color w:val="000000" w:themeColor="text1"/>
                <w:szCs w:val="24"/>
              </w:rPr>
              <w:t>40%(4)</w:t>
            </w:r>
          </w:p>
        </w:tc>
      </w:tr>
      <w:tr w:rsidR="00DF0CD5" w:rsidRPr="00DF0CD5" w14:paraId="12BFD910" w14:textId="77777777" w:rsidTr="00875D55">
        <w:trPr>
          <w:trHeight w:val="510"/>
        </w:trPr>
        <w:tc>
          <w:tcPr>
            <w:tcW w:w="1707" w:type="pct"/>
          </w:tcPr>
          <w:p w14:paraId="34A418C2" w14:textId="77777777" w:rsidR="00875D55" w:rsidRPr="00DF0CD5" w:rsidRDefault="006A6E5C">
            <w:pPr>
              <w:pStyle w:val="a2"/>
              <w:rPr>
                <w:color w:val="000000" w:themeColor="text1"/>
                <w:szCs w:val="24"/>
              </w:rPr>
            </w:pPr>
            <w:r w:rsidRPr="00DF0CD5">
              <w:rPr>
                <w:color w:val="000000" w:themeColor="text1"/>
                <w:szCs w:val="24"/>
              </w:rPr>
              <w:t xml:space="preserve">Statins, %(n) </w:t>
            </w:r>
            <w:r w:rsidRPr="00DF0CD5">
              <w:rPr>
                <w:color w:val="000000" w:themeColor="text1"/>
                <w:szCs w:val="24"/>
                <w:vertAlign w:val="superscript"/>
              </w:rPr>
              <w:t>c</w:t>
            </w:r>
          </w:p>
        </w:tc>
        <w:tc>
          <w:tcPr>
            <w:tcW w:w="3293" w:type="pct"/>
          </w:tcPr>
          <w:p w14:paraId="165695DC" w14:textId="77777777" w:rsidR="00875D55" w:rsidRPr="00DF0CD5" w:rsidRDefault="006A6E5C">
            <w:pPr>
              <w:pStyle w:val="a2"/>
              <w:rPr>
                <w:color w:val="000000" w:themeColor="text1"/>
                <w:szCs w:val="24"/>
              </w:rPr>
            </w:pPr>
            <w:r w:rsidRPr="00DF0CD5">
              <w:rPr>
                <w:color w:val="000000" w:themeColor="text1"/>
                <w:szCs w:val="24"/>
              </w:rPr>
              <w:t>90%(9)</w:t>
            </w:r>
          </w:p>
        </w:tc>
      </w:tr>
      <w:tr w:rsidR="00DF0CD5" w:rsidRPr="00DF0CD5" w14:paraId="790EDBDB" w14:textId="77777777" w:rsidTr="00875D55">
        <w:trPr>
          <w:trHeight w:val="510"/>
        </w:trPr>
        <w:tc>
          <w:tcPr>
            <w:tcW w:w="1707" w:type="pct"/>
          </w:tcPr>
          <w:p w14:paraId="64F700DE" w14:textId="77777777" w:rsidR="00875D55" w:rsidRPr="00DF0CD5" w:rsidRDefault="006A6E5C">
            <w:pPr>
              <w:pStyle w:val="a2"/>
              <w:rPr>
                <w:color w:val="000000" w:themeColor="text1"/>
                <w:szCs w:val="24"/>
              </w:rPr>
            </w:pPr>
            <w:r w:rsidRPr="00DF0CD5">
              <w:rPr>
                <w:color w:val="000000" w:themeColor="text1"/>
                <w:szCs w:val="24"/>
              </w:rPr>
              <w:t xml:space="preserve">Metformin, %(n) </w:t>
            </w:r>
            <w:r w:rsidRPr="00DF0CD5">
              <w:rPr>
                <w:color w:val="000000" w:themeColor="text1"/>
                <w:szCs w:val="24"/>
                <w:vertAlign w:val="superscript"/>
              </w:rPr>
              <w:t>c</w:t>
            </w:r>
          </w:p>
        </w:tc>
        <w:tc>
          <w:tcPr>
            <w:tcW w:w="3293" w:type="pct"/>
          </w:tcPr>
          <w:p w14:paraId="72E93E7B" w14:textId="77777777" w:rsidR="00875D55" w:rsidRPr="00DF0CD5" w:rsidRDefault="006A6E5C">
            <w:pPr>
              <w:pStyle w:val="a2"/>
              <w:rPr>
                <w:color w:val="000000" w:themeColor="text1"/>
                <w:szCs w:val="24"/>
              </w:rPr>
            </w:pPr>
            <w:r w:rsidRPr="00DF0CD5">
              <w:rPr>
                <w:color w:val="000000" w:themeColor="text1"/>
                <w:szCs w:val="24"/>
              </w:rPr>
              <w:t>70%(7)</w:t>
            </w:r>
          </w:p>
        </w:tc>
      </w:tr>
      <w:tr w:rsidR="00DF0CD5" w:rsidRPr="00DF0CD5" w14:paraId="7E9B0211" w14:textId="77777777" w:rsidTr="00875D55">
        <w:trPr>
          <w:trHeight w:val="510"/>
        </w:trPr>
        <w:tc>
          <w:tcPr>
            <w:tcW w:w="1707" w:type="pct"/>
          </w:tcPr>
          <w:p w14:paraId="4A156568" w14:textId="77777777" w:rsidR="00875D55" w:rsidRPr="00DF0CD5" w:rsidRDefault="006A6E5C">
            <w:pPr>
              <w:pStyle w:val="a2"/>
              <w:rPr>
                <w:color w:val="000000" w:themeColor="text1"/>
                <w:szCs w:val="24"/>
              </w:rPr>
            </w:pPr>
            <w:r w:rsidRPr="00DF0CD5">
              <w:rPr>
                <w:color w:val="000000" w:themeColor="text1"/>
                <w:szCs w:val="24"/>
              </w:rPr>
              <w:t xml:space="preserve">TG, mmol/L </w:t>
            </w:r>
            <w:r w:rsidRPr="00DF0CD5">
              <w:rPr>
                <w:color w:val="000000" w:themeColor="text1"/>
                <w:szCs w:val="24"/>
                <w:vertAlign w:val="superscript"/>
              </w:rPr>
              <w:t>a</w:t>
            </w:r>
          </w:p>
        </w:tc>
        <w:tc>
          <w:tcPr>
            <w:tcW w:w="3293" w:type="pct"/>
          </w:tcPr>
          <w:p w14:paraId="31E02292" w14:textId="77777777" w:rsidR="00875D55" w:rsidRPr="00DF0CD5" w:rsidRDefault="006A6E5C">
            <w:pPr>
              <w:pStyle w:val="a2"/>
              <w:rPr>
                <w:color w:val="000000" w:themeColor="text1"/>
                <w:szCs w:val="24"/>
              </w:rPr>
            </w:pPr>
            <w:r w:rsidRPr="00DF0CD5">
              <w:rPr>
                <w:color w:val="000000" w:themeColor="text1"/>
                <w:szCs w:val="24"/>
              </w:rPr>
              <w:t>3.99 (2.975, 4.485)</w:t>
            </w:r>
          </w:p>
        </w:tc>
      </w:tr>
      <w:tr w:rsidR="00DF0CD5" w:rsidRPr="00DF0CD5" w14:paraId="7D27A8F8" w14:textId="77777777" w:rsidTr="00875D55">
        <w:trPr>
          <w:trHeight w:val="510"/>
        </w:trPr>
        <w:tc>
          <w:tcPr>
            <w:tcW w:w="1707" w:type="pct"/>
          </w:tcPr>
          <w:p w14:paraId="1BAB4DE0" w14:textId="77777777" w:rsidR="00875D55" w:rsidRPr="00DF0CD5" w:rsidRDefault="006A6E5C">
            <w:pPr>
              <w:pStyle w:val="a2"/>
              <w:rPr>
                <w:color w:val="000000" w:themeColor="text1"/>
                <w:szCs w:val="24"/>
              </w:rPr>
            </w:pPr>
            <w:r w:rsidRPr="00DF0CD5">
              <w:rPr>
                <w:color w:val="000000" w:themeColor="text1"/>
                <w:szCs w:val="24"/>
              </w:rPr>
              <w:t xml:space="preserve">TC, mmol/L </w:t>
            </w:r>
            <w:r w:rsidRPr="00DF0CD5">
              <w:rPr>
                <w:color w:val="000000" w:themeColor="text1"/>
                <w:szCs w:val="24"/>
                <w:vertAlign w:val="superscript"/>
              </w:rPr>
              <w:t>a</w:t>
            </w:r>
          </w:p>
        </w:tc>
        <w:tc>
          <w:tcPr>
            <w:tcW w:w="3293" w:type="pct"/>
          </w:tcPr>
          <w:p w14:paraId="15D73C0E" w14:textId="77777777" w:rsidR="00875D55" w:rsidRPr="00DF0CD5" w:rsidRDefault="006A6E5C">
            <w:pPr>
              <w:pStyle w:val="a2"/>
              <w:rPr>
                <w:color w:val="000000" w:themeColor="text1"/>
                <w:szCs w:val="24"/>
              </w:rPr>
            </w:pPr>
            <w:r w:rsidRPr="00DF0CD5">
              <w:rPr>
                <w:color w:val="000000" w:themeColor="text1"/>
                <w:szCs w:val="24"/>
              </w:rPr>
              <w:t>1.93 (0.948, 3.855)</w:t>
            </w:r>
          </w:p>
        </w:tc>
      </w:tr>
      <w:tr w:rsidR="00DF0CD5" w:rsidRPr="00DF0CD5" w14:paraId="081F32C5" w14:textId="77777777" w:rsidTr="00875D55">
        <w:trPr>
          <w:trHeight w:val="510"/>
        </w:trPr>
        <w:tc>
          <w:tcPr>
            <w:tcW w:w="1707" w:type="pct"/>
          </w:tcPr>
          <w:p w14:paraId="758A21A9" w14:textId="77777777" w:rsidR="00875D55" w:rsidRPr="00DF0CD5" w:rsidRDefault="006A6E5C">
            <w:pPr>
              <w:pStyle w:val="a2"/>
              <w:rPr>
                <w:color w:val="000000" w:themeColor="text1"/>
                <w:szCs w:val="24"/>
              </w:rPr>
            </w:pPr>
            <w:r w:rsidRPr="00DF0CD5">
              <w:rPr>
                <w:color w:val="000000" w:themeColor="text1"/>
                <w:szCs w:val="24"/>
              </w:rPr>
              <w:t xml:space="preserve">HDL-C, mmol/L </w:t>
            </w:r>
            <w:r w:rsidRPr="00DF0CD5">
              <w:rPr>
                <w:color w:val="000000" w:themeColor="text1"/>
                <w:szCs w:val="24"/>
                <w:vertAlign w:val="superscript"/>
              </w:rPr>
              <w:t>a</w:t>
            </w:r>
          </w:p>
        </w:tc>
        <w:tc>
          <w:tcPr>
            <w:tcW w:w="3293" w:type="pct"/>
          </w:tcPr>
          <w:p w14:paraId="4F3A3C11" w14:textId="77777777" w:rsidR="00875D55" w:rsidRPr="00DF0CD5" w:rsidRDefault="006A6E5C">
            <w:pPr>
              <w:pStyle w:val="a2"/>
              <w:rPr>
                <w:color w:val="000000" w:themeColor="text1"/>
                <w:szCs w:val="24"/>
              </w:rPr>
            </w:pPr>
            <w:r w:rsidRPr="00DF0CD5">
              <w:rPr>
                <w:color w:val="000000" w:themeColor="text1"/>
                <w:szCs w:val="24"/>
              </w:rPr>
              <w:t>0.885 (0.735, 0.9225)</w:t>
            </w:r>
          </w:p>
        </w:tc>
      </w:tr>
      <w:tr w:rsidR="00DF0CD5" w:rsidRPr="00DF0CD5" w14:paraId="682377B4" w14:textId="77777777" w:rsidTr="00875D55">
        <w:trPr>
          <w:trHeight w:val="510"/>
        </w:trPr>
        <w:tc>
          <w:tcPr>
            <w:tcW w:w="1707" w:type="pct"/>
          </w:tcPr>
          <w:p w14:paraId="2FEB53D5" w14:textId="77777777" w:rsidR="00875D55" w:rsidRPr="00DF0CD5" w:rsidRDefault="006A6E5C">
            <w:pPr>
              <w:pStyle w:val="a2"/>
              <w:rPr>
                <w:color w:val="000000" w:themeColor="text1"/>
                <w:szCs w:val="24"/>
              </w:rPr>
            </w:pPr>
            <w:r w:rsidRPr="00DF0CD5">
              <w:rPr>
                <w:color w:val="000000" w:themeColor="text1"/>
                <w:szCs w:val="24"/>
              </w:rPr>
              <w:t>LDL-C</w:t>
            </w:r>
            <w:r w:rsidRPr="00DF0CD5">
              <w:rPr>
                <w:color w:val="000000" w:themeColor="text1"/>
                <w:szCs w:val="24"/>
              </w:rPr>
              <w:t>，</w:t>
            </w:r>
            <w:r w:rsidRPr="00DF0CD5">
              <w:rPr>
                <w:color w:val="000000" w:themeColor="text1"/>
                <w:szCs w:val="24"/>
              </w:rPr>
              <w:t xml:space="preserve">mmol/L </w:t>
            </w:r>
            <w:r w:rsidRPr="00DF0CD5">
              <w:rPr>
                <w:color w:val="000000" w:themeColor="text1"/>
                <w:szCs w:val="24"/>
                <w:vertAlign w:val="superscript"/>
              </w:rPr>
              <w:t>a</w:t>
            </w:r>
          </w:p>
        </w:tc>
        <w:tc>
          <w:tcPr>
            <w:tcW w:w="3293" w:type="pct"/>
          </w:tcPr>
          <w:p w14:paraId="71FBE8EB" w14:textId="77777777" w:rsidR="00875D55" w:rsidRPr="00DF0CD5" w:rsidRDefault="006A6E5C">
            <w:pPr>
              <w:pStyle w:val="a2"/>
              <w:rPr>
                <w:color w:val="000000" w:themeColor="text1"/>
                <w:szCs w:val="24"/>
              </w:rPr>
            </w:pPr>
            <w:r w:rsidRPr="00DF0CD5">
              <w:rPr>
                <w:color w:val="000000" w:themeColor="text1"/>
                <w:szCs w:val="24"/>
              </w:rPr>
              <w:t>2.33 (0.97, 2.685)</w:t>
            </w:r>
          </w:p>
        </w:tc>
      </w:tr>
      <w:tr w:rsidR="00DF0CD5" w:rsidRPr="00DF0CD5" w14:paraId="26F27FF7" w14:textId="77777777" w:rsidTr="00875D55">
        <w:trPr>
          <w:trHeight w:val="510"/>
        </w:trPr>
        <w:tc>
          <w:tcPr>
            <w:tcW w:w="1707" w:type="pct"/>
          </w:tcPr>
          <w:p w14:paraId="33B429CE" w14:textId="77777777" w:rsidR="00875D55" w:rsidRPr="00DF0CD5" w:rsidRDefault="006A6E5C">
            <w:pPr>
              <w:pStyle w:val="a2"/>
              <w:rPr>
                <w:color w:val="000000" w:themeColor="text1"/>
                <w:szCs w:val="24"/>
              </w:rPr>
            </w:pPr>
            <w:r w:rsidRPr="00DF0CD5">
              <w:rPr>
                <w:color w:val="000000" w:themeColor="text1"/>
                <w:szCs w:val="24"/>
              </w:rPr>
              <w:t>FBG</w:t>
            </w:r>
            <w:r w:rsidRPr="00DF0CD5">
              <w:rPr>
                <w:color w:val="000000" w:themeColor="text1"/>
                <w:szCs w:val="24"/>
              </w:rPr>
              <w:t>，</w:t>
            </w:r>
            <w:r w:rsidRPr="00DF0CD5">
              <w:rPr>
                <w:color w:val="000000" w:themeColor="text1"/>
                <w:szCs w:val="24"/>
              </w:rPr>
              <w:t xml:space="preserve">mmol/L </w:t>
            </w:r>
            <w:r w:rsidRPr="00DF0CD5">
              <w:rPr>
                <w:color w:val="000000" w:themeColor="text1"/>
                <w:szCs w:val="24"/>
                <w:vertAlign w:val="superscript"/>
              </w:rPr>
              <w:t>a</w:t>
            </w:r>
          </w:p>
        </w:tc>
        <w:tc>
          <w:tcPr>
            <w:tcW w:w="3293" w:type="pct"/>
          </w:tcPr>
          <w:p w14:paraId="21B48F84" w14:textId="77777777" w:rsidR="00875D55" w:rsidRPr="00DF0CD5" w:rsidRDefault="006A6E5C">
            <w:pPr>
              <w:pStyle w:val="a2"/>
              <w:rPr>
                <w:color w:val="000000" w:themeColor="text1"/>
                <w:szCs w:val="24"/>
              </w:rPr>
            </w:pPr>
            <w:r w:rsidRPr="00DF0CD5">
              <w:rPr>
                <w:color w:val="000000" w:themeColor="text1"/>
                <w:szCs w:val="24"/>
              </w:rPr>
              <w:t>8.12 (4.875, 9.365)</w:t>
            </w:r>
          </w:p>
        </w:tc>
      </w:tr>
      <w:tr w:rsidR="00DF0CD5" w:rsidRPr="00DF0CD5" w14:paraId="2F9AA332" w14:textId="77777777" w:rsidTr="00875D55">
        <w:trPr>
          <w:trHeight w:val="510"/>
        </w:trPr>
        <w:tc>
          <w:tcPr>
            <w:tcW w:w="1707" w:type="pct"/>
          </w:tcPr>
          <w:p w14:paraId="4023E55F" w14:textId="77777777" w:rsidR="00875D55" w:rsidRPr="00DF0CD5" w:rsidRDefault="006A6E5C">
            <w:pPr>
              <w:pStyle w:val="a2"/>
              <w:rPr>
                <w:color w:val="000000" w:themeColor="text1"/>
                <w:szCs w:val="24"/>
              </w:rPr>
            </w:pPr>
            <w:r w:rsidRPr="00DF0CD5">
              <w:rPr>
                <w:color w:val="000000" w:themeColor="text1"/>
                <w:szCs w:val="24"/>
              </w:rPr>
              <w:t>HBA1c</w:t>
            </w:r>
            <w:r w:rsidRPr="00DF0CD5">
              <w:rPr>
                <w:color w:val="000000" w:themeColor="text1"/>
                <w:szCs w:val="24"/>
              </w:rPr>
              <w:t>，</w:t>
            </w:r>
            <w:r w:rsidRPr="00DF0CD5">
              <w:rPr>
                <w:color w:val="000000" w:themeColor="text1"/>
                <w:szCs w:val="24"/>
              </w:rPr>
              <w:t xml:space="preserve">% </w:t>
            </w:r>
            <w:r w:rsidRPr="00DF0CD5">
              <w:rPr>
                <w:color w:val="000000" w:themeColor="text1"/>
                <w:szCs w:val="24"/>
                <w:vertAlign w:val="superscript"/>
              </w:rPr>
              <w:t>a</w:t>
            </w:r>
          </w:p>
        </w:tc>
        <w:tc>
          <w:tcPr>
            <w:tcW w:w="3293" w:type="pct"/>
          </w:tcPr>
          <w:p w14:paraId="3C2341A8" w14:textId="77777777" w:rsidR="00875D55" w:rsidRPr="00DF0CD5" w:rsidRDefault="006A6E5C">
            <w:pPr>
              <w:pStyle w:val="a2"/>
              <w:rPr>
                <w:color w:val="000000" w:themeColor="text1"/>
                <w:szCs w:val="24"/>
              </w:rPr>
            </w:pPr>
            <w:r w:rsidRPr="00DF0CD5">
              <w:rPr>
                <w:color w:val="000000" w:themeColor="text1"/>
                <w:szCs w:val="24"/>
              </w:rPr>
              <w:t>7 (6.075, 8.825)</w:t>
            </w:r>
          </w:p>
        </w:tc>
      </w:tr>
    </w:tbl>
    <w:p w14:paraId="5A7394D9" w14:textId="77777777" w:rsidR="00875D55" w:rsidRPr="00DF0CD5" w:rsidRDefault="006A6E5C">
      <w:pPr>
        <w:spacing w:line="240" w:lineRule="auto"/>
        <w:ind w:firstLineChars="0"/>
        <w:rPr>
          <w:snapToGrid w:val="0"/>
          <w:color w:val="000000" w:themeColor="text1"/>
          <w:sz w:val="22"/>
          <w:szCs w:val="22"/>
        </w:rPr>
      </w:pPr>
      <w:r w:rsidRPr="00DF0CD5">
        <w:rPr>
          <w:snapToGrid w:val="0"/>
          <w:color w:val="000000" w:themeColor="text1"/>
          <w:sz w:val="22"/>
          <w:szCs w:val="22"/>
        </w:rPr>
        <w:t>a. Median (IQR). b. Mean SD. c. n (%)</w:t>
      </w:r>
    </w:p>
    <w:p w14:paraId="1F2220F3" w14:textId="77777777" w:rsidR="00875D55" w:rsidRPr="00DF0CD5" w:rsidRDefault="00875D55">
      <w:pPr>
        <w:adjustRightInd w:val="0"/>
        <w:ind w:firstLineChars="0"/>
        <w:rPr>
          <w:color w:val="000000" w:themeColor="text1"/>
        </w:rPr>
      </w:pPr>
    </w:p>
    <w:p w14:paraId="7B56D521" w14:textId="495EAE8E" w:rsidR="00875D55" w:rsidRPr="00DF0CD5" w:rsidRDefault="006A6E5C">
      <w:pPr>
        <w:adjustRightInd w:val="0"/>
        <w:ind w:firstLineChars="0"/>
        <w:rPr>
          <w:b/>
          <w:bCs/>
          <w:color w:val="000000" w:themeColor="text1"/>
        </w:rPr>
      </w:pPr>
      <w:r w:rsidRPr="00DF0CD5">
        <w:rPr>
          <w:b/>
          <w:bCs/>
          <w:color w:val="000000" w:themeColor="text1"/>
        </w:rPr>
        <w:t>Myocardial Ischemia-Reperfusion Injury (MIRI) Model</w:t>
      </w:r>
      <w:r w:rsidR="006267B6" w:rsidRPr="00DF0CD5">
        <w:rPr>
          <w:b/>
          <w:bCs/>
          <w:color w:val="000000" w:themeColor="text1"/>
        </w:rPr>
        <w:t>ing</w:t>
      </w:r>
    </w:p>
    <w:p w14:paraId="4D3B3E6F" w14:textId="77777777" w:rsidR="00875D55" w:rsidRPr="00DF0CD5" w:rsidRDefault="006A6E5C">
      <w:pPr>
        <w:adjustRightInd w:val="0"/>
        <w:ind w:firstLine="480"/>
        <w:rPr>
          <w:color w:val="000000" w:themeColor="text1"/>
        </w:rPr>
      </w:pPr>
      <w:r w:rsidRPr="00DF0CD5">
        <w:rPr>
          <w:color w:val="000000" w:themeColor="text1"/>
        </w:rPr>
        <w:t>Preoperative: Weigh and record the weight of all animals. Prepare animals for surgery by shaving the fur, induce anesthesia using isoflurane, and position the animals on a small animal surgical table in a supine position with limbs secured using 3M tape after the animals exhibit anesthesia responses such as disappearing corneal reflex and decreased muscle strength. After ensuring deep anesthesia, install the electrocardiogram monitor. Intraoperative: Disinfect the local skin, make an incision between the ribs after draping, bluntly dissect the muscles, open the pericardium, and expose the heart. Extend the heart outside the body, exposing the left anterior descending coronary artery. Ligature is applied approximately 1-2 mm from the bottom edge of the left atrial appendage using a 6-0 sterile silk thread. After confirming a whitening of the heart base, promptly close the chest, squeeze to prevent pneumothorax, and suture the muscles and skin layer by layer, inducing ischemia in the anterior wall of the left ventricle. After 30 minutes of ischemia, a second thoracotomy is performed, the ligature is released to restore blood flow to the left anterior descending coronary artery, and the chest is promptly closed and sutured to prevent pneumothorax.</w:t>
      </w:r>
    </w:p>
    <w:p w14:paraId="74D71471" w14:textId="77777777" w:rsidR="00875D55" w:rsidRPr="00DF0CD5" w:rsidRDefault="006A6E5C">
      <w:pPr>
        <w:adjustRightInd w:val="0"/>
        <w:ind w:firstLineChars="0"/>
        <w:rPr>
          <w:b/>
          <w:bCs/>
          <w:color w:val="000000" w:themeColor="text1"/>
        </w:rPr>
      </w:pPr>
      <w:r w:rsidRPr="00DF0CD5">
        <w:rPr>
          <w:b/>
          <w:bCs/>
          <w:color w:val="000000" w:themeColor="text1"/>
        </w:rPr>
        <w:t>Specimen Collection</w:t>
      </w:r>
    </w:p>
    <w:p w14:paraId="7A38375F" w14:textId="77777777" w:rsidR="00875D55" w:rsidRPr="00DF0CD5" w:rsidRDefault="006A6E5C">
      <w:pPr>
        <w:adjustRightInd w:val="0"/>
        <w:ind w:firstLine="480"/>
        <w:rPr>
          <w:color w:val="000000" w:themeColor="text1"/>
        </w:rPr>
      </w:pPr>
      <w:r w:rsidRPr="00DF0CD5">
        <w:rPr>
          <w:color w:val="000000" w:themeColor="text1"/>
        </w:rPr>
        <w:t>Oral Microbiota Collection of mice[1]: Fix the mouse, gently scrape the entire oral cavity (tongue, sublingual, gingiva, and saliva) with swab, cut the swab head with sterile scissors, place it in a sterile cryogenic tube, and immediately transfer it to -80 ℃ after rapid freezing in liquid nitrogen.</w:t>
      </w:r>
    </w:p>
    <w:p w14:paraId="59B12F52" w14:textId="77777777" w:rsidR="00875D55" w:rsidRPr="00DF0CD5" w:rsidRDefault="006A6E5C">
      <w:pPr>
        <w:adjustRightInd w:val="0"/>
        <w:ind w:firstLine="480"/>
        <w:rPr>
          <w:color w:val="000000" w:themeColor="text1"/>
        </w:rPr>
      </w:pPr>
      <w:r w:rsidRPr="00DF0CD5">
        <w:rPr>
          <w:color w:val="000000" w:themeColor="text1"/>
        </w:rPr>
        <w:t>Intestinal Content Collection of mice[1]: Open the mouse abdomen to find the location of the ileocecal valve, collect the terminal ileum and below intestinal tissues, squeeze intestinal contents into a sterile cryogenic tube using sterile forceps at the terminal ileum, and immediately transfer it to -80 ℃ after rapid freezing in liquid nitrogen.</w:t>
      </w:r>
    </w:p>
    <w:p w14:paraId="7D7147B5" w14:textId="77777777" w:rsidR="00875D55" w:rsidRPr="00DF0CD5" w:rsidRDefault="006A6E5C">
      <w:pPr>
        <w:adjustRightInd w:val="0"/>
        <w:ind w:firstLineChars="0"/>
        <w:rPr>
          <w:b/>
          <w:bCs/>
          <w:color w:val="000000" w:themeColor="text1"/>
        </w:rPr>
      </w:pPr>
      <w:r w:rsidRPr="00DF0CD5">
        <w:rPr>
          <w:b/>
          <w:bCs/>
          <w:color w:val="000000" w:themeColor="text1"/>
        </w:rPr>
        <w:t>Detection Methods</w:t>
      </w:r>
    </w:p>
    <w:p w14:paraId="7DD8F2AC" w14:textId="77777777" w:rsidR="00875D55" w:rsidRPr="00DF0CD5" w:rsidRDefault="006A6E5C">
      <w:pPr>
        <w:adjustRightInd w:val="0"/>
        <w:ind w:firstLineChars="0"/>
        <w:rPr>
          <w:b/>
          <w:bCs/>
          <w:color w:val="000000" w:themeColor="text1"/>
        </w:rPr>
      </w:pPr>
      <w:r w:rsidRPr="00DF0CD5">
        <w:rPr>
          <w:b/>
          <w:bCs/>
          <w:color w:val="000000" w:themeColor="text1"/>
        </w:rPr>
        <w:t>TTC-Evans Blue Staining</w:t>
      </w:r>
    </w:p>
    <w:p w14:paraId="06E29D82" w14:textId="77777777" w:rsidR="00875D55" w:rsidRPr="00DF0CD5" w:rsidRDefault="006A6E5C">
      <w:pPr>
        <w:adjustRightInd w:val="0"/>
        <w:ind w:firstLineChars="100" w:firstLine="240"/>
        <w:rPr>
          <w:color w:val="000000" w:themeColor="text1"/>
        </w:rPr>
      </w:pPr>
      <w:r w:rsidRPr="00DF0CD5">
        <w:rPr>
          <w:color w:val="000000" w:themeColor="text1"/>
        </w:rPr>
        <w:t>Heart slices were immersed in 1% 2,3,5-Triphenyl-2H-tetrazolium chloride (TTC) (Sigma-Aldrich, USA (T8877-50G)) in the dark. Blue areas represent the non-ischemic zone, red areas indicate the myocardial ischemic at-risk zone, and white areas indicate the myocardial infarction zone. The fixed tissue was photographed using a digital camera, and Image-ProPlus 6.0 software (National Institutes of Health, Bethesda, USA) was used for assessment, calculating the myocardial infarction area (%).</w:t>
      </w:r>
    </w:p>
    <w:p w14:paraId="3EC142CB" w14:textId="77777777" w:rsidR="00875D55" w:rsidRPr="00DF0CD5" w:rsidRDefault="006A6E5C">
      <w:pPr>
        <w:adjustRightInd w:val="0"/>
        <w:ind w:firstLineChars="0"/>
        <w:rPr>
          <w:b/>
          <w:bCs/>
          <w:color w:val="000000" w:themeColor="text1"/>
        </w:rPr>
      </w:pPr>
      <w:r w:rsidRPr="00DF0CD5">
        <w:rPr>
          <w:b/>
          <w:bCs/>
          <w:color w:val="000000" w:themeColor="text1"/>
        </w:rPr>
        <w:t>Hematoxylin-Eosin</w:t>
      </w:r>
      <w:r w:rsidRPr="00DF0CD5">
        <w:rPr>
          <w:b/>
          <w:bCs/>
          <w:color w:val="000000" w:themeColor="text1"/>
        </w:rPr>
        <w:t>（</w:t>
      </w:r>
      <w:r w:rsidRPr="00DF0CD5">
        <w:rPr>
          <w:b/>
          <w:bCs/>
          <w:color w:val="000000" w:themeColor="text1"/>
        </w:rPr>
        <w:t>HE</w:t>
      </w:r>
      <w:r w:rsidRPr="00DF0CD5">
        <w:rPr>
          <w:b/>
          <w:bCs/>
          <w:color w:val="000000" w:themeColor="text1"/>
        </w:rPr>
        <w:t>）</w:t>
      </w:r>
      <w:r w:rsidRPr="00DF0CD5">
        <w:rPr>
          <w:rFonts w:hint="eastAsia"/>
          <w:b/>
          <w:bCs/>
          <w:color w:val="000000" w:themeColor="text1"/>
        </w:rPr>
        <w:t>S</w:t>
      </w:r>
      <w:r w:rsidRPr="00DF0CD5">
        <w:rPr>
          <w:b/>
          <w:bCs/>
          <w:color w:val="000000" w:themeColor="text1"/>
        </w:rPr>
        <w:t>taining</w:t>
      </w:r>
    </w:p>
    <w:p w14:paraId="172C32ED" w14:textId="77777777" w:rsidR="00875D55" w:rsidRPr="00DF0CD5" w:rsidRDefault="006A6E5C">
      <w:pPr>
        <w:adjustRightInd w:val="0"/>
        <w:ind w:firstLine="480"/>
        <w:rPr>
          <w:color w:val="000000" w:themeColor="text1"/>
        </w:rPr>
      </w:pPr>
      <w:r w:rsidRPr="00DF0CD5">
        <w:rPr>
          <w:color w:val="000000" w:themeColor="text1"/>
        </w:rPr>
        <w:t>Collection of cardiac samples with a thickness of 3 mm</w:t>
      </w:r>
      <w:r w:rsidRPr="00DF0CD5">
        <w:rPr>
          <w:rFonts w:hint="eastAsia"/>
          <w:color w:val="000000" w:themeColor="text1"/>
        </w:rPr>
        <w:t>,</w:t>
      </w:r>
      <w:r w:rsidRPr="00DF0CD5">
        <w:rPr>
          <w:color w:val="000000" w:themeColor="text1"/>
        </w:rPr>
        <w:t xml:space="preserve"> fixed with 4% paraformaldehyde and embedded in paraffin. Cross sections were stained with hematoxylin and eosin (Boruijie Technology Co., Ltd., China (DH0001/0405A17), Beijing Chemical Plant, China (20150915)). All images were captured using Leica DMi8 microscope. </w:t>
      </w:r>
    </w:p>
    <w:p w14:paraId="15AA6506" w14:textId="77777777" w:rsidR="00875D55" w:rsidRPr="00DF0CD5" w:rsidRDefault="006A6E5C">
      <w:pPr>
        <w:adjustRightInd w:val="0"/>
        <w:ind w:firstLineChars="0"/>
        <w:rPr>
          <w:b/>
          <w:bCs/>
          <w:color w:val="000000" w:themeColor="text1"/>
        </w:rPr>
      </w:pPr>
      <w:r w:rsidRPr="00DF0CD5">
        <w:rPr>
          <w:b/>
          <w:bCs/>
          <w:color w:val="000000" w:themeColor="text1"/>
        </w:rPr>
        <w:t xml:space="preserve">Tunel </w:t>
      </w:r>
      <w:r w:rsidRPr="00DF0CD5">
        <w:rPr>
          <w:rFonts w:hint="eastAsia"/>
          <w:b/>
          <w:bCs/>
          <w:color w:val="000000" w:themeColor="text1"/>
        </w:rPr>
        <w:t>S</w:t>
      </w:r>
      <w:r w:rsidRPr="00DF0CD5">
        <w:rPr>
          <w:b/>
          <w:bCs/>
          <w:color w:val="000000" w:themeColor="text1"/>
        </w:rPr>
        <w:t>taining</w:t>
      </w:r>
    </w:p>
    <w:p w14:paraId="44F25020" w14:textId="77777777" w:rsidR="00875D55" w:rsidRPr="00DF0CD5" w:rsidRDefault="006A6E5C">
      <w:pPr>
        <w:adjustRightInd w:val="0"/>
        <w:ind w:firstLine="480"/>
        <w:rPr>
          <w:color w:val="000000" w:themeColor="text1"/>
        </w:rPr>
      </w:pPr>
      <w:r w:rsidRPr="00DF0CD5">
        <w:rPr>
          <w:color w:val="000000" w:themeColor="text1"/>
        </w:rPr>
        <w:t>The heart samples were separated and fixed in 10% phosphate-buffered formalin for 24 h, subsequently embedded in paraffin, sliced (4–5 μm). Terminal deoxynucleotidyl transferase-mediated dexoxyuridine triphosphate nick-end labeling (TUNEL) staining was performed using the TUNEL BrightGreen Apoptosis Detection Kit (</w:t>
      </w:r>
      <w:r w:rsidRPr="00DF0CD5">
        <w:rPr>
          <w:rFonts w:hint="eastAsia"/>
          <w:color w:val="000000" w:themeColor="text1"/>
        </w:rPr>
        <w:t>Roche</w:t>
      </w:r>
      <w:r w:rsidRPr="00DF0CD5">
        <w:rPr>
          <w:color w:val="000000" w:themeColor="text1"/>
        </w:rPr>
        <w:t xml:space="preserve">, </w:t>
      </w:r>
      <w:r w:rsidRPr="00DF0CD5">
        <w:rPr>
          <w:rFonts w:hint="eastAsia"/>
          <w:color w:val="000000" w:themeColor="text1"/>
        </w:rPr>
        <w:t>S</w:t>
      </w:r>
      <w:r w:rsidRPr="00DF0CD5">
        <w:rPr>
          <w:color w:val="000000" w:themeColor="text1"/>
        </w:rPr>
        <w:t>wiss) following manufacturer’s instructions. Apoptotic nuclei were labeled with green fluorescein staining and total cardiomyocyte nuclei were marked with DAPI. The pictures of heart tissues were viewed by confocal microscopy. Rate of apoptosis was displayed as ratio of TUNEL positive nuclei to DAPI-stained nuclei.</w:t>
      </w:r>
    </w:p>
    <w:p w14:paraId="1EF8B744" w14:textId="77777777" w:rsidR="00875D55" w:rsidRPr="00DF0CD5" w:rsidRDefault="006A6E5C">
      <w:pPr>
        <w:adjustRightInd w:val="0"/>
        <w:ind w:firstLineChars="0"/>
        <w:rPr>
          <w:b/>
          <w:bCs/>
          <w:color w:val="000000" w:themeColor="text1"/>
        </w:rPr>
      </w:pPr>
      <w:r w:rsidRPr="00DF0CD5">
        <w:rPr>
          <w:b/>
          <w:bCs/>
          <w:color w:val="000000" w:themeColor="text1"/>
        </w:rPr>
        <w:t>Enzyme-linked immunosorbent assay (ELISA) analysis</w:t>
      </w:r>
    </w:p>
    <w:p w14:paraId="469B64CC" w14:textId="77777777" w:rsidR="00875D55" w:rsidRPr="00DF0CD5" w:rsidRDefault="006A6E5C">
      <w:pPr>
        <w:adjustRightInd w:val="0"/>
        <w:ind w:firstLine="480"/>
        <w:rPr>
          <w:color w:val="000000" w:themeColor="text1"/>
        </w:rPr>
      </w:pPr>
      <w:r w:rsidRPr="00DF0CD5">
        <w:rPr>
          <w:color w:val="000000" w:themeColor="text1"/>
        </w:rPr>
        <w:t>After treatment, blood samples were collected. Serum levels of cardiac troponin I (cTnI) (mm-0791M1) and insulin (mm-0579M1) were measured by the corresponding ELISA Kits (Jiangsu Meimian Industrial Co., Ltd, China), according to manufacturer’s instruction.</w:t>
      </w:r>
    </w:p>
    <w:p w14:paraId="5276CFAF" w14:textId="77777777" w:rsidR="00875D55" w:rsidRPr="00DF0CD5" w:rsidRDefault="006A6E5C">
      <w:pPr>
        <w:adjustRightInd w:val="0"/>
        <w:ind w:firstLineChars="0"/>
        <w:rPr>
          <w:b/>
          <w:bCs/>
          <w:color w:val="000000" w:themeColor="text1"/>
        </w:rPr>
      </w:pPr>
      <w:r w:rsidRPr="00DF0CD5">
        <w:rPr>
          <w:rFonts w:hint="eastAsia"/>
          <w:b/>
          <w:bCs/>
          <w:color w:val="000000" w:themeColor="text1"/>
        </w:rPr>
        <w:t>Q</w:t>
      </w:r>
      <w:r w:rsidRPr="00DF0CD5">
        <w:rPr>
          <w:b/>
          <w:bCs/>
          <w:color w:val="000000" w:themeColor="text1"/>
        </w:rPr>
        <w:t>uantitative real-time PCR (RT-qPCR</w:t>
      </w:r>
      <w:r w:rsidRPr="00DF0CD5">
        <w:rPr>
          <w:b/>
          <w:bCs/>
          <w:color w:val="000000" w:themeColor="text1"/>
        </w:rPr>
        <w:t>）</w:t>
      </w:r>
      <w:r w:rsidRPr="00DF0CD5">
        <w:rPr>
          <w:b/>
          <w:bCs/>
          <w:color w:val="000000" w:themeColor="text1"/>
        </w:rPr>
        <w:t>analysis</w:t>
      </w:r>
    </w:p>
    <w:p w14:paraId="330A43CB" w14:textId="77777777" w:rsidR="00875D55" w:rsidRPr="00DF0CD5" w:rsidRDefault="006A6E5C">
      <w:pPr>
        <w:adjustRightInd w:val="0"/>
        <w:ind w:firstLine="480"/>
        <w:rPr>
          <w:color w:val="000000" w:themeColor="text1"/>
        </w:rPr>
      </w:pPr>
      <w:r w:rsidRPr="00DF0CD5">
        <w:rPr>
          <w:color w:val="000000" w:themeColor="text1"/>
        </w:rPr>
        <w:t>Total RNA was extracted from the samples, and the concentration and purity of RNA were determined using NanoDrop® ND-2000. Denaturing agarose gel electrophoresis was performed to assess RNA integrity. Reverse transcription was carried out using the miRNA cDNA first-strand synthesis kit (Tiangen Biotech, Catalog: KR201), and real-time PCR reactions were conducted based on the following primer sequences.</w:t>
      </w:r>
    </w:p>
    <w:p w14:paraId="2BD786B5" w14:textId="77777777" w:rsidR="00875D55" w:rsidRPr="00DF0CD5" w:rsidRDefault="006A6E5C">
      <w:pPr>
        <w:adjustRightInd w:val="0"/>
        <w:ind w:firstLineChars="0"/>
        <w:rPr>
          <w:b/>
          <w:bCs/>
          <w:color w:val="000000" w:themeColor="text1"/>
        </w:rPr>
      </w:pPr>
      <w:r w:rsidRPr="00DF0CD5">
        <w:rPr>
          <w:b/>
          <w:bCs/>
          <w:color w:val="000000" w:themeColor="text1"/>
        </w:rPr>
        <w:t>Table 3. Primer Sequence of miRNA-21</w:t>
      </w:r>
    </w:p>
    <w:tbl>
      <w:tblPr>
        <w:tblStyle w:val="3"/>
        <w:tblW w:w="0" w:type="auto"/>
        <w:tblLook w:val="04A0" w:firstRow="1" w:lastRow="0" w:firstColumn="1" w:lastColumn="0" w:noHBand="0" w:noVBand="1"/>
      </w:tblPr>
      <w:tblGrid>
        <w:gridCol w:w="2043"/>
        <w:gridCol w:w="1390"/>
        <w:gridCol w:w="4137"/>
        <w:gridCol w:w="696"/>
      </w:tblGrid>
      <w:tr w:rsidR="00DF0CD5" w:rsidRPr="00DF0CD5" w14:paraId="09A5D76A" w14:textId="77777777" w:rsidTr="00875D55">
        <w:trPr>
          <w:cnfStyle w:val="100000000000" w:firstRow="1" w:lastRow="0" w:firstColumn="0" w:lastColumn="0" w:oddVBand="0" w:evenVBand="0" w:oddHBand="0" w:evenHBand="0" w:firstRowFirstColumn="0" w:firstRowLastColumn="0" w:lastRowFirstColumn="0" w:lastRowLastColumn="0"/>
          <w:trHeight w:val="441"/>
        </w:trPr>
        <w:tc>
          <w:tcPr>
            <w:tcW w:w="0" w:type="auto"/>
            <w:gridSpan w:val="2"/>
          </w:tcPr>
          <w:p w14:paraId="06579DEE" w14:textId="77777777" w:rsidR="00875D55" w:rsidRPr="00DF0CD5" w:rsidRDefault="006A6E5C">
            <w:pPr>
              <w:pStyle w:val="a2"/>
              <w:rPr>
                <w:b/>
                <w:bCs/>
                <w:color w:val="000000" w:themeColor="text1"/>
                <w:szCs w:val="24"/>
              </w:rPr>
            </w:pPr>
            <w:r w:rsidRPr="00DF0CD5">
              <w:rPr>
                <w:b/>
                <w:bCs/>
                <w:color w:val="000000" w:themeColor="text1"/>
                <w:szCs w:val="24"/>
              </w:rPr>
              <w:t>Primer name</w:t>
            </w:r>
          </w:p>
        </w:tc>
        <w:tc>
          <w:tcPr>
            <w:tcW w:w="0" w:type="auto"/>
          </w:tcPr>
          <w:p w14:paraId="6A527492" w14:textId="77777777" w:rsidR="00875D55" w:rsidRPr="00DF0CD5" w:rsidRDefault="006A6E5C">
            <w:pPr>
              <w:pStyle w:val="a2"/>
              <w:rPr>
                <w:b/>
                <w:bCs/>
                <w:color w:val="000000" w:themeColor="text1"/>
                <w:szCs w:val="24"/>
              </w:rPr>
            </w:pPr>
            <w:r w:rsidRPr="00DF0CD5">
              <w:rPr>
                <w:b/>
                <w:bCs/>
                <w:color w:val="000000" w:themeColor="text1"/>
                <w:szCs w:val="24"/>
              </w:rPr>
              <w:t>Primer Sequence (5'to3')</w:t>
            </w:r>
          </w:p>
        </w:tc>
        <w:tc>
          <w:tcPr>
            <w:tcW w:w="0" w:type="auto"/>
          </w:tcPr>
          <w:p w14:paraId="784EFF52" w14:textId="77777777" w:rsidR="00875D55" w:rsidRPr="00DF0CD5" w:rsidRDefault="006A6E5C">
            <w:pPr>
              <w:pStyle w:val="a2"/>
              <w:rPr>
                <w:b/>
                <w:bCs/>
                <w:color w:val="000000" w:themeColor="text1"/>
                <w:szCs w:val="24"/>
              </w:rPr>
            </w:pPr>
            <w:r w:rsidRPr="00DF0CD5">
              <w:rPr>
                <w:b/>
                <w:bCs/>
                <w:color w:val="000000" w:themeColor="text1"/>
                <w:szCs w:val="24"/>
              </w:rPr>
              <w:t>Size</w:t>
            </w:r>
          </w:p>
        </w:tc>
      </w:tr>
      <w:tr w:rsidR="00DF0CD5" w:rsidRPr="00DF0CD5" w14:paraId="4C3C7677" w14:textId="77777777" w:rsidTr="00875D55">
        <w:trPr>
          <w:trHeight w:val="330"/>
        </w:trPr>
        <w:tc>
          <w:tcPr>
            <w:tcW w:w="0" w:type="auto"/>
          </w:tcPr>
          <w:p w14:paraId="3A45C344" w14:textId="77777777" w:rsidR="00875D55" w:rsidRPr="00DF0CD5" w:rsidRDefault="006A6E5C">
            <w:pPr>
              <w:pStyle w:val="a2"/>
              <w:rPr>
                <w:color w:val="000000" w:themeColor="text1"/>
                <w:kern w:val="2"/>
                <w:szCs w:val="24"/>
              </w:rPr>
            </w:pPr>
            <w:r w:rsidRPr="00DF0CD5">
              <w:rPr>
                <w:color w:val="000000" w:themeColor="text1"/>
                <w:kern w:val="2"/>
                <w:szCs w:val="24"/>
              </w:rPr>
              <w:t>mmu-miRNA-21</w:t>
            </w:r>
          </w:p>
        </w:tc>
        <w:tc>
          <w:tcPr>
            <w:tcW w:w="0" w:type="auto"/>
          </w:tcPr>
          <w:p w14:paraId="2160E5AA" w14:textId="77777777" w:rsidR="00875D55" w:rsidRPr="00DF0CD5" w:rsidRDefault="006A6E5C">
            <w:pPr>
              <w:pStyle w:val="a2"/>
              <w:rPr>
                <w:color w:val="000000" w:themeColor="text1"/>
                <w:kern w:val="2"/>
                <w:szCs w:val="24"/>
              </w:rPr>
            </w:pPr>
            <w:r w:rsidRPr="00DF0CD5">
              <w:rPr>
                <w:color w:val="000000" w:themeColor="text1"/>
                <w:szCs w:val="24"/>
              </w:rPr>
              <w:t xml:space="preserve">upstream </w:t>
            </w:r>
          </w:p>
        </w:tc>
        <w:tc>
          <w:tcPr>
            <w:tcW w:w="0" w:type="auto"/>
          </w:tcPr>
          <w:p w14:paraId="1D577C0F" w14:textId="77777777" w:rsidR="00875D55" w:rsidRPr="00DF0CD5" w:rsidRDefault="006A6E5C">
            <w:pPr>
              <w:pStyle w:val="a2"/>
              <w:rPr>
                <w:color w:val="000000" w:themeColor="text1"/>
                <w:kern w:val="2"/>
                <w:szCs w:val="24"/>
              </w:rPr>
            </w:pPr>
            <w:r w:rsidRPr="00DF0CD5">
              <w:rPr>
                <w:color w:val="000000" w:themeColor="text1"/>
                <w:kern w:val="2"/>
                <w:szCs w:val="24"/>
              </w:rPr>
              <w:t>TAGCTTATCAGACTGATGTTG</w:t>
            </w:r>
          </w:p>
        </w:tc>
        <w:tc>
          <w:tcPr>
            <w:tcW w:w="0" w:type="auto"/>
            <w:vMerge w:val="restart"/>
          </w:tcPr>
          <w:p w14:paraId="403F01FF" w14:textId="77777777" w:rsidR="00875D55" w:rsidRPr="00DF0CD5" w:rsidRDefault="006A6E5C">
            <w:pPr>
              <w:pStyle w:val="a2"/>
              <w:rPr>
                <w:color w:val="000000" w:themeColor="text1"/>
                <w:kern w:val="2"/>
                <w:szCs w:val="24"/>
              </w:rPr>
            </w:pPr>
            <w:r w:rsidRPr="00DF0CD5">
              <w:rPr>
                <w:color w:val="000000" w:themeColor="text1"/>
                <w:kern w:val="2"/>
                <w:szCs w:val="24"/>
              </w:rPr>
              <w:t>65bp</w:t>
            </w:r>
          </w:p>
        </w:tc>
      </w:tr>
      <w:tr w:rsidR="00DF0CD5" w:rsidRPr="00DF0CD5" w14:paraId="248E43BA" w14:textId="77777777" w:rsidTr="00875D55">
        <w:trPr>
          <w:trHeight w:val="330"/>
        </w:trPr>
        <w:tc>
          <w:tcPr>
            <w:tcW w:w="0" w:type="auto"/>
          </w:tcPr>
          <w:p w14:paraId="4699A379" w14:textId="77777777" w:rsidR="00875D55" w:rsidRPr="00DF0CD5" w:rsidRDefault="006A6E5C">
            <w:pPr>
              <w:pStyle w:val="a2"/>
              <w:rPr>
                <w:color w:val="000000" w:themeColor="text1"/>
                <w:kern w:val="2"/>
                <w:szCs w:val="24"/>
              </w:rPr>
            </w:pPr>
            <w:r w:rsidRPr="00DF0CD5">
              <w:rPr>
                <w:color w:val="000000" w:themeColor="text1"/>
                <w:kern w:val="2"/>
                <w:szCs w:val="24"/>
              </w:rPr>
              <w:t>mmu-miRNA-21</w:t>
            </w:r>
          </w:p>
        </w:tc>
        <w:tc>
          <w:tcPr>
            <w:tcW w:w="0" w:type="auto"/>
          </w:tcPr>
          <w:p w14:paraId="0F21368C" w14:textId="77777777" w:rsidR="00875D55" w:rsidRPr="00DF0CD5" w:rsidRDefault="006A6E5C">
            <w:pPr>
              <w:pStyle w:val="a2"/>
              <w:rPr>
                <w:color w:val="000000" w:themeColor="text1"/>
                <w:kern w:val="2"/>
                <w:szCs w:val="24"/>
              </w:rPr>
            </w:pPr>
            <w:r w:rsidRPr="00DF0CD5">
              <w:rPr>
                <w:color w:val="000000" w:themeColor="text1"/>
                <w:szCs w:val="24"/>
              </w:rPr>
              <w:t xml:space="preserve">downstream </w:t>
            </w:r>
          </w:p>
        </w:tc>
        <w:tc>
          <w:tcPr>
            <w:tcW w:w="0" w:type="auto"/>
          </w:tcPr>
          <w:p w14:paraId="08364752" w14:textId="77777777" w:rsidR="00875D55" w:rsidRPr="00DF0CD5" w:rsidRDefault="006A6E5C">
            <w:pPr>
              <w:pStyle w:val="a2"/>
              <w:rPr>
                <w:color w:val="000000" w:themeColor="text1"/>
                <w:kern w:val="2"/>
                <w:szCs w:val="24"/>
              </w:rPr>
            </w:pPr>
            <w:r w:rsidRPr="00DF0CD5">
              <w:rPr>
                <w:color w:val="000000" w:themeColor="text1"/>
                <w:kern w:val="2"/>
                <w:szCs w:val="24"/>
              </w:rPr>
              <w:t>GGCCAACCGCGAGAAGATG</w:t>
            </w:r>
          </w:p>
        </w:tc>
        <w:tc>
          <w:tcPr>
            <w:tcW w:w="0" w:type="auto"/>
            <w:vMerge/>
          </w:tcPr>
          <w:p w14:paraId="255AB995" w14:textId="77777777" w:rsidR="00875D55" w:rsidRPr="00DF0CD5" w:rsidRDefault="00875D55">
            <w:pPr>
              <w:pStyle w:val="a2"/>
              <w:rPr>
                <w:color w:val="000000" w:themeColor="text1"/>
                <w:kern w:val="2"/>
                <w:szCs w:val="24"/>
              </w:rPr>
            </w:pPr>
          </w:p>
        </w:tc>
      </w:tr>
      <w:tr w:rsidR="00DF0CD5" w:rsidRPr="00DF0CD5" w14:paraId="159084D4" w14:textId="77777777" w:rsidTr="00875D55">
        <w:trPr>
          <w:trHeight w:val="330"/>
        </w:trPr>
        <w:tc>
          <w:tcPr>
            <w:tcW w:w="0" w:type="auto"/>
          </w:tcPr>
          <w:p w14:paraId="00C8EBB3" w14:textId="77777777" w:rsidR="00875D55" w:rsidRPr="00DF0CD5" w:rsidRDefault="006A6E5C">
            <w:pPr>
              <w:pStyle w:val="a2"/>
              <w:rPr>
                <w:color w:val="000000" w:themeColor="text1"/>
                <w:kern w:val="2"/>
                <w:szCs w:val="24"/>
              </w:rPr>
            </w:pPr>
            <w:r w:rsidRPr="00DF0CD5">
              <w:rPr>
                <w:color w:val="000000" w:themeColor="text1"/>
                <w:kern w:val="2"/>
                <w:szCs w:val="24"/>
              </w:rPr>
              <w:t>U6</w:t>
            </w:r>
            <w:r w:rsidRPr="00DF0CD5">
              <w:rPr>
                <w:color w:val="000000" w:themeColor="text1"/>
                <w:szCs w:val="24"/>
              </w:rPr>
              <w:t xml:space="preserve"> </w:t>
            </w:r>
            <w:r w:rsidRPr="00DF0CD5">
              <w:rPr>
                <w:color w:val="000000" w:themeColor="text1"/>
                <w:kern w:val="2"/>
                <w:szCs w:val="24"/>
              </w:rPr>
              <w:t>internal control</w:t>
            </w:r>
          </w:p>
        </w:tc>
        <w:tc>
          <w:tcPr>
            <w:tcW w:w="0" w:type="auto"/>
          </w:tcPr>
          <w:p w14:paraId="3706DD30" w14:textId="77777777" w:rsidR="00875D55" w:rsidRPr="00DF0CD5" w:rsidRDefault="006A6E5C">
            <w:pPr>
              <w:pStyle w:val="a2"/>
              <w:rPr>
                <w:color w:val="000000" w:themeColor="text1"/>
                <w:kern w:val="2"/>
                <w:szCs w:val="24"/>
              </w:rPr>
            </w:pPr>
            <w:r w:rsidRPr="00DF0CD5">
              <w:rPr>
                <w:color w:val="000000" w:themeColor="text1"/>
                <w:szCs w:val="24"/>
              </w:rPr>
              <w:t>upstream</w:t>
            </w:r>
          </w:p>
        </w:tc>
        <w:tc>
          <w:tcPr>
            <w:tcW w:w="0" w:type="auto"/>
          </w:tcPr>
          <w:p w14:paraId="1D6045E5" w14:textId="77777777" w:rsidR="00875D55" w:rsidRPr="00DF0CD5" w:rsidRDefault="006A6E5C">
            <w:pPr>
              <w:pStyle w:val="a2"/>
              <w:rPr>
                <w:color w:val="000000" w:themeColor="text1"/>
                <w:kern w:val="2"/>
                <w:szCs w:val="24"/>
              </w:rPr>
            </w:pPr>
            <w:r w:rsidRPr="00DF0CD5">
              <w:rPr>
                <w:color w:val="000000" w:themeColor="text1"/>
                <w:kern w:val="2"/>
                <w:szCs w:val="24"/>
              </w:rPr>
              <w:t>CTGCGCAAGGATGACACGCAAATT</w:t>
            </w:r>
          </w:p>
        </w:tc>
        <w:tc>
          <w:tcPr>
            <w:tcW w:w="0" w:type="auto"/>
            <w:vMerge w:val="restart"/>
          </w:tcPr>
          <w:p w14:paraId="11661DC3" w14:textId="77777777" w:rsidR="00875D55" w:rsidRPr="00DF0CD5" w:rsidRDefault="006A6E5C">
            <w:pPr>
              <w:pStyle w:val="a2"/>
              <w:rPr>
                <w:color w:val="000000" w:themeColor="text1"/>
                <w:kern w:val="2"/>
                <w:szCs w:val="24"/>
              </w:rPr>
            </w:pPr>
            <w:r w:rsidRPr="00DF0CD5">
              <w:rPr>
                <w:color w:val="000000" w:themeColor="text1"/>
                <w:kern w:val="2"/>
                <w:szCs w:val="24"/>
              </w:rPr>
              <w:t>69bp</w:t>
            </w:r>
          </w:p>
        </w:tc>
      </w:tr>
      <w:tr w:rsidR="00DF0CD5" w:rsidRPr="00DF0CD5" w14:paraId="42FE26A0" w14:textId="77777777" w:rsidTr="00875D55">
        <w:trPr>
          <w:trHeight w:val="330"/>
        </w:trPr>
        <w:tc>
          <w:tcPr>
            <w:tcW w:w="0" w:type="auto"/>
          </w:tcPr>
          <w:p w14:paraId="64447B53" w14:textId="77777777" w:rsidR="00875D55" w:rsidRPr="00DF0CD5" w:rsidRDefault="006A6E5C">
            <w:pPr>
              <w:pStyle w:val="a2"/>
              <w:rPr>
                <w:color w:val="000000" w:themeColor="text1"/>
                <w:kern w:val="2"/>
                <w:szCs w:val="24"/>
              </w:rPr>
            </w:pPr>
            <w:r w:rsidRPr="00DF0CD5">
              <w:rPr>
                <w:color w:val="000000" w:themeColor="text1"/>
                <w:kern w:val="2"/>
                <w:szCs w:val="24"/>
              </w:rPr>
              <w:t>U6</w:t>
            </w:r>
            <w:r w:rsidRPr="00DF0CD5">
              <w:rPr>
                <w:color w:val="000000" w:themeColor="text1"/>
                <w:szCs w:val="24"/>
              </w:rPr>
              <w:t xml:space="preserve"> </w:t>
            </w:r>
            <w:r w:rsidRPr="00DF0CD5">
              <w:rPr>
                <w:color w:val="000000" w:themeColor="text1"/>
                <w:kern w:val="2"/>
                <w:szCs w:val="24"/>
              </w:rPr>
              <w:t>internal control</w:t>
            </w:r>
          </w:p>
        </w:tc>
        <w:tc>
          <w:tcPr>
            <w:tcW w:w="0" w:type="auto"/>
          </w:tcPr>
          <w:p w14:paraId="323C15D7" w14:textId="77777777" w:rsidR="00875D55" w:rsidRPr="00DF0CD5" w:rsidRDefault="006A6E5C">
            <w:pPr>
              <w:pStyle w:val="a2"/>
              <w:rPr>
                <w:color w:val="000000" w:themeColor="text1"/>
                <w:kern w:val="2"/>
                <w:szCs w:val="24"/>
              </w:rPr>
            </w:pPr>
            <w:r w:rsidRPr="00DF0CD5">
              <w:rPr>
                <w:color w:val="000000" w:themeColor="text1"/>
                <w:szCs w:val="24"/>
              </w:rPr>
              <w:t xml:space="preserve">downstream </w:t>
            </w:r>
          </w:p>
        </w:tc>
        <w:tc>
          <w:tcPr>
            <w:tcW w:w="0" w:type="auto"/>
          </w:tcPr>
          <w:p w14:paraId="461EA828" w14:textId="77777777" w:rsidR="00875D55" w:rsidRPr="00DF0CD5" w:rsidRDefault="006A6E5C">
            <w:pPr>
              <w:pStyle w:val="a2"/>
              <w:rPr>
                <w:color w:val="000000" w:themeColor="text1"/>
                <w:kern w:val="2"/>
                <w:szCs w:val="24"/>
              </w:rPr>
            </w:pPr>
            <w:r w:rsidRPr="00DF0CD5">
              <w:rPr>
                <w:color w:val="000000" w:themeColor="text1"/>
                <w:kern w:val="2"/>
                <w:szCs w:val="24"/>
              </w:rPr>
              <w:t>GGCCAACCGCGAGAAGATG</w:t>
            </w:r>
          </w:p>
        </w:tc>
        <w:tc>
          <w:tcPr>
            <w:tcW w:w="0" w:type="auto"/>
            <w:vMerge/>
          </w:tcPr>
          <w:p w14:paraId="2125D236" w14:textId="77777777" w:rsidR="00875D55" w:rsidRPr="00DF0CD5" w:rsidRDefault="00875D55">
            <w:pPr>
              <w:pStyle w:val="a2"/>
              <w:rPr>
                <w:color w:val="000000" w:themeColor="text1"/>
                <w:kern w:val="2"/>
                <w:szCs w:val="24"/>
              </w:rPr>
            </w:pPr>
          </w:p>
        </w:tc>
      </w:tr>
    </w:tbl>
    <w:p w14:paraId="2B1CAD21" w14:textId="77777777" w:rsidR="00875D55" w:rsidRPr="00DF0CD5" w:rsidRDefault="00875D55">
      <w:pPr>
        <w:adjustRightInd w:val="0"/>
        <w:ind w:firstLineChars="0"/>
        <w:rPr>
          <w:color w:val="000000" w:themeColor="text1"/>
        </w:rPr>
      </w:pPr>
    </w:p>
    <w:p w14:paraId="062A9F23" w14:textId="77777777" w:rsidR="00875D55" w:rsidRPr="00DF0CD5" w:rsidRDefault="00875D55">
      <w:pPr>
        <w:adjustRightInd w:val="0"/>
        <w:ind w:firstLineChars="0"/>
        <w:rPr>
          <w:color w:val="000000" w:themeColor="text1"/>
        </w:rPr>
      </w:pPr>
    </w:p>
    <w:p w14:paraId="2C27B485" w14:textId="77777777" w:rsidR="00875D55" w:rsidRPr="00DF0CD5" w:rsidRDefault="006A6E5C">
      <w:pPr>
        <w:adjustRightInd w:val="0"/>
        <w:ind w:firstLineChars="0"/>
        <w:rPr>
          <w:b/>
          <w:bCs/>
          <w:color w:val="000000" w:themeColor="text1"/>
        </w:rPr>
      </w:pPr>
      <w:r w:rsidRPr="00DF0CD5">
        <w:rPr>
          <w:rFonts w:hint="eastAsia"/>
          <w:b/>
          <w:bCs/>
          <w:color w:val="000000" w:themeColor="text1"/>
        </w:rPr>
        <w:t>R</w:t>
      </w:r>
      <w:r w:rsidRPr="00DF0CD5">
        <w:rPr>
          <w:b/>
          <w:bCs/>
          <w:color w:val="000000" w:themeColor="text1"/>
        </w:rPr>
        <w:t>eference</w:t>
      </w:r>
    </w:p>
    <w:p w14:paraId="0A450BA4" w14:textId="77777777" w:rsidR="00875D55" w:rsidRPr="00DF0CD5" w:rsidRDefault="006A6E5C">
      <w:pPr>
        <w:pStyle w:val="EndNoteBibliography"/>
        <w:ind w:firstLine="480"/>
        <w:rPr>
          <w:color w:val="000000" w:themeColor="text1"/>
        </w:rPr>
      </w:pPr>
      <w:r w:rsidRPr="00DF0CD5">
        <w:rPr>
          <w:color w:val="000000" w:themeColor="text1"/>
        </w:rPr>
        <w:t>1.</w:t>
      </w:r>
      <w:r w:rsidRPr="00DF0CD5">
        <w:rPr>
          <w:color w:val="000000" w:themeColor="text1"/>
        </w:rPr>
        <w:tab/>
        <w:t>Chen BY, Lin WZ, Li YL, Bi C, Du LJ, Liu Y, Zhou LJ, Liu T, Xu S, Shi CJ</w:t>
      </w:r>
      <w:r w:rsidRPr="00DF0CD5">
        <w:rPr>
          <w:i/>
          <w:color w:val="000000" w:themeColor="text1"/>
        </w:rPr>
        <w:t xml:space="preserve"> et al</w:t>
      </w:r>
      <w:r w:rsidRPr="00DF0CD5">
        <w:rPr>
          <w:color w:val="000000" w:themeColor="text1"/>
        </w:rPr>
        <w:t xml:space="preserve">: </w:t>
      </w:r>
      <w:r w:rsidRPr="00DF0CD5">
        <w:rPr>
          <w:b/>
          <w:color w:val="000000" w:themeColor="text1"/>
        </w:rPr>
        <w:t>Roles of oral microbiota and oral-gut microbial transmission in hypertension</w:t>
      </w:r>
      <w:r w:rsidRPr="00DF0CD5">
        <w:rPr>
          <w:color w:val="000000" w:themeColor="text1"/>
        </w:rPr>
        <w:t xml:space="preserve">. </w:t>
      </w:r>
      <w:r w:rsidRPr="00DF0CD5">
        <w:rPr>
          <w:i/>
          <w:color w:val="000000" w:themeColor="text1"/>
        </w:rPr>
        <w:t xml:space="preserve">J Adv Res </w:t>
      </w:r>
      <w:r w:rsidRPr="00DF0CD5">
        <w:rPr>
          <w:color w:val="000000" w:themeColor="text1"/>
        </w:rPr>
        <w:t xml:space="preserve">2023, </w:t>
      </w:r>
      <w:r w:rsidRPr="00DF0CD5">
        <w:rPr>
          <w:b/>
          <w:color w:val="000000" w:themeColor="text1"/>
        </w:rPr>
        <w:t>43</w:t>
      </w:r>
      <w:r w:rsidRPr="00DF0CD5">
        <w:rPr>
          <w:color w:val="000000" w:themeColor="text1"/>
        </w:rPr>
        <w:t>:147-161.</w:t>
      </w:r>
    </w:p>
    <w:p w14:paraId="15DC4455" w14:textId="77777777" w:rsidR="00875D55" w:rsidRPr="00DF0CD5" w:rsidRDefault="006A6E5C">
      <w:pPr>
        <w:pStyle w:val="EndNoteBibliography"/>
        <w:ind w:firstLine="480"/>
        <w:rPr>
          <w:color w:val="000000" w:themeColor="text1"/>
        </w:rPr>
      </w:pPr>
      <w:r w:rsidRPr="00DF0CD5">
        <w:rPr>
          <w:color w:val="000000" w:themeColor="text1"/>
        </w:rPr>
        <w:t>2.</w:t>
      </w:r>
      <w:r w:rsidRPr="00DF0CD5">
        <w:rPr>
          <w:color w:val="000000" w:themeColor="text1"/>
        </w:rPr>
        <w:tab/>
      </w:r>
      <w:r w:rsidRPr="00DF0CD5">
        <w:rPr>
          <w:b/>
          <w:color w:val="000000" w:themeColor="text1"/>
        </w:rPr>
        <w:t>2. Classification and Diagnosis of Diabetes: Standards of Medical Care in Diabetes-2021</w:t>
      </w:r>
      <w:r w:rsidRPr="00DF0CD5">
        <w:rPr>
          <w:color w:val="000000" w:themeColor="text1"/>
        </w:rPr>
        <w:t xml:space="preserve">. </w:t>
      </w:r>
      <w:r w:rsidRPr="00DF0CD5">
        <w:rPr>
          <w:i/>
          <w:color w:val="000000" w:themeColor="text1"/>
        </w:rPr>
        <w:t xml:space="preserve">Diabetes Care </w:t>
      </w:r>
      <w:r w:rsidRPr="00DF0CD5">
        <w:rPr>
          <w:color w:val="000000" w:themeColor="text1"/>
        </w:rPr>
        <w:t xml:space="preserve">2021, </w:t>
      </w:r>
      <w:r w:rsidRPr="00DF0CD5">
        <w:rPr>
          <w:b/>
          <w:color w:val="000000" w:themeColor="text1"/>
        </w:rPr>
        <w:t>44</w:t>
      </w:r>
      <w:r w:rsidRPr="00DF0CD5">
        <w:rPr>
          <w:color w:val="000000" w:themeColor="text1"/>
        </w:rPr>
        <w:t>(Suppl 1):S15-s33.</w:t>
      </w:r>
    </w:p>
    <w:p w14:paraId="3E363BBC" w14:textId="77777777" w:rsidR="00875D55" w:rsidRPr="00DF0CD5" w:rsidRDefault="006A6E5C">
      <w:pPr>
        <w:pStyle w:val="EndNoteBibliography"/>
        <w:ind w:firstLine="480"/>
        <w:rPr>
          <w:color w:val="000000" w:themeColor="text1"/>
        </w:rPr>
      </w:pPr>
      <w:r w:rsidRPr="00DF0CD5">
        <w:rPr>
          <w:color w:val="000000" w:themeColor="text1"/>
        </w:rPr>
        <w:t>3.</w:t>
      </w:r>
      <w:r w:rsidRPr="00DF0CD5">
        <w:rPr>
          <w:color w:val="000000" w:themeColor="text1"/>
        </w:rPr>
        <w:tab/>
        <w:t>Fihn SD, Gardin JM, Abrams J, Berra K, Blankenship JC, Dallas AP, Douglas PS, Foody JM, Gerber TC, Hinderliter AL</w:t>
      </w:r>
      <w:r w:rsidRPr="00DF0CD5">
        <w:rPr>
          <w:i/>
          <w:color w:val="000000" w:themeColor="text1"/>
        </w:rPr>
        <w:t xml:space="preserve"> et al</w:t>
      </w:r>
      <w:r w:rsidRPr="00DF0CD5">
        <w:rPr>
          <w:color w:val="000000" w:themeColor="text1"/>
        </w:rPr>
        <w:t xml:space="preserve">: </w:t>
      </w:r>
      <w:r w:rsidRPr="00DF0CD5">
        <w:rPr>
          <w:b/>
          <w:color w:val="000000" w:themeColor="text1"/>
        </w:rPr>
        <w:t>2012 ACCF/AHA/ACP/AATS/PCNA/SCAI/STS Guideline for the diagnosis and management of patients with stable ischemic heart disease: a report of the American College of Cardiology Foundation/American Heart Association Task Force on Practice Guidelines, and the American College of Physicians, American Association for Thoracic Surgery, Preventive Cardiovascular Nurses Association, Society for Cardiovascular Angiography and Interventions, and Society of Thoracic Surgeons</w:t>
      </w:r>
      <w:r w:rsidRPr="00DF0CD5">
        <w:rPr>
          <w:color w:val="000000" w:themeColor="text1"/>
        </w:rPr>
        <w:t xml:space="preserve">. </w:t>
      </w:r>
      <w:r w:rsidRPr="00DF0CD5">
        <w:rPr>
          <w:i/>
          <w:color w:val="000000" w:themeColor="text1"/>
        </w:rPr>
        <w:t xml:space="preserve">J Am Coll Cardiol </w:t>
      </w:r>
      <w:r w:rsidRPr="00DF0CD5">
        <w:rPr>
          <w:color w:val="000000" w:themeColor="text1"/>
        </w:rPr>
        <w:t xml:space="preserve">2012, </w:t>
      </w:r>
      <w:r w:rsidRPr="00DF0CD5">
        <w:rPr>
          <w:b/>
          <w:color w:val="000000" w:themeColor="text1"/>
        </w:rPr>
        <w:t>60</w:t>
      </w:r>
      <w:r w:rsidRPr="00DF0CD5">
        <w:rPr>
          <w:color w:val="000000" w:themeColor="text1"/>
        </w:rPr>
        <w:t>(24):e44-e164.</w:t>
      </w:r>
    </w:p>
    <w:p w14:paraId="419E6062" w14:textId="77777777" w:rsidR="00875D55" w:rsidRPr="00DF0CD5" w:rsidRDefault="006A6E5C">
      <w:pPr>
        <w:pStyle w:val="EndNoteBibliography"/>
        <w:ind w:firstLine="480"/>
        <w:rPr>
          <w:color w:val="000000" w:themeColor="text1"/>
        </w:rPr>
      </w:pPr>
      <w:r w:rsidRPr="00DF0CD5">
        <w:rPr>
          <w:rFonts w:hint="eastAsia"/>
          <w:color w:val="000000" w:themeColor="text1"/>
        </w:rPr>
        <w:t>4.</w:t>
      </w:r>
      <w:r w:rsidRPr="00DF0CD5">
        <w:rPr>
          <w:rFonts w:hint="eastAsia"/>
          <w:color w:val="000000" w:themeColor="text1"/>
        </w:rPr>
        <w:tab/>
      </w:r>
      <w:r w:rsidRPr="00DF0CD5">
        <w:rPr>
          <w:color w:val="000000" w:themeColor="text1"/>
        </w:rPr>
        <w:t xml:space="preserve">Chinese Medical Association Emergency Physicians Branch, Emergency and First Aid Branch of the Chinese Healthcare International Exchange Promotion Association. </w:t>
      </w:r>
      <w:r w:rsidRPr="00DF0CD5">
        <w:rPr>
          <w:b/>
          <w:bCs/>
          <w:color w:val="000000" w:themeColor="text1"/>
        </w:rPr>
        <w:t>Emergency Rapid Diagnosis and Treatment Guidelines for Acute Coronary Syndrome (2019)</w:t>
      </w:r>
      <w:r w:rsidRPr="00DF0CD5">
        <w:rPr>
          <w:color w:val="000000" w:themeColor="text1"/>
        </w:rPr>
        <w:t xml:space="preserve">. </w:t>
      </w:r>
      <w:r w:rsidRPr="00DF0CD5">
        <w:rPr>
          <w:i/>
          <w:iCs/>
          <w:color w:val="000000" w:themeColor="text1"/>
        </w:rPr>
        <w:t xml:space="preserve">Chinese Journal of Emergency Medicine </w:t>
      </w:r>
      <w:r w:rsidRPr="00DF0CD5">
        <w:rPr>
          <w:color w:val="000000" w:themeColor="text1"/>
        </w:rPr>
        <w:t xml:space="preserve">2019; </w:t>
      </w:r>
      <w:r w:rsidRPr="00DF0CD5">
        <w:rPr>
          <w:b/>
          <w:bCs/>
          <w:color w:val="000000" w:themeColor="text1"/>
        </w:rPr>
        <w:t>(04)</w:t>
      </w:r>
      <w:r w:rsidRPr="00DF0CD5">
        <w:rPr>
          <w:color w:val="000000" w:themeColor="text1"/>
        </w:rPr>
        <w:t>: 421-8.</w:t>
      </w:r>
      <w:r w:rsidRPr="00DF0CD5">
        <w:rPr>
          <w:rFonts w:hint="eastAsia"/>
          <w:color w:val="000000" w:themeColor="text1"/>
        </w:rPr>
        <w:t xml:space="preserve"> </w:t>
      </w:r>
    </w:p>
    <w:p w14:paraId="73E45535" w14:textId="77777777" w:rsidR="00875D55" w:rsidRPr="00DF0CD5" w:rsidRDefault="006A6E5C">
      <w:pPr>
        <w:pStyle w:val="EndNoteBibliography"/>
        <w:ind w:firstLine="480"/>
        <w:rPr>
          <w:color w:val="000000" w:themeColor="text1"/>
        </w:rPr>
      </w:pPr>
      <w:r w:rsidRPr="00DF0CD5">
        <w:rPr>
          <w:color w:val="000000" w:themeColor="text1"/>
        </w:rPr>
        <w:t>5.</w:t>
      </w:r>
      <w:r w:rsidRPr="00DF0CD5">
        <w:rPr>
          <w:color w:val="000000" w:themeColor="text1"/>
        </w:rPr>
        <w:tab/>
        <w:t>Collet JP, Thiele H, Barbato E, Barthélémy O, Bauersachs J, Bhatt DL, Dendale P, Dorobantu M, Edvardsen T, Folliguet T</w:t>
      </w:r>
      <w:r w:rsidRPr="00DF0CD5">
        <w:rPr>
          <w:i/>
          <w:color w:val="000000" w:themeColor="text1"/>
        </w:rPr>
        <w:t xml:space="preserve"> et al</w:t>
      </w:r>
      <w:r w:rsidRPr="00DF0CD5">
        <w:rPr>
          <w:color w:val="000000" w:themeColor="text1"/>
        </w:rPr>
        <w:t xml:space="preserve">: </w:t>
      </w:r>
      <w:r w:rsidRPr="00DF0CD5">
        <w:rPr>
          <w:b/>
          <w:color w:val="000000" w:themeColor="text1"/>
        </w:rPr>
        <w:t>2020 ESC Guidelines for the management of acute coronary syndromes in patients presenting without persistent ST-segment elevation</w:t>
      </w:r>
      <w:r w:rsidRPr="00DF0CD5">
        <w:rPr>
          <w:color w:val="000000" w:themeColor="text1"/>
        </w:rPr>
        <w:t xml:space="preserve">. </w:t>
      </w:r>
      <w:r w:rsidRPr="00DF0CD5">
        <w:rPr>
          <w:i/>
          <w:color w:val="000000" w:themeColor="text1"/>
        </w:rPr>
        <w:t xml:space="preserve">Eur Heart J </w:t>
      </w:r>
      <w:r w:rsidRPr="00DF0CD5">
        <w:rPr>
          <w:color w:val="000000" w:themeColor="text1"/>
        </w:rPr>
        <w:t xml:space="preserve">2021, </w:t>
      </w:r>
      <w:r w:rsidRPr="00DF0CD5">
        <w:rPr>
          <w:b/>
          <w:color w:val="000000" w:themeColor="text1"/>
        </w:rPr>
        <w:t>42</w:t>
      </w:r>
      <w:r w:rsidRPr="00DF0CD5">
        <w:rPr>
          <w:color w:val="000000" w:themeColor="text1"/>
        </w:rPr>
        <w:t>(14):1289-1367.</w:t>
      </w:r>
    </w:p>
    <w:p w14:paraId="19A5C8A5" w14:textId="77777777" w:rsidR="00875D55" w:rsidRPr="00DF0CD5" w:rsidRDefault="006A6E5C">
      <w:pPr>
        <w:pStyle w:val="EndNoteBibliography"/>
        <w:ind w:firstLine="480"/>
        <w:rPr>
          <w:color w:val="000000" w:themeColor="text1"/>
        </w:rPr>
      </w:pPr>
      <w:r w:rsidRPr="00DF0CD5">
        <w:rPr>
          <w:color w:val="000000" w:themeColor="text1"/>
        </w:rPr>
        <w:t>6.</w:t>
      </w:r>
      <w:r w:rsidRPr="00DF0CD5">
        <w:rPr>
          <w:color w:val="000000" w:themeColor="text1"/>
        </w:rPr>
        <w:tab/>
        <w:t xml:space="preserve">Lu H, Zou P, Zhang Y, Zhang Q, Chen Z, Chen F: </w:t>
      </w:r>
      <w:r w:rsidRPr="00DF0CD5">
        <w:rPr>
          <w:b/>
          <w:color w:val="000000" w:themeColor="text1"/>
        </w:rPr>
        <w:t>The sampling strategy of oral microbiome</w:t>
      </w:r>
      <w:r w:rsidRPr="00DF0CD5">
        <w:rPr>
          <w:color w:val="000000" w:themeColor="text1"/>
        </w:rPr>
        <w:t xml:space="preserve">. </w:t>
      </w:r>
      <w:r w:rsidRPr="00DF0CD5">
        <w:rPr>
          <w:i/>
          <w:color w:val="000000" w:themeColor="text1"/>
        </w:rPr>
        <w:t xml:space="preserve">iMeta </w:t>
      </w:r>
      <w:r w:rsidRPr="00DF0CD5">
        <w:rPr>
          <w:color w:val="000000" w:themeColor="text1"/>
        </w:rPr>
        <w:t xml:space="preserve">2022, </w:t>
      </w:r>
      <w:r w:rsidRPr="00DF0CD5">
        <w:rPr>
          <w:b/>
          <w:color w:val="000000" w:themeColor="text1"/>
        </w:rPr>
        <w:t>1</w:t>
      </w:r>
      <w:r w:rsidRPr="00DF0CD5">
        <w:rPr>
          <w:color w:val="000000" w:themeColor="text1"/>
        </w:rPr>
        <w:t>(2):e23.</w:t>
      </w:r>
    </w:p>
    <w:p w14:paraId="080F151F" w14:textId="77777777" w:rsidR="00875D55" w:rsidRPr="00DF0CD5" w:rsidRDefault="006A6E5C">
      <w:pPr>
        <w:pStyle w:val="EndNoteBibliography"/>
        <w:ind w:firstLine="480"/>
        <w:rPr>
          <w:color w:val="000000" w:themeColor="text1"/>
        </w:rPr>
      </w:pPr>
      <w:r w:rsidRPr="00DF0CD5">
        <w:rPr>
          <w:color w:val="000000" w:themeColor="text1"/>
        </w:rPr>
        <w:t>7.</w:t>
      </w:r>
      <w:r w:rsidRPr="00DF0CD5">
        <w:rPr>
          <w:color w:val="000000" w:themeColor="text1"/>
        </w:rPr>
        <w:tab/>
        <w:t xml:space="preserve">Wang JW, Kuo CH, Kuo FC, Wang YK, Hsu WH, Yu FJ, Hu HM, Hsu PI, Wang JY, Wu DC: </w:t>
      </w:r>
      <w:r w:rsidRPr="00DF0CD5">
        <w:rPr>
          <w:b/>
          <w:color w:val="000000" w:themeColor="text1"/>
        </w:rPr>
        <w:t>Fecal microbiota transplantation: Review and update</w:t>
      </w:r>
      <w:r w:rsidRPr="00DF0CD5">
        <w:rPr>
          <w:color w:val="000000" w:themeColor="text1"/>
        </w:rPr>
        <w:t xml:space="preserve">. </w:t>
      </w:r>
      <w:r w:rsidRPr="00DF0CD5">
        <w:rPr>
          <w:i/>
          <w:color w:val="000000" w:themeColor="text1"/>
        </w:rPr>
        <w:t xml:space="preserve">J Formos Med Assoc </w:t>
      </w:r>
      <w:r w:rsidRPr="00DF0CD5">
        <w:rPr>
          <w:color w:val="000000" w:themeColor="text1"/>
        </w:rPr>
        <w:t xml:space="preserve">2019, </w:t>
      </w:r>
      <w:r w:rsidRPr="00DF0CD5">
        <w:rPr>
          <w:b/>
          <w:color w:val="000000" w:themeColor="text1"/>
        </w:rPr>
        <w:t>118 Suppl 1</w:t>
      </w:r>
      <w:r w:rsidRPr="00DF0CD5">
        <w:rPr>
          <w:color w:val="000000" w:themeColor="text1"/>
        </w:rPr>
        <w:t>:S23-s31.</w:t>
      </w:r>
    </w:p>
    <w:p w14:paraId="45A9FC0F" w14:textId="77777777" w:rsidR="00875D55" w:rsidRPr="00DF0CD5" w:rsidRDefault="006A6E5C">
      <w:pPr>
        <w:pStyle w:val="EndNoteBibliography"/>
        <w:ind w:firstLine="480"/>
        <w:rPr>
          <w:color w:val="000000" w:themeColor="text1"/>
        </w:rPr>
      </w:pPr>
      <w:r w:rsidRPr="00DF0CD5">
        <w:rPr>
          <w:color w:val="000000" w:themeColor="text1"/>
        </w:rPr>
        <w:t>8.</w:t>
      </w:r>
      <w:r w:rsidRPr="00DF0CD5">
        <w:rPr>
          <w:color w:val="000000" w:themeColor="text1"/>
        </w:rPr>
        <w:tab/>
        <w:t xml:space="preserve">Caspi R, Billington R, Keseler IM, Kothari A, Krummenacker M, Midford PE, Ong WK, Paley S, Subhraveti P, Karp PD: </w:t>
      </w:r>
      <w:r w:rsidRPr="00DF0CD5">
        <w:rPr>
          <w:b/>
          <w:color w:val="000000" w:themeColor="text1"/>
        </w:rPr>
        <w:t>The MetaCyc database of metabolic pathways and enzymes - a 2019 update</w:t>
      </w:r>
      <w:r w:rsidRPr="00DF0CD5">
        <w:rPr>
          <w:color w:val="000000" w:themeColor="text1"/>
        </w:rPr>
        <w:t xml:space="preserve">. </w:t>
      </w:r>
      <w:r w:rsidRPr="00DF0CD5">
        <w:rPr>
          <w:i/>
          <w:color w:val="000000" w:themeColor="text1"/>
        </w:rPr>
        <w:t xml:space="preserve">Nucleic Acids Res </w:t>
      </w:r>
      <w:r w:rsidRPr="00DF0CD5">
        <w:rPr>
          <w:color w:val="000000" w:themeColor="text1"/>
        </w:rPr>
        <w:t xml:space="preserve">2020, </w:t>
      </w:r>
      <w:r w:rsidRPr="00DF0CD5">
        <w:rPr>
          <w:b/>
          <w:color w:val="000000" w:themeColor="text1"/>
        </w:rPr>
        <w:t>48</w:t>
      </w:r>
      <w:r w:rsidRPr="00DF0CD5">
        <w:rPr>
          <w:color w:val="000000" w:themeColor="text1"/>
        </w:rPr>
        <w:t>(D1):D445-d453.</w:t>
      </w:r>
    </w:p>
    <w:p w14:paraId="2537B553" w14:textId="77777777" w:rsidR="00875D55" w:rsidRPr="00DF0CD5" w:rsidRDefault="006A6E5C">
      <w:pPr>
        <w:pStyle w:val="EndNoteBibliography"/>
        <w:ind w:firstLine="480"/>
        <w:rPr>
          <w:color w:val="000000" w:themeColor="text1"/>
        </w:rPr>
      </w:pPr>
      <w:r w:rsidRPr="00DF0CD5">
        <w:rPr>
          <w:color w:val="000000" w:themeColor="text1"/>
        </w:rPr>
        <w:t>9.</w:t>
      </w:r>
      <w:r w:rsidRPr="00DF0CD5">
        <w:rPr>
          <w:color w:val="000000" w:themeColor="text1"/>
        </w:rPr>
        <w:tab/>
        <w:t xml:space="preserve">Asaf R, Blum S, Roguin A, Kalet-Litman S, Kheir J, Frisch A, Miller-Lotan R, Levy AP: </w:t>
      </w:r>
      <w:r w:rsidRPr="00DF0CD5">
        <w:rPr>
          <w:b/>
          <w:color w:val="000000" w:themeColor="text1"/>
        </w:rPr>
        <w:t>Haptoglobin genotype is a determinant of survival and cardiac remodeling after myocardial infarction in diabetic mice</w:t>
      </w:r>
      <w:r w:rsidRPr="00DF0CD5">
        <w:rPr>
          <w:color w:val="000000" w:themeColor="text1"/>
        </w:rPr>
        <w:t xml:space="preserve">. </w:t>
      </w:r>
      <w:r w:rsidRPr="00DF0CD5">
        <w:rPr>
          <w:i/>
          <w:color w:val="000000" w:themeColor="text1"/>
        </w:rPr>
        <w:t xml:space="preserve">Cardiovasc Diabetol </w:t>
      </w:r>
      <w:r w:rsidRPr="00DF0CD5">
        <w:rPr>
          <w:color w:val="000000" w:themeColor="text1"/>
        </w:rPr>
        <w:t xml:space="preserve">2009, </w:t>
      </w:r>
      <w:r w:rsidRPr="00DF0CD5">
        <w:rPr>
          <w:b/>
          <w:color w:val="000000" w:themeColor="text1"/>
        </w:rPr>
        <w:t>8</w:t>
      </w:r>
      <w:r w:rsidRPr="00DF0CD5">
        <w:rPr>
          <w:color w:val="000000" w:themeColor="text1"/>
        </w:rPr>
        <w:t>:29.</w:t>
      </w:r>
    </w:p>
    <w:p w14:paraId="6533FDE1" w14:textId="77777777" w:rsidR="00875D55" w:rsidRPr="00DF0CD5" w:rsidRDefault="006A6E5C">
      <w:pPr>
        <w:pStyle w:val="EndNoteBibliography"/>
        <w:ind w:firstLine="480"/>
        <w:rPr>
          <w:color w:val="000000" w:themeColor="text1"/>
        </w:rPr>
      </w:pPr>
      <w:r w:rsidRPr="00DF0CD5">
        <w:rPr>
          <w:color w:val="000000" w:themeColor="text1"/>
        </w:rPr>
        <w:t>10.</w:t>
      </w:r>
      <w:r w:rsidRPr="00DF0CD5">
        <w:rPr>
          <w:color w:val="000000" w:themeColor="text1"/>
        </w:rPr>
        <w:tab/>
        <w:t>Jiang K, Xu Y, Wang D, Chen F, Tu Z, Qian J, Xu S, Xu Y, Hwa J, Li J</w:t>
      </w:r>
      <w:r w:rsidRPr="00DF0CD5">
        <w:rPr>
          <w:i/>
          <w:color w:val="000000" w:themeColor="text1"/>
        </w:rPr>
        <w:t xml:space="preserve"> et al</w:t>
      </w:r>
      <w:r w:rsidRPr="00DF0CD5">
        <w:rPr>
          <w:color w:val="000000" w:themeColor="text1"/>
        </w:rPr>
        <w:t xml:space="preserve">: </w:t>
      </w:r>
      <w:r w:rsidRPr="00DF0CD5">
        <w:rPr>
          <w:b/>
          <w:color w:val="000000" w:themeColor="text1"/>
        </w:rPr>
        <w:t>Cardioprotective mechanism of SGLT2 inhibitor against myocardial infarction is through reduction of autosis</w:t>
      </w:r>
      <w:r w:rsidRPr="00DF0CD5">
        <w:rPr>
          <w:color w:val="000000" w:themeColor="text1"/>
        </w:rPr>
        <w:t xml:space="preserve">. </w:t>
      </w:r>
      <w:r w:rsidRPr="00DF0CD5">
        <w:rPr>
          <w:i/>
          <w:color w:val="000000" w:themeColor="text1"/>
        </w:rPr>
        <w:t xml:space="preserve">Protein Cell </w:t>
      </w:r>
      <w:r w:rsidRPr="00DF0CD5">
        <w:rPr>
          <w:color w:val="000000" w:themeColor="text1"/>
        </w:rPr>
        <w:t xml:space="preserve">2022, </w:t>
      </w:r>
      <w:r w:rsidRPr="00DF0CD5">
        <w:rPr>
          <w:b/>
          <w:color w:val="000000" w:themeColor="text1"/>
        </w:rPr>
        <w:t>13</w:t>
      </w:r>
      <w:r w:rsidRPr="00DF0CD5">
        <w:rPr>
          <w:color w:val="000000" w:themeColor="text1"/>
        </w:rPr>
        <w:t>(5):336-359.</w:t>
      </w:r>
    </w:p>
    <w:p w14:paraId="169F7A95" w14:textId="77777777" w:rsidR="00875D55" w:rsidRPr="00DF0CD5" w:rsidRDefault="006A6E5C">
      <w:pPr>
        <w:pStyle w:val="EndNoteBibliography"/>
        <w:ind w:firstLine="480"/>
        <w:rPr>
          <w:color w:val="000000" w:themeColor="text1"/>
        </w:rPr>
      </w:pPr>
      <w:r w:rsidRPr="00DF0CD5">
        <w:rPr>
          <w:color w:val="000000" w:themeColor="text1"/>
        </w:rPr>
        <w:t>11.</w:t>
      </w:r>
      <w:r w:rsidRPr="00DF0CD5">
        <w:rPr>
          <w:color w:val="000000" w:themeColor="text1"/>
        </w:rPr>
        <w:tab/>
        <w:t xml:space="preserve">Dong J, Li Y, Xiao H, Zhang S, Wang B, Wang H, Li Y, Fan S, Cui M: </w:t>
      </w:r>
      <w:r w:rsidRPr="00DF0CD5">
        <w:rPr>
          <w:b/>
          <w:color w:val="000000" w:themeColor="text1"/>
        </w:rPr>
        <w:t>Oral microbiota affects the efficacy and prognosis of radiotherapy for colorectal cancer in mouse models</w:t>
      </w:r>
      <w:r w:rsidRPr="00DF0CD5">
        <w:rPr>
          <w:color w:val="000000" w:themeColor="text1"/>
        </w:rPr>
        <w:t xml:space="preserve">. </w:t>
      </w:r>
      <w:r w:rsidRPr="00DF0CD5">
        <w:rPr>
          <w:i/>
          <w:color w:val="000000" w:themeColor="text1"/>
        </w:rPr>
        <w:t xml:space="preserve">Cell Rep </w:t>
      </w:r>
      <w:r w:rsidRPr="00DF0CD5">
        <w:rPr>
          <w:color w:val="000000" w:themeColor="text1"/>
        </w:rPr>
        <w:t xml:space="preserve">2021, </w:t>
      </w:r>
      <w:r w:rsidRPr="00DF0CD5">
        <w:rPr>
          <w:b/>
          <w:color w:val="000000" w:themeColor="text1"/>
        </w:rPr>
        <w:t>37</w:t>
      </w:r>
      <w:r w:rsidRPr="00DF0CD5">
        <w:rPr>
          <w:color w:val="000000" w:themeColor="text1"/>
        </w:rPr>
        <w:t>(4):109886.</w:t>
      </w:r>
    </w:p>
    <w:p w14:paraId="7F2E516F" w14:textId="77777777" w:rsidR="00875D55" w:rsidRPr="00DF0CD5" w:rsidRDefault="00875D55">
      <w:pPr>
        <w:adjustRightInd w:val="0"/>
        <w:ind w:firstLineChars="0"/>
        <w:rPr>
          <w:b/>
          <w:bCs/>
          <w:color w:val="000000" w:themeColor="text1"/>
        </w:rPr>
      </w:pPr>
    </w:p>
    <w:p w14:paraId="2EF70F14" w14:textId="77777777" w:rsidR="00875D55" w:rsidRPr="00DF0CD5" w:rsidRDefault="00875D55">
      <w:pPr>
        <w:ind w:firstLine="480"/>
        <w:rPr>
          <w:color w:val="000000" w:themeColor="text1"/>
        </w:rPr>
      </w:pPr>
    </w:p>
    <w:sectPr w:rsidR="00875D55" w:rsidRPr="00DF0CD5" w:rsidSect="00DF0CD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1DCB6" w14:textId="77777777" w:rsidR="000230F6" w:rsidRDefault="000230F6">
      <w:pPr>
        <w:spacing w:line="240" w:lineRule="auto"/>
        <w:ind w:firstLine="480"/>
      </w:pPr>
      <w:r>
        <w:separator/>
      </w:r>
    </w:p>
  </w:endnote>
  <w:endnote w:type="continuationSeparator" w:id="0">
    <w:p w14:paraId="70AD633C" w14:textId="77777777" w:rsidR="000230F6" w:rsidRDefault="000230F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default"/>
    <w:sig w:usb0="00000000"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default"/>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B5CE4E" w14:textId="77777777" w:rsidR="00875D55" w:rsidRDefault="00875D5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17567" w14:textId="77777777" w:rsidR="00875D55" w:rsidRDefault="00875D55">
    <w:pPr>
      <w:pStyle w:val="Foote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5D30A" w14:textId="77777777" w:rsidR="00875D55" w:rsidRDefault="00875D55">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4995A" w14:textId="77777777" w:rsidR="000230F6" w:rsidRDefault="000230F6">
      <w:pPr>
        <w:ind w:firstLine="480"/>
      </w:pPr>
      <w:r>
        <w:separator/>
      </w:r>
    </w:p>
  </w:footnote>
  <w:footnote w:type="continuationSeparator" w:id="0">
    <w:p w14:paraId="14136FBE" w14:textId="77777777" w:rsidR="000230F6" w:rsidRDefault="000230F6">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8584A6" w14:textId="77777777" w:rsidR="00875D55" w:rsidRDefault="00875D55">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8B966" w14:textId="77777777" w:rsidR="00875D55" w:rsidRDefault="00875D55">
    <w:pPr>
      <w:pStyle w:val="Heade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2F23B" w14:textId="77777777" w:rsidR="00875D55" w:rsidRDefault="00875D55">
    <w:pPr>
      <w:pStyle w:val="Heade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F5FB6"/>
    <w:multiLevelType w:val="multilevel"/>
    <w:tmpl w:val="23DF5FB6"/>
    <w:lvl w:ilvl="0">
      <w:start w:val="1"/>
      <w:numFmt w:val="chineseCountingThousand"/>
      <w:pStyle w:val="Heading1"/>
      <w:suff w:val="nothing"/>
      <w:lvlText w:val="第%1章"/>
      <w:lvlJc w:val="left"/>
      <w:pPr>
        <w:ind w:left="0" w:firstLine="0"/>
      </w:pPr>
      <w:rPr>
        <w:rFonts w:hint="eastAsia"/>
      </w:rPr>
    </w:lvl>
    <w:lvl w:ilvl="1">
      <w:start w:val="1"/>
      <w:numFmt w:val="none"/>
      <w:suff w:val="nothing"/>
      <w:lvlText w:val=""/>
      <w:lvlJc w:val="left"/>
      <w:pPr>
        <w:ind w:left="0" w:firstLine="0"/>
      </w:pPr>
      <w:rPr>
        <w:rFonts w:hint="eastAsia"/>
      </w:rPr>
    </w:lvl>
    <w:lvl w:ilvl="2">
      <w:start w:val="1"/>
      <w:numFmt w:val="none"/>
      <w:pStyle w:val="Heading3"/>
      <w:suff w:val="nothing"/>
      <w:lvlText w:val=""/>
      <w:lvlJc w:val="left"/>
      <w:pPr>
        <w:ind w:left="0" w:firstLine="0"/>
      </w:pPr>
      <w:rPr>
        <w:rFonts w:hint="eastAsia"/>
      </w:rPr>
    </w:lvl>
    <w:lvl w:ilvl="3">
      <w:start w:val="1"/>
      <w:numFmt w:val="none"/>
      <w:pStyle w:val="Heading4"/>
      <w:suff w:val="nothing"/>
      <w:lvlText w:val=""/>
      <w:lvlJc w:val="left"/>
      <w:pPr>
        <w:ind w:left="0" w:firstLine="0"/>
      </w:pPr>
      <w:rPr>
        <w:rFonts w:hint="eastAsia"/>
      </w:rPr>
    </w:lvl>
    <w:lvl w:ilvl="4">
      <w:start w:val="1"/>
      <w:numFmt w:val="none"/>
      <w:pStyle w:val="Heading5"/>
      <w:suff w:val="nothing"/>
      <w:lvlText w:val=""/>
      <w:lvlJc w:val="left"/>
      <w:pPr>
        <w:ind w:left="0" w:firstLine="0"/>
      </w:pPr>
      <w:rPr>
        <w:rFonts w:hint="eastAsia"/>
      </w:rPr>
    </w:lvl>
    <w:lvl w:ilvl="5">
      <w:start w:val="1"/>
      <w:numFmt w:val="none"/>
      <w:pStyle w:val="Heading6"/>
      <w:suff w:val="nothing"/>
      <w:lvlText w:val=""/>
      <w:lvlJc w:val="left"/>
      <w:pPr>
        <w:ind w:left="0" w:firstLine="0"/>
      </w:pPr>
      <w:rPr>
        <w:rFonts w:hint="eastAsia"/>
      </w:rPr>
    </w:lvl>
    <w:lvl w:ilvl="6">
      <w:start w:val="1"/>
      <w:numFmt w:val="none"/>
      <w:pStyle w:val="Heading7"/>
      <w:suff w:val="nothing"/>
      <w:lvlText w:val=""/>
      <w:lvlJc w:val="left"/>
      <w:pPr>
        <w:ind w:left="0" w:firstLine="0"/>
      </w:pPr>
      <w:rPr>
        <w:rFonts w:hint="eastAsia"/>
      </w:rPr>
    </w:lvl>
    <w:lvl w:ilvl="7">
      <w:start w:val="1"/>
      <w:numFmt w:val="none"/>
      <w:pStyle w:val="Heading8"/>
      <w:suff w:val="nothing"/>
      <w:lvlText w:val=""/>
      <w:lvlJc w:val="left"/>
      <w:pPr>
        <w:ind w:left="0" w:firstLine="0"/>
      </w:pPr>
      <w:rPr>
        <w:rFonts w:hint="eastAsia"/>
      </w:rPr>
    </w:lvl>
    <w:lvl w:ilvl="8">
      <w:start w:val="1"/>
      <w:numFmt w:val="none"/>
      <w:pStyle w:val="Heading9"/>
      <w:suff w:val="nothing"/>
      <w:lvlText w:val=""/>
      <w:lvlJc w:val="left"/>
      <w:pPr>
        <w:ind w:left="0" w:firstLine="0"/>
      </w:pPr>
      <w:rPr>
        <w:rFonts w:hint="eastAsia"/>
      </w:rPr>
    </w:lvl>
  </w:abstractNum>
  <w:abstractNum w:abstractNumId="1" w15:restartNumberingAfterBreak="0">
    <w:nsid w:val="30210F8D"/>
    <w:multiLevelType w:val="multilevel"/>
    <w:tmpl w:val="30210F8D"/>
    <w:lvl w:ilvl="0">
      <w:start w:val="1"/>
      <w:numFmt w:val="decimal"/>
      <w:pStyle w:val="Heading2"/>
      <w:lvlText w:val="%1."/>
      <w:lvlJc w:val="left"/>
      <w:pPr>
        <w:ind w:left="420" w:hanging="420"/>
      </w:pPr>
      <w:rPr>
        <w:rFonts w:ascii="Times New Roman" w:eastAsia="SimSun"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bordersDoNotSurroundHeader/>
  <w:bordersDoNotSurroundFooter/>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revisionView w:markup="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VkNzk4MmJlNzAzODUyZmM3MDg5YjJmN2RlNmFkNjUifQ=="/>
    <w:docVar w:name="EN.InstantFormat" w:val="&lt;ENInstantFormat&gt;&lt;Enabled&gt;1&lt;/Enabled&gt;&lt;ScanUnformatted&gt;1&lt;/ScanUnformatted&gt;&lt;ScanChanges&gt;1&lt;/ScanChanges&gt;&lt;Suspended&gt;1&lt;/Suspended&gt;&lt;/ENInstantFormat&gt;"/>
  </w:docVars>
  <w:rsids>
    <w:rsidRoot w:val="00A608BF"/>
    <w:rsid w:val="000230F6"/>
    <w:rsid w:val="00024DC1"/>
    <w:rsid w:val="000949F0"/>
    <w:rsid w:val="00112DE5"/>
    <w:rsid w:val="002837CF"/>
    <w:rsid w:val="00382B7F"/>
    <w:rsid w:val="0045273C"/>
    <w:rsid w:val="00495C6D"/>
    <w:rsid w:val="00613559"/>
    <w:rsid w:val="006267B6"/>
    <w:rsid w:val="00670031"/>
    <w:rsid w:val="006762E3"/>
    <w:rsid w:val="006A6E5C"/>
    <w:rsid w:val="006E297F"/>
    <w:rsid w:val="00875D55"/>
    <w:rsid w:val="00A608BF"/>
    <w:rsid w:val="00AB4FB6"/>
    <w:rsid w:val="00B31BF6"/>
    <w:rsid w:val="00B91CC2"/>
    <w:rsid w:val="00C9622B"/>
    <w:rsid w:val="00D42552"/>
    <w:rsid w:val="00D769B8"/>
    <w:rsid w:val="00DF0C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6324A8"/>
  <w14:defaultImageDpi w14:val="32767"/>
  <w15:docId w15:val="{BE5A9BB1-4D39-4FD0-84BE-07F845BF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ind w:firstLineChars="200" w:firstLine="200"/>
      <w:jc w:val="both"/>
    </w:pPr>
    <w:rPr>
      <w:kern w:val="2"/>
      <w:sz w:val="24"/>
      <w:szCs w:val="24"/>
    </w:rPr>
  </w:style>
  <w:style w:type="paragraph" w:styleId="Heading1">
    <w:name w:val="heading 1"/>
    <w:basedOn w:val="Normal"/>
    <w:next w:val="Normal"/>
    <w:link w:val="Heading1Char"/>
    <w:uiPriority w:val="9"/>
    <w:qFormat/>
    <w:pPr>
      <w:keepNext/>
      <w:keepLines/>
      <w:numPr>
        <w:numId w:val="1"/>
      </w:numPr>
      <w:snapToGrid w:val="0"/>
      <w:spacing w:after="120"/>
      <w:ind w:firstLineChars="0"/>
      <w:jc w:val="center"/>
      <w:outlineLvl w:val="0"/>
    </w:pPr>
    <w:rPr>
      <w:b/>
      <w:bCs/>
      <w:kern w:val="44"/>
      <w:sz w:val="28"/>
      <w:szCs w:val="44"/>
    </w:rPr>
  </w:style>
  <w:style w:type="paragraph" w:styleId="Heading2">
    <w:name w:val="heading 2"/>
    <w:basedOn w:val="Normal"/>
    <w:next w:val="Normal"/>
    <w:link w:val="Heading2Char"/>
    <w:autoRedefine/>
    <w:uiPriority w:val="9"/>
    <w:unhideWhenUsed/>
    <w:qFormat/>
    <w:pPr>
      <w:keepNext/>
      <w:keepLines/>
      <w:numPr>
        <w:numId w:val="2"/>
      </w:numPr>
      <w:snapToGrid w:val="0"/>
      <w:ind w:firstLineChars="0" w:firstLine="0"/>
      <w:outlineLvl w:val="1"/>
    </w:pPr>
    <w:rPr>
      <w:rFonts w:asciiTheme="majorHAnsi" w:hAnsiTheme="majorHAnsi" w:cstheme="majorBidi"/>
      <w:b/>
      <w:bCs/>
      <w:szCs w:val="32"/>
    </w:rPr>
  </w:style>
  <w:style w:type="paragraph" w:styleId="Heading3">
    <w:name w:val="heading 3"/>
    <w:basedOn w:val="Normal"/>
    <w:next w:val="Normal"/>
    <w:link w:val="Heading3Char"/>
    <w:uiPriority w:val="9"/>
    <w:unhideWhenUsed/>
    <w:qFormat/>
    <w:pPr>
      <w:keepNext/>
      <w:keepLines/>
      <w:numPr>
        <w:ilvl w:val="2"/>
        <w:numId w:val="1"/>
      </w:numPr>
      <w:spacing w:before="100" w:beforeAutospacing="1" w:after="100" w:afterAutospacing="1"/>
      <w:ind w:firstLineChars="0"/>
      <w:outlineLvl w:val="2"/>
    </w:pPr>
    <w:rPr>
      <w:b/>
      <w:bCs/>
      <w:szCs w:val="32"/>
    </w:rPr>
  </w:style>
  <w:style w:type="paragraph" w:styleId="Heading4">
    <w:name w:val="heading 4"/>
    <w:basedOn w:val="Normal"/>
    <w:next w:val="Normal"/>
    <w:link w:val="Heading4Char"/>
    <w:uiPriority w:val="9"/>
    <w:semiHidden/>
    <w:unhideWhenUsed/>
    <w:qFormat/>
    <w:pPr>
      <w:keepNext/>
      <w:keepLines/>
      <w:numPr>
        <w:ilvl w:val="3"/>
        <w:numId w:val="1"/>
      </w:numPr>
      <w:spacing w:before="280" w:after="290" w:line="376" w:lineRule="auto"/>
      <w:ind w:firstLineChars="0"/>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semiHidden/>
    <w:unhideWhenUsed/>
    <w:qFormat/>
    <w:pPr>
      <w:keepNext/>
      <w:keepLines/>
      <w:numPr>
        <w:ilvl w:val="4"/>
        <w:numId w:val="1"/>
      </w:numPr>
      <w:spacing w:before="280" w:after="290" w:line="376" w:lineRule="auto"/>
      <w:ind w:firstLineChars="0"/>
      <w:outlineLvl w:val="4"/>
    </w:pPr>
    <w:rPr>
      <w:b/>
      <w:bCs/>
      <w:sz w:val="28"/>
      <w:szCs w:val="28"/>
    </w:rPr>
  </w:style>
  <w:style w:type="paragraph" w:styleId="Heading6">
    <w:name w:val="heading 6"/>
    <w:basedOn w:val="Normal"/>
    <w:next w:val="Normal"/>
    <w:link w:val="Heading6Char"/>
    <w:uiPriority w:val="9"/>
    <w:semiHidden/>
    <w:unhideWhenUsed/>
    <w:qFormat/>
    <w:pPr>
      <w:keepNext/>
      <w:keepLines/>
      <w:numPr>
        <w:ilvl w:val="5"/>
        <w:numId w:val="1"/>
      </w:numPr>
      <w:spacing w:before="240" w:after="64" w:line="320" w:lineRule="auto"/>
      <w:ind w:firstLineChars="0"/>
      <w:outlineLvl w:val="5"/>
    </w:pPr>
    <w:rPr>
      <w:rFonts w:asciiTheme="majorHAnsi" w:eastAsiaTheme="majorEastAsia" w:hAnsiTheme="majorHAnsi" w:cstheme="majorBidi"/>
      <w:b/>
      <w:bCs/>
    </w:rPr>
  </w:style>
  <w:style w:type="paragraph" w:styleId="Heading7">
    <w:name w:val="heading 7"/>
    <w:basedOn w:val="Normal"/>
    <w:next w:val="Normal"/>
    <w:link w:val="Heading7Char"/>
    <w:uiPriority w:val="9"/>
    <w:semiHidden/>
    <w:unhideWhenUsed/>
    <w:qFormat/>
    <w:pPr>
      <w:keepNext/>
      <w:keepLines/>
      <w:numPr>
        <w:ilvl w:val="6"/>
        <w:numId w:val="1"/>
      </w:numPr>
      <w:spacing w:before="240" w:after="64" w:line="320" w:lineRule="auto"/>
      <w:ind w:firstLineChars="0"/>
      <w:outlineLvl w:val="6"/>
    </w:pPr>
    <w:rPr>
      <w:b/>
      <w:bCs/>
    </w:rPr>
  </w:style>
  <w:style w:type="paragraph" w:styleId="Heading8">
    <w:name w:val="heading 8"/>
    <w:basedOn w:val="Normal"/>
    <w:next w:val="Normal"/>
    <w:link w:val="Heading8Char"/>
    <w:uiPriority w:val="9"/>
    <w:semiHidden/>
    <w:unhideWhenUsed/>
    <w:qFormat/>
    <w:pPr>
      <w:keepNext/>
      <w:keepLines/>
      <w:numPr>
        <w:ilvl w:val="7"/>
        <w:numId w:val="1"/>
      </w:numPr>
      <w:spacing w:before="240" w:after="64" w:line="320" w:lineRule="auto"/>
      <w:ind w:firstLineChars="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numPr>
        <w:ilvl w:val="8"/>
        <w:numId w:val="1"/>
      </w:numPr>
      <w:spacing w:before="240" w:after="64" w:line="320" w:lineRule="auto"/>
      <w:outlineLvl w:val="8"/>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jc w:val="left"/>
    </w:pPr>
  </w:style>
  <w:style w:type="paragraph" w:styleId="Footer">
    <w:name w:val="footer"/>
    <w:basedOn w:val="Normal"/>
    <w:link w:val="FooterChar"/>
    <w:uiPriority w:val="99"/>
    <w:unhideWhenUsed/>
    <w:pPr>
      <w:tabs>
        <w:tab w:val="center" w:pos="4153"/>
        <w:tab w:val="right" w:pos="8306"/>
      </w:tabs>
      <w:snapToGrid w:val="0"/>
      <w:spacing w:line="240" w:lineRule="auto"/>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21"/>
      <w:szCs w:val="21"/>
    </w:rPr>
  </w:style>
  <w:style w:type="table" w:customStyle="1" w:styleId="a">
    <w:name w:val="三线表"/>
    <w:basedOn w:val="TableNormal"/>
    <w:uiPriority w:val="99"/>
    <w:tblPr>
      <w:tblBorders>
        <w:top w:val="single" w:sz="8" w:space="0" w:color="auto"/>
        <w:bottom w:val="single" w:sz="8" w:space="0" w:color="auto"/>
      </w:tblBorders>
    </w:tblPr>
    <w:tblStylePr w:type="firstRow">
      <w:tblPr/>
      <w:tcPr>
        <w:tcBorders>
          <w:top w:val="single" w:sz="4" w:space="0" w:color="auto"/>
          <w:left w:val="nil"/>
          <w:bottom w:val="single" w:sz="4" w:space="0" w:color="auto"/>
          <w:right w:val="nil"/>
          <w:insideH w:val="single" w:sz="4" w:space="0" w:color="auto"/>
          <w:insideV w:val="nil"/>
        </w:tcBorders>
      </w:tcPr>
    </w:tblStylePr>
  </w:style>
  <w:style w:type="table" w:customStyle="1" w:styleId="1">
    <w:name w:val="网格型1"/>
    <w:basedOn w:val="TableNormal"/>
    <w:uiPriority w:val="3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0"/>
    <w:pPr>
      <w:jc w:val="center"/>
    </w:pPr>
  </w:style>
  <w:style w:type="character" w:customStyle="1" w:styleId="EndNoteBibliographyTitle0">
    <w:name w:val="EndNote Bibliography Title 字符"/>
    <w:basedOn w:val="DefaultParagraphFont"/>
    <w:link w:val="EndNoteBibliographyTitle"/>
  </w:style>
  <w:style w:type="paragraph" w:customStyle="1" w:styleId="EndNoteBibliography">
    <w:name w:val="EndNote Bibliography"/>
    <w:basedOn w:val="Normal"/>
    <w:link w:val="EndNoteBibliography0"/>
    <w:pPr>
      <w:spacing w:line="240" w:lineRule="auto"/>
    </w:pPr>
  </w:style>
  <w:style w:type="character" w:customStyle="1" w:styleId="EndNoteBibliography0">
    <w:name w:val="EndNote Bibliography 字符"/>
    <w:basedOn w:val="DefaultParagraphFont"/>
    <w:link w:val="EndNoteBibliography"/>
  </w:style>
  <w:style w:type="paragraph" w:customStyle="1" w:styleId="a0">
    <w:name w:val="参考文献"/>
    <w:basedOn w:val="Normal"/>
    <w:next w:val="Normal"/>
    <w:qFormat/>
    <w:pPr>
      <w:snapToGrid w:val="0"/>
      <w:ind w:left="200" w:hangingChars="200" w:hanging="200"/>
    </w:pPr>
  </w:style>
  <w:style w:type="character" w:customStyle="1" w:styleId="Heading1Char">
    <w:name w:val="Heading 1 Char"/>
    <w:basedOn w:val="DefaultParagraphFont"/>
    <w:link w:val="Heading1"/>
    <w:uiPriority w:val="9"/>
    <w:rPr>
      <w:b/>
      <w:bCs/>
      <w:kern w:val="44"/>
      <w:sz w:val="28"/>
      <w:szCs w:val="44"/>
    </w:rPr>
  </w:style>
  <w:style w:type="character" w:customStyle="1" w:styleId="Heading2Char">
    <w:name w:val="Heading 2 Char"/>
    <w:basedOn w:val="DefaultParagraphFont"/>
    <w:link w:val="Heading2"/>
    <w:uiPriority w:val="9"/>
    <w:rPr>
      <w:rFonts w:asciiTheme="majorHAnsi" w:hAnsiTheme="majorHAnsi" w:cstheme="majorBidi"/>
      <w:b/>
      <w:bCs/>
      <w:szCs w:val="32"/>
    </w:rPr>
  </w:style>
  <w:style w:type="character" w:customStyle="1" w:styleId="CommentTextChar">
    <w:name w:val="Comment Text Char"/>
    <w:basedOn w:val="DefaultParagraphFont"/>
    <w:link w:val="CommentText"/>
    <w:uiPriority w:val="99"/>
  </w:style>
  <w:style w:type="character" w:customStyle="1" w:styleId="CommentSubjectChar">
    <w:name w:val="Comment Subject Char"/>
    <w:basedOn w:val="CommentTextChar"/>
    <w:link w:val="CommentSubject"/>
    <w:uiPriority w:val="99"/>
    <w:semiHidden/>
    <w:rPr>
      <w:b/>
      <w:bCs/>
    </w:rPr>
  </w:style>
  <w:style w:type="character" w:customStyle="1" w:styleId="Heading3Char">
    <w:name w:val="Heading 3 Char"/>
    <w:basedOn w:val="DefaultParagraphFont"/>
    <w:link w:val="Heading3"/>
    <w:uiPriority w:val="9"/>
    <w:qFormat/>
    <w:rPr>
      <w:b/>
      <w:bCs/>
      <w:szCs w:val="32"/>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Pr>
      <w:b/>
      <w:bCs/>
      <w:sz w:val="28"/>
      <w:szCs w:val="2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bCs/>
    </w:rPr>
  </w:style>
  <w:style w:type="character" w:customStyle="1" w:styleId="Heading7Char">
    <w:name w:val="Heading 7 Char"/>
    <w:basedOn w:val="DefaultParagraphFont"/>
    <w:link w:val="Heading7"/>
    <w:uiPriority w:val="9"/>
    <w:semiHidden/>
    <w:rPr>
      <w:b/>
      <w:bC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1"/>
      <w:szCs w:val="21"/>
    </w:rPr>
  </w:style>
  <w:style w:type="character" w:customStyle="1" w:styleId="HeaderChar">
    <w:name w:val="Header Char"/>
    <w:basedOn w:val="DefaultParagraphFont"/>
    <w:link w:val="Header"/>
    <w:uiPriority w:val="99"/>
    <w:rPr>
      <w:sz w:val="18"/>
      <w:szCs w:val="18"/>
    </w:rPr>
  </w:style>
  <w:style w:type="character" w:customStyle="1" w:styleId="FooterChar">
    <w:name w:val="Footer Char"/>
    <w:basedOn w:val="DefaultParagraphFont"/>
    <w:link w:val="Footer"/>
    <w:uiPriority w:val="99"/>
    <w:rPr>
      <w:sz w:val="18"/>
      <w:szCs w:val="18"/>
    </w:rPr>
  </w:style>
  <w:style w:type="table" w:customStyle="1" w:styleId="a1">
    <w:name w:val="三线表上下加粗版"/>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a2">
    <w:name w:val="表格"/>
    <w:basedOn w:val="Normal"/>
    <w:qFormat/>
    <w:pPr>
      <w:adjustRightInd w:val="0"/>
      <w:ind w:firstLineChars="0" w:firstLine="0"/>
      <w:contextualSpacing/>
      <w:jc w:val="left"/>
    </w:pPr>
    <w:rPr>
      <w:kern w:val="0"/>
      <w:szCs w:val="20"/>
    </w:rPr>
  </w:style>
  <w:style w:type="character" w:customStyle="1" w:styleId="10">
    <w:name w:val="未处理的提及1"/>
    <w:basedOn w:val="DefaultParagraphFont"/>
    <w:uiPriority w:val="99"/>
    <w:semiHidden/>
    <w:unhideWhenUsed/>
    <w:rPr>
      <w:color w:val="605E5C"/>
      <w:shd w:val="clear" w:color="auto" w:fill="E1DFDD"/>
    </w:rPr>
  </w:style>
  <w:style w:type="table" w:customStyle="1" w:styleId="3">
    <w:name w:val="三线表3"/>
    <w:basedOn w:val="TableNormal"/>
    <w:uiPriority w:val="99"/>
    <w:qFormat/>
    <w:pPr>
      <w:adjustRightInd w:val="0"/>
      <w:snapToGrid w:val="0"/>
    </w:pPr>
    <w:tblPr>
      <w:tblBorders>
        <w:bottom w:val="single" w:sz="6" w:space="0" w:color="auto"/>
      </w:tblBorders>
    </w:tblPr>
    <w:tblStylePr w:type="firstRow">
      <w:tblPr/>
      <w:tcPr>
        <w:tcBorders>
          <w:top w:val="single" w:sz="8" w:space="0" w:color="auto"/>
          <w:left w:val="nil"/>
          <w:bottom w:val="single" w:sz="8" w:space="0" w:color="auto"/>
          <w:right w:val="nil"/>
          <w:insideH w:val="nil"/>
          <w:insideV w:val="nil"/>
        </w:tcBorders>
      </w:tcPr>
    </w:tblStylePr>
    <w:tblStylePr w:type="lastRow">
      <w:tblPr/>
      <w:tcPr>
        <w:tcBorders>
          <w:bottom w:val="single" w:sz="8" w:space="0" w:color="auto"/>
        </w:tcBorders>
      </w:tcPr>
    </w:tblStylePr>
  </w:style>
  <w:style w:type="paragraph" w:styleId="ListParagraph">
    <w:name w:val="List Paragraph"/>
    <w:basedOn w:val="Normal"/>
    <w:uiPriority w:val="34"/>
    <w:qFormat/>
    <w:pPr>
      <w:ind w:firstLine="420"/>
    </w:pPr>
  </w:style>
  <w:style w:type="paragraph" w:styleId="Revision">
    <w:name w:val="Revision"/>
    <w:hidden/>
    <w:uiPriority w:val="99"/>
    <w:unhideWhenUsed/>
    <w:rsid w:val="006762E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65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2547</Words>
  <Characters>14523</Characters>
  <Application>Microsoft Office Word</Application>
  <DocSecurity>0</DocSecurity>
  <Lines>121</Lines>
  <Paragraphs>34</Paragraphs>
  <ScaleCrop>false</ScaleCrop>
  <Company/>
  <LinksUpToDate>false</LinksUpToDate>
  <CharactersWithSpaces>17036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逸雯 李</dc:creator>
  <cp:lastModifiedBy>Chandravadhana Ramesh</cp:lastModifiedBy>
  <cp:revision>5</cp:revision>
  <dcterms:created xsi:type="dcterms:W3CDTF">2024-03-22T18:45:00Z</dcterms:created>
  <dcterms:modified xsi:type="dcterms:W3CDTF">2024-04-01T14:31:00Z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4496713023904600956840D25DA6456F_12</vt:lpwstr>
  </property>
</Properties>
</file>