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68F20" w14:textId="45B1FCFA" w:rsidR="007B6321" w:rsidRPr="00B006CF" w:rsidRDefault="00000000">
      <w:pPr>
        <w:rPr>
          <w:rFonts w:asciiTheme="majorBidi" w:hAnsiTheme="majorBidi" w:cstheme="majorBidi"/>
          <w:sz w:val="24"/>
          <w:szCs w:val="24"/>
          <w:lang w:val="en-US"/>
        </w:rPr>
      </w:pPr>
      <w:r w:rsidRPr="00B006C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Table </w:t>
      </w:r>
      <w:r w:rsidR="00B006CF" w:rsidRPr="00B006CF">
        <w:rPr>
          <w:rFonts w:asciiTheme="majorBidi" w:hAnsiTheme="majorBidi" w:cstheme="majorBidi"/>
          <w:b/>
          <w:bCs/>
          <w:sz w:val="24"/>
          <w:szCs w:val="24"/>
          <w:lang w:val="en-US"/>
        </w:rPr>
        <w:t>4</w:t>
      </w:r>
      <w:r w:rsidRPr="00B006CF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Pr="00B006CF">
        <w:rPr>
          <w:rFonts w:asciiTheme="majorBidi" w:hAnsiTheme="majorBidi" w:cstheme="majorBidi"/>
          <w:sz w:val="24"/>
          <w:szCs w:val="24"/>
          <w:lang w:val="en-US"/>
        </w:rPr>
        <w:t xml:space="preserve"> KEGG pathway enrichment analysis of genes from 228 DMPs</w:t>
      </w:r>
      <w:r w:rsidR="00170D6C">
        <w:rPr>
          <w:rFonts w:asciiTheme="majorBidi" w:hAnsiTheme="majorBidi" w:cstheme="majorBidi"/>
          <w:sz w:val="24"/>
          <w:szCs w:val="24"/>
          <w:lang w:val="en-US"/>
        </w:rPr>
        <w:t>.</w:t>
      </w:r>
    </w:p>
    <w:tbl>
      <w:tblPr>
        <w:tblStyle w:val="Grigliatabell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1"/>
        <w:gridCol w:w="1586"/>
        <w:gridCol w:w="1578"/>
        <w:gridCol w:w="1577"/>
        <w:gridCol w:w="1595"/>
        <w:gridCol w:w="1581"/>
      </w:tblGrid>
      <w:tr w:rsidR="007B6321" w:rsidRPr="00B006CF" w14:paraId="783A3027" w14:textId="77777777" w:rsidTr="003C51F9">
        <w:tc>
          <w:tcPr>
            <w:tcW w:w="1720" w:type="dxa"/>
          </w:tcPr>
          <w:p w14:paraId="59DD8342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b/>
                <w:bCs/>
                <w:lang w:val="en-US"/>
              </w:rPr>
              <w:t>Pathways</w:t>
            </w:r>
          </w:p>
        </w:tc>
        <w:tc>
          <w:tcPr>
            <w:tcW w:w="1584" w:type="dxa"/>
          </w:tcPr>
          <w:p w14:paraId="22016381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b/>
                <w:bCs/>
                <w:lang w:val="en-US"/>
              </w:rPr>
              <w:t>Overlap</w:t>
            </w:r>
          </w:p>
        </w:tc>
        <w:tc>
          <w:tcPr>
            <w:tcW w:w="1576" w:type="dxa"/>
          </w:tcPr>
          <w:p w14:paraId="2A530E40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b/>
                <w:bCs/>
                <w:lang w:val="en-US"/>
              </w:rPr>
              <w:t xml:space="preserve">P-value </w:t>
            </w:r>
          </w:p>
        </w:tc>
        <w:tc>
          <w:tcPr>
            <w:tcW w:w="1575" w:type="dxa"/>
          </w:tcPr>
          <w:p w14:paraId="4F56848A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b/>
                <w:bCs/>
                <w:lang w:val="en-US"/>
              </w:rPr>
              <w:t>Odds Ratio</w:t>
            </w:r>
          </w:p>
        </w:tc>
        <w:tc>
          <w:tcPr>
            <w:tcW w:w="1593" w:type="dxa"/>
          </w:tcPr>
          <w:p w14:paraId="4527936D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b/>
                <w:bCs/>
                <w:lang w:val="en-US"/>
              </w:rPr>
              <w:t>Combined Score</w:t>
            </w:r>
          </w:p>
        </w:tc>
        <w:tc>
          <w:tcPr>
            <w:tcW w:w="1579" w:type="dxa"/>
          </w:tcPr>
          <w:p w14:paraId="1A4F88A7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b/>
                <w:bCs/>
                <w:lang w:val="en-US"/>
              </w:rPr>
              <w:t>Genes</w:t>
            </w:r>
          </w:p>
        </w:tc>
      </w:tr>
      <w:tr w:rsidR="007B6321" w:rsidRPr="00170D6C" w14:paraId="009D54F4" w14:textId="77777777" w:rsidTr="003C51F9">
        <w:tc>
          <w:tcPr>
            <w:tcW w:w="1720" w:type="dxa"/>
          </w:tcPr>
          <w:p w14:paraId="6B563EED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Signaling pathways regulating pluripotency of stem cells</w:t>
            </w:r>
          </w:p>
        </w:tc>
        <w:tc>
          <w:tcPr>
            <w:tcW w:w="1584" w:type="dxa"/>
          </w:tcPr>
          <w:p w14:paraId="66B9068D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6/143</w:t>
            </w:r>
          </w:p>
        </w:tc>
        <w:tc>
          <w:tcPr>
            <w:tcW w:w="1576" w:type="dxa"/>
          </w:tcPr>
          <w:p w14:paraId="633D442F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0.002</w:t>
            </w:r>
          </w:p>
        </w:tc>
        <w:tc>
          <w:tcPr>
            <w:tcW w:w="1575" w:type="dxa"/>
          </w:tcPr>
          <w:p w14:paraId="406DADAB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4.708</w:t>
            </w:r>
          </w:p>
        </w:tc>
        <w:tc>
          <w:tcPr>
            <w:tcW w:w="1593" w:type="dxa"/>
          </w:tcPr>
          <w:p w14:paraId="4AAC56DB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28.380</w:t>
            </w:r>
          </w:p>
        </w:tc>
        <w:tc>
          <w:tcPr>
            <w:tcW w:w="1579" w:type="dxa"/>
          </w:tcPr>
          <w:p w14:paraId="508CF250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 xml:space="preserve">ZFHX3; ACVR1C; </w:t>
            </w:r>
            <w:proofErr w:type="gramStart"/>
            <w:r w:rsidRPr="00B006CF">
              <w:rPr>
                <w:rFonts w:asciiTheme="majorBidi" w:eastAsia="Aptos" w:hAnsiTheme="majorBidi" w:cstheme="majorBidi"/>
                <w:lang w:val="en-US"/>
              </w:rPr>
              <w:t>WNT7B;</w:t>
            </w:r>
            <w:proofErr w:type="gramEnd"/>
          </w:p>
          <w:p w14:paraId="4A38D056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AXIN2; JARID2; IGF1R</w:t>
            </w:r>
          </w:p>
        </w:tc>
      </w:tr>
      <w:tr w:rsidR="007B6321" w:rsidRPr="00B006CF" w14:paraId="1C017B48" w14:textId="77777777" w:rsidTr="003C51F9">
        <w:tc>
          <w:tcPr>
            <w:tcW w:w="1720" w:type="dxa"/>
          </w:tcPr>
          <w:p w14:paraId="2ED0C2B9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Long-term depression</w:t>
            </w:r>
          </w:p>
        </w:tc>
        <w:tc>
          <w:tcPr>
            <w:tcW w:w="1584" w:type="dxa"/>
          </w:tcPr>
          <w:p w14:paraId="19CB01E3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4/60</w:t>
            </w:r>
          </w:p>
        </w:tc>
        <w:tc>
          <w:tcPr>
            <w:tcW w:w="1576" w:type="dxa"/>
          </w:tcPr>
          <w:p w14:paraId="1C1415CE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0.002</w:t>
            </w:r>
          </w:p>
        </w:tc>
        <w:tc>
          <w:tcPr>
            <w:tcW w:w="1575" w:type="dxa"/>
          </w:tcPr>
          <w:p w14:paraId="499541BC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7.627</w:t>
            </w:r>
          </w:p>
        </w:tc>
        <w:tc>
          <w:tcPr>
            <w:tcW w:w="1593" w:type="dxa"/>
          </w:tcPr>
          <w:p w14:paraId="7E07ACD6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45.720</w:t>
            </w:r>
          </w:p>
        </w:tc>
        <w:tc>
          <w:tcPr>
            <w:tcW w:w="1579" w:type="dxa"/>
          </w:tcPr>
          <w:p w14:paraId="077E86AE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PRKCG; ITPR2; NOS1; IGF1R</w:t>
            </w:r>
          </w:p>
        </w:tc>
      </w:tr>
      <w:tr w:rsidR="007B6321" w:rsidRPr="00B006CF" w14:paraId="75155871" w14:textId="77777777" w:rsidTr="003C51F9">
        <w:tc>
          <w:tcPr>
            <w:tcW w:w="1720" w:type="dxa"/>
          </w:tcPr>
          <w:p w14:paraId="7FE34A3A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GnRH secretion</w:t>
            </w:r>
          </w:p>
        </w:tc>
        <w:tc>
          <w:tcPr>
            <w:tcW w:w="1584" w:type="dxa"/>
          </w:tcPr>
          <w:p w14:paraId="4DA38170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4/64</w:t>
            </w:r>
          </w:p>
        </w:tc>
        <w:tc>
          <w:tcPr>
            <w:tcW w:w="1576" w:type="dxa"/>
          </w:tcPr>
          <w:p w14:paraId="14A994F5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0.003</w:t>
            </w:r>
          </w:p>
        </w:tc>
        <w:tc>
          <w:tcPr>
            <w:tcW w:w="1575" w:type="dxa"/>
          </w:tcPr>
          <w:p w14:paraId="48C44ABA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7.117</w:t>
            </w:r>
          </w:p>
        </w:tc>
        <w:tc>
          <w:tcPr>
            <w:tcW w:w="1593" w:type="dxa"/>
          </w:tcPr>
          <w:p w14:paraId="2D73A59A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40.987</w:t>
            </w:r>
          </w:p>
        </w:tc>
        <w:tc>
          <w:tcPr>
            <w:tcW w:w="1579" w:type="dxa"/>
          </w:tcPr>
          <w:p w14:paraId="48A4CB3A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PRKCG; GABBR2; ITPR2; ARRB1</w:t>
            </w:r>
          </w:p>
        </w:tc>
      </w:tr>
      <w:tr w:rsidR="007B6321" w:rsidRPr="00170D6C" w14:paraId="2DDF2F9A" w14:textId="77777777" w:rsidTr="003C51F9">
        <w:tc>
          <w:tcPr>
            <w:tcW w:w="1720" w:type="dxa"/>
          </w:tcPr>
          <w:p w14:paraId="4EEEE83A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mTOR signaling pathway</w:t>
            </w:r>
          </w:p>
        </w:tc>
        <w:tc>
          <w:tcPr>
            <w:tcW w:w="1584" w:type="dxa"/>
          </w:tcPr>
          <w:p w14:paraId="3E4FD89B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6/154</w:t>
            </w:r>
          </w:p>
        </w:tc>
        <w:tc>
          <w:tcPr>
            <w:tcW w:w="1576" w:type="dxa"/>
          </w:tcPr>
          <w:p w14:paraId="18357C7E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0.003</w:t>
            </w:r>
          </w:p>
        </w:tc>
        <w:tc>
          <w:tcPr>
            <w:tcW w:w="1575" w:type="dxa"/>
          </w:tcPr>
          <w:p w14:paraId="56F59A81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4.356</w:t>
            </w:r>
          </w:p>
        </w:tc>
        <w:tc>
          <w:tcPr>
            <w:tcW w:w="1593" w:type="dxa"/>
          </w:tcPr>
          <w:p w14:paraId="27353190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24.655</w:t>
            </w:r>
          </w:p>
        </w:tc>
        <w:tc>
          <w:tcPr>
            <w:tcW w:w="1579" w:type="dxa"/>
          </w:tcPr>
          <w:p w14:paraId="3EBB2DF7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PRKCG; RPS6KA2; WNT7B; TSC2; IGF1R; TNFRSF1A</w:t>
            </w:r>
          </w:p>
        </w:tc>
      </w:tr>
      <w:tr w:rsidR="007B6321" w:rsidRPr="00B006CF" w14:paraId="6564E388" w14:textId="77777777" w:rsidTr="003C51F9">
        <w:tc>
          <w:tcPr>
            <w:tcW w:w="1720" w:type="dxa"/>
          </w:tcPr>
          <w:p w14:paraId="6631FCBC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Long-term potentiation</w:t>
            </w:r>
          </w:p>
        </w:tc>
        <w:tc>
          <w:tcPr>
            <w:tcW w:w="1584" w:type="dxa"/>
          </w:tcPr>
          <w:p w14:paraId="26B9B7AD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4/67</w:t>
            </w:r>
          </w:p>
        </w:tc>
        <w:tc>
          <w:tcPr>
            <w:tcW w:w="1576" w:type="dxa"/>
          </w:tcPr>
          <w:p w14:paraId="3DC83998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0.004</w:t>
            </w:r>
          </w:p>
        </w:tc>
        <w:tc>
          <w:tcPr>
            <w:tcW w:w="1575" w:type="dxa"/>
          </w:tcPr>
          <w:p w14:paraId="45565C94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6.778</w:t>
            </w:r>
          </w:p>
        </w:tc>
        <w:tc>
          <w:tcPr>
            <w:tcW w:w="1593" w:type="dxa"/>
          </w:tcPr>
          <w:p w14:paraId="1D2A63DF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37.907</w:t>
            </w:r>
          </w:p>
        </w:tc>
        <w:tc>
          <w:tcPr>
            <w:tcW w:w="1579" w:type="dxa"/>
          </w:tcPr>
          <w:p w14:paraId="7E462E23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PRKCG; RPS6KA2; ITPR2; GRIN2D</w:t>
            </w:r>
          </w:p>
        </w:tc>
      </w:tr>
      <w:tr w:rsidR="007B6321" w:rsidRPr="00170D6C" w14:paraId="639F4C0C" w14:textId="77777777" w:rsidTr="003C51F9">
        <w:tc>
          <w:tcPr>
            <w:tcW w:w="1720" w:type="dxa"/>
          </w:tcPr>
          <w:p w14:paraId="6A79CB1F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Ras signaling pathway</w:t>
            </w:r>
          </w:p>
        </w:tc>
        <w:tc>
          <w:tcPr>
            <w:tcW w:w="1584" w:type="dxa"/>
          </w:tcPr>
          <w:p w14:paraId="5D72419F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7/232</w:t>
            </w:r>
          </w:p>
        </w:tc>
        <w:tc>
          <w:tcPr>
            <w:tcW w:w="1576" w:type="dxa"/>
          </w:tcPr>
          <w:p w14:paraId="034C570B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0.007</w:t>
            </w:r>
          </w:p>
        </w:tc>
        <w:tc>
          <w:tcPr>
            <w:tcW w:w="1575" w:type="dxa"/>
          </w:tcPr>
          <w:p w14:paraId="22B3F227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3.348</w:t>
            </w:r>
          </w:p>
        </w:tc>
        <w:tc>
          <w:tcPr>
            <w:tcW w:w="1593" w:type="dxa"/>
          </w:tcPr>
          <w:p w14:paraId="6C5D7BA3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16.781</w:t>
            </w:r>
          </w:p>
        </w:tc>
        <w:tc>
          <w:tcPr>
            <w:tcW w:w="1579" w:type="dxa"/>
          </w:tcPr>
          <w:p w14:paraId="595D1945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da-DK"/>
              </w:rPr>
            </w:pPr>
            <w:r w:rsidRPr="00B006CF">
              <w:rPr>
                <w:rFonts w:asciiTheme="majorBidi" w:eastAsia="Aptos" w:hAnsiTheme="majorBidi" w:cstheme="majorBidi"/>
                <w:lang w:val="da-DK"/>
              </w:rPr>
              <w:t>PRKCG; PLA2G12B; FLT3; RASAL1; TEK; STK4; IGF1R;</w:t>
            </w:r>
          </w:p>
        </w:tc>
      </w:tr>
      <w:tr w:rsidR="007B6321" w:rsidRPr="00170D6C" w14:paraId="5A39BC80" w14:textId="77777777" w:rsidTr="003C51F9">
        <w:tc>
          <w:tcPr>
            <w:tcW w:w="1720" w:type="dxa"/>
          </w:tcPr>
          <w:p w14:paraId="71355C58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MAPK signaling pathway</w:t>
            </w:r>
          </w:p>
        </w:tc>
        <w:tc>
          <w:tcPr>
            <w:tcW w:w="1584" w:type="dxa"/>
          </w:tcPr>
          <w:p w14:paraId="2724A311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8/294</w:t>
            </w:r>
          </w:p>
        </w:tc>
        <w:tc>
          <w:tcPr>
            <w:tcW w:w="1576" w:type="dxa"/>
          </w:tcPr>
          <w:p w14:paraId="439089D5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0.007</w:t>
            </w:r>
          </w:p>
        </w:tc>
        <w:tc>
          <w:tcPr>
            <w:tcW w:w="1575" w:type="dxa"/>
          </w:tcPr>
          <w:p w14:paraId="1B04953C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3.017</w:t>
            </w:r>
          </w:p>
        </w:tc>
        <w:tc>
          <w:tcPr>
            <w:tcW w:w="1593" w:type="dxa"/>
          </w:tcPr>
          <w:p w14:paraId="19DDE502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14.971</w:t>
            </w:r>
          </w:p>
        </w:tc>
        <w:tc>
          <w:tcPr>
            <w:tcW w:w="1579" w:type="dxa"/>
          </w:tcPr>
          <w:p w14:paraId="70A738C4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PRKCG; FLT3; RPS6KA2; ARRB1; TEK; STK4; IGF1R; TNFRSF1A</w:t>
            </w:r>
          </w:p>
        </w:tc>
      </w:tr>
      <w:tr w:rsidR="007B6321" w:rsidRPr="00170D6C" w14:paraId="6811FEE0" w14:textId="77777777" w:rsidTr="003C51F9">
        <w:tc>
          <w:tcPr>
            <w:tcW w:w="1720" w:type="dxa"/>
          </w:tcPr>
          <w:p w14:paraId="740159BB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Spinocerebellar ataxia</w:t>
            </w:r>
          </w:p>
        </w:tc>
        <w:tc>
          <w:tcPr>
            <w:tcW w:w="1584" w:type="dxa"/>
          </w:tcPr>
          <w:p w14:paraId="72DC55F7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5/143</w:t>
            </w:r>
          </w:p>
        </w:tc>
        <w:tc>
          <w:tcPr>
            <w:tcW w:w="1576" w:type="dxa"/>
          </w:tcPr>
          <w:p w14:paraId="09DAC877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0.012</w:t>
            </w:r>
          </w:p>
        </w:tc>
        <w:tc>
          <w:tcPr>
            <w:tcW w:w="1575" w:type="dxa"/>
          </w:tcPr>
          <w:p w14:paraId="294927B7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3.874</w:t>
            </w:r>
          </w:p>
        </w:tc>
        <w:tc>
          <w:tcPr>
            <w:tcW w:w="1593" w:type="dxa"/>
          </w:tcPr>
          <w:p w14:paraId="768570F1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17.252</w:t>
            </w:r>
          </w:p>
        </w:tc>
        <w:tc>
          <w:tcPr>
            <w:tcW w:w="1579" w:type="dxa"/>
          </w:tcPr>
          <w:p w14:paraId="784AC91B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PRKCG; RBPJL; FGF14; ITPR2; GRIN2D</w:t>
            </w:r>
          </w:p>
        </w:tc>
      </w:tr>
      <w:tr w:rsidR="007B6321" w:rsidRPr="00B006CF" w14:paraId="55FB9C32" w14:textId="77777777" w:rsidTr="003C51F9">
        <w:tc>
          <w:tcPr>
            <w:tcW w:w="1720" w:type="dxa"/>
          </w:tcPr>
          <w:p w14:paraId="156BD123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Hedgehog signaling pathway</w:t>
            </w:r>
          </w:p>
        </w:tc>
        <w:tc>
          <w:tcPr>
            <w:tcW w:w="1584" w:type="dxa"/>
          </w:tcPr>
          <w:p w14:paraId="6442E58F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3/56</w:t>
            </w:r>
          </w:p>
        </w:tc>
        <w:tc>
          <w:tcPr>
            <w:tcW w:w="1576" w:type="dxa"/>
          </w:tcPr>
          <w:p w14:paraId="756D817A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0.016</w:t>
            </w:r>
          </w:p>
        </w:tc>
        <w:tc>
          <w:tcPr>
            <w:tcW w:w="1575" w:type="dxa"/>
          </w:tcPr>
          <w:p w14:paraId="050D200F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6.013</w:t>
            </w:r>
          </w:p>
        </w:tc>
        <w:tc>
          <w:tcPr>
            <w:tcW w:w="1593" w:type="dxa"/>
          </w:tcPr>
          <w:p w14:paraId="639380F1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24.880</w:t>
            </w:r>
          </w:p>
        </w:tc>
        <w:tc>
          <w:tcPr>
            <w:tcW w:w="1579" w:type="dxa"/>
          </w:tcPr>
          <w:p w14:paraId="2CC67ECF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SMO; CUL3; ARRB1</w:t>
            </w:r>
          </w:p>
        </w:tc>
      </w:tr>
      <w:tr w:rsidR="007B6321" w:rsidRPr="00B006CF" w14:paraId="1549184E" w14:textId="77777777" w:rsidTr="003C51F9">
        <w:tc>
          <w:tcPr>
            <w:tcW w:w="1720" w:type="dxa"/>
          </w:tcPr>
          <w:p w14:paraId="30A41191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Pancreatic secretion</w:t>
            </w:r>
          </w:p>
        </w:tc>
        <w:tc>
          <w:tcPr>
            <w:tcW w:w="1584" w:type="dxa"/>
          </w:tcPr>
          <w:p w14:paraId="2142B4A1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4/102</w:t>
            </w:r>
          </w:p>
        </w:tc>
        <w:tc>
          <w:tcPr>
            <w:tcW w:w="1576" w:type="dxa"/>
          </w:tcPr>
          <w:p w14:paraId="17184CDF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0.016</w:t>
            </w:r>
          </w:p>
        </w:tc>
        <w:tc>
          <w:tcPr>
            <w:tcW w:w="1575" w:type="dxa"/>
          </w:tcPr>
          <w:p w14:paraId="1A49CC53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4.349</w:t>
            </w:r>
          </w:p>
        </w:tc>
        <w:tc>
          <w:tcPr>
            <w:tcW w:w="1593" w:type="dxa"/>
          </w:tcPr>
          <w:p w14:paraId="1C30404E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17.980</w:t>
            </w:r>
          </w:p>
        </w:tc>
        <w:tc>
          <w:tcPr>
            <w:tcW w:w="1579" w:type="dxa"/>
          </w:tcPr>
          <w:p w14:paraId="021FB400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PRKCG; PLA2G12B; ITPR2; CCK</w:t>
            </w:r>
          </w:p>
        </w:tc>
      </w:tr>
      <w:tr w:rsidR="007B6321" w:rsidRPr="00B006CF" w14:paraId="7A7C6AD8" w14:textId="77777777" w:rsidTr="003C51F9">
        <w:tc>
          <w:tcPr>
            <w:tcW w:w="1720" w:type="dxa"/>
          </w:tcPr>
          <w:p w14:paraId="30361393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Basal cell carcinoma</w:t>
            </w:r>
          </w:p>
        </w:tc>
        <w:tc>
          <w:tcPr>
            <w:tcW w:w="1584" w:type="dxa"/>
          </w:tcPr>
          <w:p w14:paraId="2599B177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3/63</w:t>
            </w:r>
          </w:p>
        </w:tc>
        <w:tc>
          <w:tcPr>
            <w:tcW w:w="1576" w:type="dxa"/>
          </w:tcPr>
          <w:p w14:paraId="1439EB83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0.022</w:t>
            </w:r>
          </w:p>
        </w:tc>
        <w:tc>
          <w:tcPr>
            <w:tcW w:w="1575" w:type="dxa"/>
          </w:tcPr>
          <w:p w14:paraId="0D0CCCCC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5.309</w:t>
            </w:r>
          </w:p>
        </w:tc>
        <w:tc>
          <w:tcPr>
            <w:tcW w:w="1593" w:type="dxa"/>
          </w:tcPr>
          <w:p w14:paraId="3F19572C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20.315</w:t>
            </w:r>
          </w:p>
        </w:tc>
        <w:tc>
          <w:tcPr>
            <w:tcW w:w="1579" w:type="dxa"/>
          </w:tcPr>
          <w:p w14:paraId="4A31FB24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SMO; WNT7B; AXIN2</w:t>
            </w:r>
          </w:p>
        </w:tc>
      </w:tr>
      <w:tr w:rsidR="007B6321" w:rsidRPr="00170D6C" w14:paraId="277447D2" w14:textId="77777777" w:rsidTr="003C51F9">
        <w:tc>
          <w:tcPr>
            <w:tcW w:w="1720" w:type="dxa"/>
          </w:tcPr>
          <w:p w14:paraId="121BC759" w14:textId="38E5A4DE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 xml:space="preserve">Hepatocellular carcinoma </w:t>
            </w:r>
          </w:p>
        </w:tc>
        <w:tc>
          <w:tcPr>
            <w:tcW w:w="1584" w:type="dxa"/>
          </w:tcPr>
          <w:p w14:paraId="4EBB63F1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5/168</w:t>
            </w:r>
          </w:p>
        </w:tc>
        <w:tc>
          <w:tcPr>
            <w:tcW w:w="1576" w:type="dxa"/>
          </w:tcPr>
          <w:p w14:paraId="05F600C0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0.022</w:t>
            </w:r>
          </w:p>
        </w:tc>
        <w:tc>
          <w:tcPr>
            <w:tcW w:w="1575" w:type="dxa"/>
          </w:tcPr>
          <w:p w14:paraId="49878451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3.276</w:t>
            </w:r>
          </w:p>
        </w:tc>
        <w:tc>
          <w:tcPr>
            <w:tcW w:w="1593" w:type="dxa"/>
          </w:tcPr>
          <w:p w14:paraId="6EEBE499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12.525</w:t>
            </w:r>
          </w:p>
        </w:tc>
        <w:tc>
          <w:tcPr>
            <w:tcW w:w="1579" w:type="dxa"/>
          </w:tcPr>
          <w:p w14:paraId="6AADC53B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 xml:space="preserve">PRKCG; GSTM4; WNT7B; </w:t>
            </w:r>
            <w:r w:rsidRPr="00B006CF">
              <w:rPr>
                <w:rFonts w:asciiTheme="majorBidi" w:eastAsia="Aptos" w:hAnsiTheme="majorBidi" w:cstheme="majorBidi"/>
                <w:lang w:val="en-US"/>
              </w:rPr>
              <w:lastRenderedPageBreak/>
              <w:t>AXIN2; IGF1R</w:t>
            </w:r>
          </w:p>
        </w:tc>
      </w:tr>
      <w:tr w:rsidR="007B6321" w:rsidRPr="00B006CF" w14:paraId="02754A75" w14:textId="77777777" w:rsidTr="003C51F9">
        <w:tc>
          <w:tcPr>
            <w:tcW w:w="1720" w:type="dxa"/>
          </w:tcPr>
          <w:p w14:paraId="32F3FF88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lastRenderedPageBreak/>
              <w:t>Glutamatergic synapse</w:t>
            </w:r>
          </w:p>
        </w:tc>
        <w:tc>
          <w:tcPr>
            <w:tcW w:w="1584" w:type="dxa"/>
          </w:tcPr>
          <w:p w14:paraId="559EDFBE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4/114</w:t>
            </w:r>
          </w:p>
        </w:tc>
        <w:tc>
          <w:tcPr>
            <w:tcW w:w="1576" w:type="dxa"/>
          </w:tcPr>
          <w:p w14:paraId="4AFA65F9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0.023</w:t>
            </w:r>
          </w:p>
        </w:tc>
        <w:tc>
          <w:tcPr>
            <w:tcW w:w="1575" w:type="dxa"/>
          </w:tcPr>
          <w:p w14:paraId="0326D528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3.872</w:t>
            </w:r>
          </w:p>
        </w:tc>
        <w:tc>
          <w:tcPr>
            <w:tcW w:w="1593" w:type="dxa"/>
          </w:tcPr>
          <w:p w14:paraId="03CC0EE4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14.596</w:t>
            </w:r>
          </w:p>
        </w:tc>
        <w:tc>
          <w:tcPr>
            <w:tcW w:w="1579" w:type="dxa"/>
          </w:tcPr>
          <w:p w14:paraId="4663EC83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PRKCG; GRM4; ITPR2; GRIN2D</w:t>
            </w:r>
          </w:p>
        </w:tc>
      </w:tr>
      <w:tr w:rsidR="007B6321" w:rsidRPr="00B006CF" w14:paraId="138EC682" w14:textId="77777777" w:rsidTr="003C51F9">
        <w:tc>
          <w:tcPr>
            <w:tcW w:w="1720" w:type="dxa"/>
          </w:tcPr>
          <w:p w14:paraId="68B60BC5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Alpha-Linolenic acid metabolism</w:t>
            </w:r>
          </w:p>
        </w:tc>
        <w:tc>
          <w:tcPr>
            <w:tcW w:w="1584" w:type="dxa"/>
          </w:tcPr>
          <w:p w14:paraId="2AEE7749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2/25</w:t>
            </w:r>
          </w:p>
        </w:tc>
        <w:tc>
          <w:tcPr>
            <w:tcW w:w="1576" w:type="dxa"/>
          </w:tcPr>
          <w:p w14:paraId="1962F986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0.023</w:t>
            </w:r>
          </w:p>
        </w:tc>
        <w:tc>
          <w:tcPr>
            <w:tcW w:w="1575" w:type="dxa"/>
          </w:tcPr>
          <w:p w14:paraId="050B4088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9.202</w:t>
            </w:r>
          </w:p>
        </w:tc>
        <w:tc>
          <w:tcPr>
            <w:tcW w:w="1593" w:type="dxa"/>
          </w:tcPr>
          <w:p w14:paraId="1BB75363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34.668</w:t>
            </w:r>
          </w:p>
        </w:tc>
        <w:tc>
          <w:tcPr>
            <w:tcW w:w="1579" w:type="dxa"/>
          </w:tcPr>
          <w:p w14:paraId="6306B65C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FADS2; PLA2G12B</w:t>
            </w:r>
          </w:p>
        </w:tc>
      </w:tr>
      <w:tr w:rsidR="007B6321" w:rsidRPr="00170D6C" w14:paraId="6512FD98" w14:textId="77777777" w:rsidTr="003C51F9">
        <w:tc>
          <w:tcPr>
            <w:tcW w:w="1720" w:type="dxa"/>
          </w:tcPr>
          <w:p w14:paraId="67622FF5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Proteoglycans in cancer</w:t>
            </w:r>
          </w:p>
        </w:tc>
        <w:tc>
          <w:tcPr>
            <w:tcW w:w="1584" w:type="dxa"/>
          </w:tcPr>
          <w:p w14:paraId="3CD6B5D4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5/205</w:t>
            </w:r>
          </w:p>
        </w:tc>
        <w:tc>
          <w:tcPr>
            <w:tcW w:w="1576" w:type="dxa"/>
          </w:tcPr>
          <w:p w14:paraId="140A481B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0.045</w:t>
            </w:r>
          </w:p>
        </w:tc>
        <w:tc>
          <w:tcPr>
            <w:tcW w:w="1575" w:type="dxa"/>
          </w:tcPr>
          <w:p w14:paraId="697CEF39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2.665</w:t>
            </w:r>
          </w:p>
        </w:tc>
        <w:tc>
          <w:tcPr>
            <w:tcW w:w="1593" w:type="dxa"/>
          </w:tcPr>
          <w:p w14:paraId="78F25F7B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8.237</w:t>
            </w:r>
          </w:p>
        </w:tc>
        <w:tc>
          <w:tcPr>
            <w:tcW w:w="1579" w:type="dxa"/>
          </w:tcPr>
          <w:p w14:paraId="0545E29B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PRKCG; SMO; WNT7B; ITPR2; IGF1R</w:t>
            </w:r>
          </w:p>
        </w:tc>
      </w:tr>
      <w:tr w:rsidR="007B6321" w:rsidRPr="00B006CF" w14:paraId="3918BA18" w14:textId="77777777" w:rsidTr="003C51F9">
        <w:tc>
          <w:tcPr>
            <w:tcW w:w="1720" w:type="dxa"/>
          </w:tcPr>
          <w:p w14:paraId="24978D48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Taste transduction</w:t>
            </w:r>
          </w:p>
        </w:tc>
        <w:tc>
          <w:tcPr>
            <w:tcW w:w="1584" w:type="dxa"/>
          </w:tcPr>
          <w:p w14:paraId="6513CD8F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3/86</w:t>
            </w:r>
          </w:p>
        </w:tc>
        <w:tc>
          <w:tcPr>
            <w:tcW w:w="1576" w:type="dxa"/>
          </w:tcPr>
          <w:p w14:paraId="43C1CEF3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0.048</w:t>
            </w:r>
          </w:p>
        </w:tc>
        <w:tc>
          <w:tcPr>
            <w:tcW w:w="1575" w:type="dxa"/>
          </w:tcPr>
          <w:p w14:paraId="7D2D1E9C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3.834</w:t>
            </w:r>
          </w:p>
        </w:tc>
        <w:tc>
          <w:tcPr>
            <w:tcW w:w="1593" w:type="dxa"/>
          </w:tcPr>
          <w:p w14:paraId="46FC3AD0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11.636</w:t>
            </w:r>
          </w:p>
        </w:tc>
        <w:tc>
          <w:tcPr>
            <w:tcW w:w="1579" w:type="dxa"/>
          </w:tcPr>
          <w:p w14:paraId="55690604" w14:textId="77777777" w:rsidR="007B6321" w:rsidRPr="00B006CF" w:rsidRDefault="00000000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B006CF">
              <w:rPr>
                <w:rFonts w:asciiTheme="majorBidi" w:eastAsia="Aptos" w:hAnsiTheme="majorBidi" w:cstheme="majorBidi"/>
                <w:lang w:val="en-US"/>
              </w:rPr>
              <w:t>HCN4; GABBR2; GRM4</w:t>
            </w:r>
          </w:p>
        </w:tc>
      </w:tr>
    </w:tbl>
    <w:p w14:paraId="04A8011D" w14:textId="77777777" w:rsidR="007B6321" w:rsidRPr="00B006CF" w:rsidRDefault="007B6321">
      <w:pPr>
        <w:rPr>
          <w:rFonts w:asciiTheme="majorBidi" w:hAnsiTheme="majorBidi" w:cstheme="majorBidi"/>
          <w:lang w:val="en-US"/>
        </w:rPr>
      </w:pPr>
    </w:p>
    <w:sectPr w:rsidR="007B6321" w:rsidRPr="00B006C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21"/>
    <w:rsid w:val="00170D6C"/>
    <w:rsid w:val="003C51F9"/>
    <w:rsid w:val="004C6C24"/>
    <w:rsid w:val="007B6321"/>
    <w:rsid w:val="009F3D9E"/>
    <w:rsid w:val="00B0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79C537"/>
  <w15:docId w15:val="{22A00B7D-8D56-4A82-A5E9-D42A6C45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032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2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2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2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2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2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2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2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2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324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0324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0324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0324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0324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0324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0324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0324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03244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03244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32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032445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032445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0324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2445"/>
    <w:rPr>
      <w:b/>
      <w:bCs/>
      <w:smallCaps/>
      <w:color w:val="0F4761" w:themeColor="accent1" w:themeShade="BF"/>
      <w:spacing w:val="5"/>
    </w:rPr>
  </w:style>
  <w:style w:type="character" w:styleId="Numeroriga">
    <w:name w:val="line number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Noto Sans Devanagari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2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2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2445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2445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2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Grigliatabella">
    <w:name w:val="Table Grid"/>
    <w:basedOn w:val="Tabellanormale"/>
    <w:uiPriority w:val="39"/>
    <w:rsid w:val="00032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4C6C24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giuliani</dc:creator>
  <dc:description/>
  <cp:lastModifiedBy>SABBATINELLI JACOPO</cp:lastModifiedBy>
  <cp:revision>5</cp:revision>
  <dcterms:created xsi:type="dcterms:W3CDTF">2024-03-27T17:52:00Z</dcterms:created>
  <dcterms:modified xsi:type="dcterms:W3CDTF">2024-04-10T13:05:00Z</dcterms:modified>
  <dc:language>en-US</dc:language>
</cp:coreProperties>
</file>