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/>
        <w:rPr>
          <w:rFonts w:ascii="Times New Roman" w:hAnsi="Times New Roman" w:cs="Times New Roman"/>
          <w:b/>
          <w:bCs/>
          <w:sz w:val="21"/>
          <w:szCs w:val="21"/>
          <w:highlight w:val="none"/>
        </w:rPr>
      </w:pPr>
      <w:r>
        <w:rPr>
          <w:rFonts w:hint="eastAsia" w:ascii="Times New Roman" w:hAnsi="Times New Roman" w:cs="Times New Roman"/>
          <w:b/>
          <w:bCs/>
          <w:sz w:val="21"/>
          <w:szCs w:val="21"/>
          <w:highlight w:val="none"/>
        </w:rPr>
        <w:t>Table S1. Diagnostic steps for collinearity between AIP and other covariates when All-cause mortality was the dependent variable</w:t>
      </w:r>
      <w:r>
        <w:rPr>
          <w:rFonts w:ascii="Times New Roman" w:hAnsi="Times New Roman" w:cs="Times New Roman"/>
          <w:b/>
          <w:bCs/>
          <w:sz w:val="21"/>
          <w:szCs w:val="21"/>
          <w:highlight w:val="none"/>
        </w:rPr>
        <w:t>.</w:t>
      </w:r>
    </w:p>
    <w:tbl>
      <w:tblPr>
        <w:tblStyle w:val="4"/>
        <w:tblW w:w="0" w:type="auto"/>
        <w:jc w:val="center"/>
        <w:tblBorders>
          <w:top w:val="single" w:color="7E7E7E" w:themeColor="text1" w:themeTint="80" w:sz="4" w:space="0"/>
          <w:left w:val="none" w:color="auto" w:sz="0" w:space="0"/>
          <w:bottom w:val="single" w:color="7E7E7E" w:themeColor="text1" w:themeTint="80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6"/>
        <w:gridCol w:w="705"/>
        <w:gridCol w:w="1144"/>
      </w:tblGrid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restart"/>
            <w:tcBorders>
              <w:top w:val="single" w:color="000000" w:themeColor="text1" w:sz="12" w:space="0"/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widowControl/>
              <w:shd w:val="clear"/>
              <w:jc w:val="left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49" w:type="dxa"/>
            <w:gridSpan w:val="2"/>
            <w:tcBorders>
              <w:top w:val="single" w:color="000000" w:themeColor="text1" w:sz="12" w:space="0"/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widowControl/>
              <w:shd w:val="clear"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highlight w:val="none"/>
              </w:rPr>
              <w:t>V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  <w:highlight w:val="none"/>
              </w:rPr>
              <w:t>IF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single" w:color="7E7E7E" w:themeColor="text1" w:themeTint="80" w:sz="4" w:space="0"/>
              <w:bottom w:val="single" w:color="000000" w:themeColor="text1" w:sz="12" w:space="0"/>
            </w:tcBorders>
          </w:tcPr>
          <w:p>
            <w:pPr>
              <w:widowControl/>
              <w:shd w:val="clear"/>
              <w:jc w:val="left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0" w:type="auto"/>
            <w:tcBorders>
              <w:top w:val="single" w:color="7E7E7E" w:themeColor="text1" w:themeTint="80" w:sz="4" w:space="0"/>
              <w:bottom w:val="single" w:color="000000" w:themeColor="text1" w:sz="12" w:space="0"/>
            </w:tcBorders>
          </w:tcPr>
          <w:p>
            <w:pPr>
              <w:widowControl/>
              <w:shd w:val="clear"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Step 1</w:t>
            </w:r>
          </w:p>
        </w:tc>
        <w:tc>
          <w:tcPr>
            <w:tcW w:w="1091" w:type="dxa"/>
            <w:tcBorders>
              <w:top w:val="single" w:color="7E7E7E" w:themeColor="text1" w:themeTint="80" w:sz="4" w:space="0"/>
              <w:bottom w:val="single" w:color="000000" w:themeColor="text1" w:sz="12" w:space="0"/>
            </w:tcBorders>
          </w:tcPr>
          <w:p>
            <w:pPr>
              <w:widowControl/>
              <w:shd w:val="clear"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Step 2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themeColor="text1" w:sz="12" w:space="0"/>
              <w:bottom w:val="nil"/>
            </w:tcBorders>
          </w:tcPr>
          <w:p>
            <w:pPr>
              <w:widowControl/>
              <w:shd w:val="clear"/>
              <w:jc w:val="left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18"/>
                <w:szCs w:val="18"/>
                <w:highlight w:val="none"/>
              </w:rPr>
              <w:t>AIP</w:t>
            </w:r>
          </w:p>
        </w:tc>
        <w:tc>
          <w:tcPr>
            <w:tcW w:w="0" w:type="auto"/>
            <w:tcBorders>
              <w:top w:val="single" w:color="000000" w:themeColor="text1" w:sz="12" w:space="0"/>
              <w:bottom w:val="nil"/>
            </w:tcBorders>
          </w:tcPr>
          <w:p>
            <w:pPr>
              <w:widowControl/>
              <w:shd w:val="clear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  <w:t>1.2</w:t>
            </w:r>
          </w:p>
        </w:tc>
        <w:tc>
          <w:tcPr>
            <w:tcW w:w="1091" w:type="dxa"/>
            <w:tcBorders>
              <w:top w:val="single" w:color="000000" w:themeColor="text1" w:sz="12" w:space="0"/>
              <w:bottom w:val="nil"/>
            </w:tcBorders>
          </w:tcPr>
          <w:p>
            <w:pPr>
              <w:widowControl/>
              <w:shd w:val="clear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  <w:t>1.2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</w:tcPr>
          <w:p>
            <w:pPr>
              <w:widowControl/>
              <w:shd w:val="clear"/>
              <w:jc w:val="left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18"/>
                <w:szCs w:val="18"/>
                <w:highlight w:val="none"/>
              </w:rPr>
              <w:t>Age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>
            <w:pPr>
              <w:widowControl/>
              <w:shd w:val="clear"/>
              <w:jc w:val="left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1.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  <w:t>2</w:t>
            </w:r>
          </w:p>
        </w:tc>
        <w:tc>
          <w:tcPr>
            <w:tcW w:w="1091" w:type="dxa"/>
            <w:tcBorders>
              <w:top w:val="nil"/>
              <w:bottom w:val="nil"/>
            </w:tcBorders>
          </w:tcPr>
          <w:p>
            <w:pPr>
              <w:widowControl/>
              <w:shd w:val="clear"/>
              <w:jc w:val="left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1.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</w:tcPr>
          <w:p>
            <w:pPr>
              <w:widowControl/>
              <w:shd w:val="clear"/>
              <w:jc w:val="left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18"/>
                <w:szCs w:val="18"/>
                <w:highlight w:val="none"/>
              </w:rPr>
              <w:t>Sex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>
            <w:pPr>
              <w:widowControl/>
              <w:shd w:val="clear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  <w:t>1.2</w:t>
            </w:r>
          </w:p>
        </w:tc>
        <w:tc>
          <w:tcPr>
            <w:tcW w:w="1091" w:type="dxa"/>
            <w:tcBorders>
              <w:top w:val="nil"/>
              <w:bottom w:val="nil"/>
            </w:tcBorders>
          </w:tcPr>
          <w:p>
            <w:pPr>
              <w:widowControl/>
              <w:shd w:val="clear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  <w:t>1.1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</w:tcPr>
          <w:p>
            <w:pPr>
              <w:widowControl/>
              <w:shd w:val="clear"/>
              <w:jc w:val="left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18"/>
                <w:szCs w:val="18"/>
                <w:highlight w:val="none"/>
              </w:rPr>
              <w:t>BMI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>
            <w:pPr>
              <w:widowControl/>
              <w:shd w:val="clear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  <w:t>1.2</w:t>
            </w:r>
          </w:p>
        </w:tc>
        <w:tc>
          <w:tcPr>
            <w:tcW w:w="1091" w:type="dxa"/>
            <w:tcBorders>
              <w:top w:val="nil"/>
              <w:bottom w:val="nil"/>
            </w:tcBorders>
          </w:tcPr>
          <w:p>
            <w:pPr>
              <w:widowControl/>
              <w:shd w:val="clear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1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  <w:t>.1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</w:tcPr>
          <w:p>
            <w:pPr>
              <w:widowControl/>
              <w:shd w:val="clear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18"/>
                <w:szCs w:val="18"/>
                <w:highlight w:val="none"/>
                <w:lang w:val="en-US" w:eastAsia="zh-CN"/>
              </w:rPr>
              <w:t>Education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>
            <w:pPr>
              <w:widowControl/>
              <w:shd w:val="clear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  <w:t>1.3</w:t>
            </w:r>
          </w:p>
        </w:tc>
        <w:tc>
          <w:tcPr>
            <w:tcW w:w="1091" w:type="dxa"/>
            <w:tcBorders>
              <w:top w:val="nil"/>
              <w:bottom w:val="nil"/>
            </w:tcBorders>
          </w:tcPr>
          <w:p>
            <w:pPr>
              <w:widowControl/>
              <w:shd w:val="clear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  <w:t>1.3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</w:tcPr>
          <w:p>
            <w:pPr>
              <w:widowControl/>
              <w:shd w:val="clear"/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18"/>
                <w:szCs w:val="18"/>
                <w:highlight w:val="none"/>
                <w:lang w:val="en-US" w:eastAsia="zh-CN"/>
              </w:rPr>
              <w:t>Family income-poverty ratio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>
            <w:pPr>
              <w:widowControl/>
              <w:shd w:val="clear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  <w:t>1.3</w:t>
            </w:r>
          </w:p>
        </w:tc>
        <w:tc>
          <w:tcPr>
            <w:tcW w:w="1091" w:type="dxa"/>
            <w:tcBorders>
              <w:top w:val="nil"/>
              <w:bottom w:val="nil"/>
            </w:tcBorders>
          </w:tcPr>
          <w:p>
            <w:pPr>
              <w:widowControl/>
              <w:shd w:val="clear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  <w:t>1.3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</w:tcPr>
          <w:p>
            <w:pPr>
              <w:widowControl/>
              <w:shd w:val="clear"/>
              <w:jc w:val="left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18"/>
                <w:szCs w:val="18"/>
                <w:highlight w:val="none"/>
              </w:rPr>
              <w:t>TC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>
            <w:pPr>
              <w:widowControl/>
              <w:shd w:val="clear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  <w:t>6.3</w:t>
            </w:r>
          </w:p>
        </w:tc>
        <w:tc>
          <w:tcPr>
            <w:tcW w:w="1091" w:type="dxa"/>
            <w:tcBorders>
              <w:top w:val="nil"/>
              <w:bottom w:val="nil"/>
            </w:tcBorders>
          </w:tcPr>
          <w:p>
            <w:pPr>
              <w:widowControl/>
              <w:shd w:val="clear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  <w:t>NA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</w:tcPr>
          <w:p>
            <w:pPr>
              <w:widowControl/>
              <w:shd w:val="clear"/>
              <w:jc w:val="left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18"/>
                <w:szCs w:val="18"/>
                <w:highlight w:val="none"/>
              </w:rPr>
              <w:t>TG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>
            <w:pPr>
              <w:widowControl/>
              <w:shd w:val="clear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  <w:t>11.2</w:t>
            </w:r>
          </w:p>
        </w:tc>
        <w:tc>
          <w:tcPr>
            <w:tcW w:w="1091" w:type="dxa"/>
            <w:tcBorders>
              <w:top w:val="nil"/>
              <w:bottom w:val="nil"/>
            </w:tcBorders>
          </w:tcPr>
          <w:p>
            <w:pPr>
              <w:widowControl/>
              <w:shd w:val="clear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  <w:t>NA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</w:tcPr>
          <w:p>
            <w:pPr>
              <w:widowControl/>
              <w:shd w:val="clear"/>
              <w:jc w:val="left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18"/>
                <w:szCs w:val="18"/>
                <w:highlight w:val="none"/>
              </w:rPr>
              <w:t>HDL-C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>
            <w:pPr>
              <w:widowControl/>
              <w:shd w:val="clear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  <w:t>7.8</w:t>
            </w:r>
          </w:p>
        </w:tc>
        <w:tc>
          <w:tcPr>
            <w:tcW w:w="1091" w:type="dxa"/>
            <w:tcBorders>
              <w:top w:val="nil"/>
              <w:bottom w:val="nil"/>
            </w:tcBorders>
          </w:tcPr>
          <w:p>
            <w:pPr>
              <w:widowControl/>
              <w:shd w:val="clear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  <w:t>NA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</w:tcPr>
          <w:p>
            <w:pPr>
              <w:widowControl/>
              <w:shd w:val="clear"/>
              <w:jc w:val="left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18"/>
                <w:szCs w:val="18"/>
                <w:highlight w:val="none"/>
              </w:rPr>
              <w:t>LDL-C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>
            <w:pPr>
              <w:widowControl/>
              <w:shd w:val="clear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  <w:t>6.2</w:t>
            </w:r>
          </w:p>
        </w:tc>
        <w:tc>
          <w:tcPr>
            <w:tcW w:w="1091" w:type="dxa"/>
            <w:tcBorders>
              <w:top w:val="nil"/>
              <w:bottom w:val="nil"/>
            </w:tcBorders>
          </w:tcPr>
          <w:p>
            <w:pPr>
              <w:widowControl/>
              <w:shd w:val="clear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  <w:t>1.0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</w:tcPr>
          <w:p>
            <w:pPr>
              <w:widowControl/>
              <w:shd w:val="clear"/>
              <w:jc w:val="left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18"/>
                <w:szCs w:val="18"/>
                <w:highlight w:val="none"/>
              </w:rPr>
              <w:t>Smoking status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>
            <w:pPr>
              <w:widowControl/>
              <w:shd w:val="clear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  <w:t>1.1</w:t>
            </w:r>
          </w:p>
        </w:tc>
        <w:tc>
          <w:tcPr>
            <w:tcW w:w="1091" w:type="dxa"/>
            <w:tcBorders>
              <w:top w:val="nil"/>
              <w:bottom w:val="nil"/>
            </w:tcBorders>
          </w:tcPr>
          <w:p>
            <w:pPr>
              <w:widowControl/>
              <w:shd w:val="clear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  <w:t>1.1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bottom w:val="single" w:color="000000" w:themeColor="text1" w:sz="12" w:space="0"/>
            </w:tcBorders>
          </w:tcPr>
          <w:p>
            <w:pPr>
              <w:widowControl/>
              <w:shd w:val="clear"/>
              <w:jc w:val="left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18"/>
                <w:szCs w:val="18"/>
                <w:highlight w:val="none"/>
              </w:rPr>
              <w:t>Drinking status</w:t>
            </w:r>
          </w:p>
        </w:tc>
        <w:tc>
          <w:tcPr>
            <w:tcW w:w="0" w:type="auto"/>
            <w:tcBorders>
              <w:top w:val="nil"/>
              <w:bottom w:val="single" w:color="000000" w:themeColor="text1" w:sz="12" w:space="0"/>
            </w:tcBorders>
          </w:tcPr>
          <w:p>
            <w:pPr>
              <w:widowControl/>
              <w:shd w:val="clear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  <w:t>1.2</w:t>
            </w:r>
          </w:p>
        </w:tc>
        <w:tc>
          <w:tcPr>
            <w:tcW w:w="1091" w:type="dxa"/>
            <w:tcBorders>
              <w:top w:val="nil"/>
              <w:bottom w:val="single" w:color="000000" w:themeColor="text1" w:sz="12" w:space="0"/>
            </w:tcBorders>
          </w:tcPr>
          <w:p>
            <w:pPr>
              <w:widowControl/>
              <w:shd w:val="clear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  <w:t>1.2</w:t>
            </w:r>
          </w:p>
        </w:tc>
      </w:tr>
    </w:tbl>
    <w:p>
      <w:pPr>
        <w:shd w:val="clear"/>
        <w:rPr>
          <w:rFonts w:ascii="Times New Roman" w:hAnsi="Times New Roman" w:cs="Times New Roman"/>
          <w:sz w:val="18"/>
          <w:szCs w:val="18"/>
          <w:highlight w:val="none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  <w:highlight w:val="none"/>
          <w14:textFill>
            <w14:solidFill>
              <w14:schemeClr w14:val="tx1"/>
            </w14:solidFill>
          </w14:textFill>
        </w:rPr>
        <w:t>VIF: variance inflation factor;</w:t>
      </w:r>
      <w:r>
        <w:rPr>
          <w:rFonts w:ascii="Times New Roman" w:hAnsi="Times New Roman" w:cs="Times New Roman"/>
          <w:kern w:val="0"/>
          <w:sz w:val="18"/>
          <w:szCs w:val="18"/>
          <w:highlight w:val="non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highlight w:val="none"/>
          <w14:textFill>
            <w14:solidFill>
              <w14:schemeClr w14:val="tx1"/>
            </w14:solidFill>
          </w14:textFill>
        </w:rPr>
        <w:t>VIF = 1/(1-R</w:t>
      </w:r>
      <w:r>
        <w:rPr>
          <w:rFonts w:ascii="Times New Roman" w:hAnsi="Times New Roman" w:cs="Times New Roman"/>
          <w:color w:val="000000" w:themeColor="text1"/>
          <w:sz w:val="18"/>
          <w:szCs w:val="18"/>
          <w:highlight w:val="none"/>
          <w:vertAlign w:val="superscript"/>
          <w14:textFill>
            <w14:solidFill>
              <w14:schemeClr w14:val="tx1"/>
            </w14:solidFill>
          </w14:textFill>
        </w:rPr>
        <w:t>2</w:t>
      </w:r>
      <w:r>
        <w:rPr>
          <w:rFonts w:ascii="Times New Roman" w:hAnsi="Times New Roman" w:cs="Times New Roman"/>
          <w:color w:val="000000" w:themeColor="text1"/>
          <w:sz w:val="18"/>
          <w:szCs w:val="18"/>
          <w:highlight w:val="none"/>
          <w14:textFill>
            <w14:solidFill>
              <w14:schemeClr w14:val="tx1"/>
            </w14:solidFill>
          </w14:textFill>
        </w:rPr>
        <w:t xml:space="preserve">). </w:t>
      </w:r>
      <w:r>
        <w:rPr>
          <w:rFonts w:ascii="Times New Roman" w:hAnsi="Times New Roman" w:cs="Times New Roman"/>
          <w:sz w:val="18"/>
          <w:szCs w:val="18"/>
          <w:highlight w:val="none"/>
        </w:rPr>
        <w:t xml:space="preserve">Abbreviations as in Table 1. </w:t>
      </w:r>
    </w:p>
    <w:p>
      <w:pPr>
        <w:shd w:val="clear"/>
        <w:rPr>
          <w:rFonts w:ascii="Times New Roman" w:hAnsi="Times New Roman" w:cs="Times New Roman"/>
          <w:sz w:val="18"/>
          <w:szCs w:val="18"/>
          <w:highlight w:val="none"/>
        </w:rPr>
      </w:pPr>
      <w:r>
        <w:rPr>
          <w:rFonts w:ascii="Times New Roman" w:hAnsi="Times New Roman" w:cs="Times New Roman"/>
          <w:sz w:val="18"/>
          <w:szCs w:val="18"/>
          <w:highlight w:val="none"/>
        </w:rPr>
        <w:t xml:space="preserve">Note: </w:t>
      </w:r>
      <w:r>
        <w:rPr>
          <w:rFonts w:ascii="Times New Roman" w:hAnsi="Times New Roman" w:cs="Times New Roman"/>
          <w:color w:val="000000" w:themeColor="text1"/>
          <w:sz w:val="18"/>
          <w:szCs w:val="18"/>
          <w:highlight w:val="none"/>
          <w14:textFill>
            <w14:solidFill>
              <w14:schemeClr w14:val="tx1"/>
            </w14:solidFill>
          </w14:textFill>
        </w:rPr>
        <w:t>The variables with VIF&gt;5 will be regarded as collinear variables and can</w:t>
      </w:r>
      <w:r>
        <w:rPr>
          <w:rFonts w:hint="eastAsia" w:ascii="Times New Roman" w:hAnsi="Times New Roman" w:cs="Times New Roman"/>
          <w:color w:val="000000" w:themeColor="text1"/>
          <w:sz w:val="18"/>
          <w:szCs w:val="18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highlight w:val="none"/>
          <w14:textFill>
            <w14:solidFill>
              <w14:schemeClr w14:val="tx1"/>
            </w14:solidFill>
          </w14:textFill>
        </w:rPr>
        <w:t>not be included in the multiple regression model.</w:t>
      </w:r>
    </w:p>
    <w:p/>
    <w:p/>
    <w:p>
      <w:pPr>
        <w:shd w:val="clear"/>
        <w:rPr>
          <w:rFonts w:ascii="Times New Roman" w:hAnsi="Times New Roman" w:cs="Times New Roman"/>
          <w:sz w:val="21"/>
          <w:szCs w:val="21"/>
          <w:highlight w:val="none"/>
        </w:rPr>
      </w:pPr>
      <w:bookmarkStart w:id="0" w:name="OLE_LINK3"/>
      <w:r>
        <w:rPr>
          <w:rFonts w:hint="eastAsia" w:ascii="Times New Roman" w:hAnsi="Times New Roman" w:cs="Times New Roman"/>
          <w:b/>
          <w:bCs/>
          <w:sz w:val="21"/>
          <w:szCs w:val="21"/>
          <w:highlight w:val="none"/>
        </w:rPr>
        <w:t>Table S2. Exploratory stratified analysis of the associations between AIP index (continuous) and All-cause or CVD mortality</w:t>
      </w:r>
      <w:r>
        <w:rPr>
          <w:rFonts w:hint="eastAsia" w:ascii="Times New Roman" w:hAnsi="Times New Roman" w:cs="Times New Roman"/>
          <w:b/>
          <w:bCs/>
          <w:sz w:val="21"/>
          <w:szCs w:val="21"/>
          <w:highlight w:val="none"/>
          <w:lang w:val="en-US" w:eastAsia="zh-CN"/>
        </w:rPr>
        <w:t>.</w:t>
      </w:r>
      <w:bookmarkEnd w:id="0"/>
      <w:r>
        <w:rPr>
          <w:rFonts w:hint="eastAsia" w:ascii="Times New Roman" w:hAnsi="Times New Roman" w:cs="Times New Roman"/>
          <w:sz w:val="21"/>
          <w:szCs w:val="21"/>
          <w:highlight w:val="none"/>
        </w:rPr>
        <w:t xml:space="preserve"> </w:t>
      </w:r>
    </w:p>
    <w:tbl>
      <w:tblPr>
        <w:tblStyle w:val="4"/>
        <w:tblW w:w="5831" w:type="pct"/>
        <w:jc w:val="center"/>
        <w:tblBorders>
          <w:top w:val="single" w:color="7E7E7E" w:themeColor="text1" w:themeTint="80" w:sz="4" w:space="0"/>
          <w:left w:val="none" w:color="auto" w:sz="0" w:space="0"/>
          <w:bottom w:val="single" w:color="7E7E7E" w:themeColor="text1" w:themeTint="80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5"/>
        <w:gridCol w:w="1470"/>
        <w:gridCol w:w="1425"/>
        <w:gridCol w:w="1562"/>
        <w:gridCol w:w="1275"/>
        <w:gridCol w:w="1500"/>
        <w:gridCol w:w="1373"/>
      </w:tblGrid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1" w:type="pct"/>
            <w:vMerge w:val="restart"/>
            <w:tcBorders>
              <w:top w:val="single" w:color="000000" w:themeColor="text1" w:sz="12" w:space="0"/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shd w:val="clea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none"/>
              </w:rPr>
            </w:pPr>
            <w:bookmarkStart w:id="1" w:name="OLE_LINK36" w:colFirst="0" w:colLast="6"/>
          </w:p>
        </w:tc>
        <w:tc>
          <w:tcPr>
            <w:tcW w:w="4328" w:type="pct"/>
            <w:gridSpan w:val="6"/>
            <w:tcBorders>
              <w:top w:val="single" w:color="000000" w:themeColor="text1" w:sz="12" w:space="0"/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shd w:val="clear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  <w:highlight w:val="none"/>
              </w:rPr>
              <w:t>HR (95%CI)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highlight w:val="none"/>
              </w:rPr>
              <w:t xml:space="preserve"> 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1" w:type="pct"/>
            <w:vMerge w:val="continue"/>
            <w:tcBorders>
              <w:top w:val="single" w:color="7E7E7E" w:themeColor="text1" w:themeTint="80" w:sz="4" w:space="0"/>
              <w:bottom w:val="single" w:color="000000" w:themeColor="text1" w:sz="12" w:space="0"/>
            </w:tcBorders>
          </w:tcPr>
          <w:p>
            <w:pPr>
              <w:shd w:val="clea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none"/>
              </w:rPr>
            </w:pPr>
          </w:p>
        </w:tc>
        <w:tc>
          <w:tcPr>
            <w:tcW w:w="2883" w:type="pct"/>
            <w:gridSpan w:val="4"/>
            <w:tcBorders>
              <w:top w:val="single" w:color="7E7E7E" w:themeColor="text1" w:themeTint="80" w:sz="4" w:space="0"/>
              <w:bottom w:val="single" w:color="000000" w:themeColor="text1" w:sz="12" w:space="0"/>
            </w:tcBorders>
          </w:tcPr>
          <w:p>
            <w:pPr>
              <w:shd w:val="clear"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highlight w:val="none"/>
              </w:rPr>
              <w:t>All-cause mortality</w:t>
            </w:r>
          </w:p>
        </w:tc>
        <w:tc>
          <w:tcPr>
            <w:tcW w:w="1445" w:type="pct"/>
            <w:gridSpan w:val="2"/>
            <w:tcBorders>
              <w:top w:val="single" w:color="7E7E7E" w:themeColor="text1" w:themeTint="80" w:sz="4" w:space="0"/>
              <w:bottom w:val="single" w:color="000000" w:themeColor="text1" w:sz="12" w:space="0"/>
            </w:tcBorders>
          </w:tcPr>
          <w:p>
            <w:pPr>
              <w:shd w:val="clear"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highlight w:val="none"/>
              </w:rPr>
              <w:t>CVD mortality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671" w:type="pct"/>
            <w:tcBorders>
              <w:top w:val="single" w:color="000000" w:themeColor="text1" w:sz="12" w:space="0"/>
              <w:bottom w:val="nil"/>
            </w:tcBorders>
          </w:tcPr>
          <w:p>
            <w:pPr>
              <w:shd w:val="clea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highlight w:val="none"/>
              </w:rPr>
              <w:t>AIP index</w:t>
            </w:r>
          </w:p>
        </w:tc>
        <w:tc>
          <w:tcPr>
            <w:tcW w:w="739" w:type="pct"/>
            <w:tcBorders>
              <w:top w:val="single" w:color="000000" w:themeColor="text1" w:sz="12" w:space="0"/>
              <w:bottom w:val="nil"/>
            </w:tcBorders>
          </w:tcPr>
          <w:p>
            <w:pPr>
              <w:shd w:val="clear"/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highlight w:val="none"/>
                <w:lang w:val="en-US" w:eastAsia="zh-CN"/>
              </w:rPr>
              <w:t>(-1.25, 1.45)</w:t>
            </w:r>
          </w:p>
        </w:tc>
        <w:tc>
          <w:tcPr>
            <w:tcW w:w="716" w:type="pct"/>
            <w:tcBorders>
              <w:top w:val="single" w:color="000000" w:themeColor="text1" w:sz="12" w:space="0"/>
              <w:bottom w:val="nil"/>
            </w:tcBorders>
          </w:tcPr>
          <w:p>
            <w:pPr>
              <w:shd w:val="clear"/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highlight w:val="none"/>
              </w:rPr>
              <w:t>&lt;</w:t>
            </w: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highlight w:val="none"/>
                <w:lang w:val="en-US" w:eastAsia="zh-CN"/>
              </w:rPr>
              <w:t>0.0</w:t>
            </w: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highlight w:val="none"/>
              </w:rPr>
              <w:t>905</w:t>
            </w:r>
          </w:p>
        </w:tc>
        <w:tc>
          <w:tcPr>
            <w:tcW w:w="785" w:type="pct"/>
            <w:tcBorders>
              <w:top w:val="single" w:color="000000" w:themeColor="text1" w:sz="12" w:space="0"/>
              <w:bottom w:val="nil"/>
            </w:tcBorders>
          </w:tcPr>
          <w:p>
            <w:pPr>
              <w:shd w:val="clear"/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highlight w:val="none"/>
                <w:lang w:val="en-US" w:eastAsia="zh-CN"/>
              </w:rPr>
              <w:t>≥</w:t>
            </w: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highlight w:val="none"/>
                <w:lang w:val="en-US" w:eastAsia="zh-CN"/>
              </w:rPr>
              <w:t xml:space="preserve"> 0.0</w:t>
            </w: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highlight w:val="none"/>
              </w:rPr>
              <w:t>905</w:t>
            </w:r>
          </w:p>
        </w:tc>
        <w:tc>
          <w:tcPr>
            <w:tcW w:w="641" w:type="pct"/>
            <w:tcBorders>
              <w:top w:val="single" w:color="000000" w:themeColor="text1" w:sz="12" w:space="0"/>
              <w:bottom w:val="nil"/>
            </w:tcBorders>
          </w:tcPr>
          <w:p>
            <w:pPr>
              <w:shd w:val="clear"/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highlight w:val="none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none"/>
              </w:rPr>
              <w:t>-interaction</w:t>
            </w:r>
          </w:p>
        </w:tc>
        <w:tc>
          <w:tcPr>
            <w:tcW w:w="754" w:type="pct"/>
            <w:tcBorders>
              <w:top w:val="single" w:color="000000" w:themeColor="text1" w:sz="12" w:space="0"/>
              <w:bottom w:val="nil"/>
            </w:tcBorders>
            <w:vAlign w:val="top"/>
          </w:tcPr>
          <w:p>
            <w:pPr>
              <w:shd w:val="clear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highlight w:val="none"/>
                <w:lang w:val="en-US" w:eastAsia="zh-CN"/>
              </w:rPr>
              <w:t>(-1.25, 1.45)</w:t>
            </w:r>
          </w:p>
        </w:tc>
        <w:tc>
          <w:tcPr>
            <w:tcW w:w="690" w:type="pct"/>
            <w:tcBorders>
              <w:top w:val="single" w:color="000000" w:themeColor="text1" w:sz="12" w:space="0"/>
              <w:bottom w:val="nil"/>
            </w:tcBorders>
            <w:vAlign w:val="top"/>
          </w:tcPr>
          <w:p>
            <w:pPr>
              <w:shd w:val="clear"/>
              <w:jc w:val="cente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highlight w:val="none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none"/>
              </w:rPr>
              <w:t>-interaction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1" w:type="pct"/>
            <w:tcBorders>
              <w:top w:val="nil"/>
              <w:bottom w:val="nil"/>
            </w:tcBorders>
          </w:tcPr>
          <w:p>
            <w:pPr>
              <w:shd w:val="clea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none"/>
              </w:rPr>
              <w:t>Sex</w:t>
            </w:r>
          </w:p>
        </w:tc>
        <w:tc>
          <w:tcPr>
            <w:tcW w:w="739" w:type="pct"/>
            <w:tcBorders>
              <w:top w:val="nil"/>
              <w:bottom w:val="nil"/>
            </w:tcBorders>
          </w:tcPr>
          <w:p>
            <w:pPr>
              <w:shd w:val="clea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716" w:type="pct"/>
            <w:tcBorders>
              <w:top w:val="nil"/>
              <w:bottom w:val="nil"/>
            </w:tcBorders>
          </w:tcPr>
          <w:p>
            <w:pPr>
              <w:shd w:val="clea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785" w:type="pct"/>
            <w:tcBorders>
              <w:top w:val="nil"/>
              <w:bottom w:val="nil"/>
            </w:tcBorders>
          </w:tcPr>
          <w:p>
            <w:pPr>
              <w:shd w:val="clea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641" w:type="pct"/>
            <w:tcBorders>
              <w:top w:val="nil"/>
              <w:bottom w:val="nil"/>
            </w:tcBorders>
          </w:tcPr>
          <w:p>
            <w:pPr>
              <w:shd w:val="clear"/>
              <w:rPr>
                <w:rFonts w:hint="default" w:ascii="Times New Roman" w:hAnsi="Times New Roman" w:cs="Times New Roman" w:eastAsiaTheme="minor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0.861</w:t>
            </w:r>
          </w:p>
        </w:tc>
        <w:tc>
          <w:tcPr>
            <w:tcW w:w="754" w:type="pct"/>
            <w:tcBorders>
              <w:top w:val="nil"/>
              <w:bottom w:val="nil"/>
            </w:tcBorders>
            <w:vAlign w:val="top"/>
          </w:tcPr>
          <w:p>
            <w:pPr>
              <w:shd w:val="clea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690" w:type="pct"/>
            <w:tcBorders>
              <w:top w:val="nil"/>
              <w:bottom w:val="nil"/>
            </w:tcBorders>
            <w:vAlign w:val="top"/>
          </w:tcPr>
          <w:p>
            <w:pPr>
              <w:shd w:val="clear"/>
              <w:rPr>
                <w:rFonts w:hint="default" w:ascii="Times New Roman" w:hAnsi="Times New Roman" w:cs="Times New Roman" w:eastAsiaTheme="minor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0.312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1" w:type="pct"/>
            <w:tcBorders>
              <w:top w:val="nil"/>
              <w:bottom w:val="nil"/>
            </w:tcBorders>
          </w:tcPr>
          <w:p>
            <w:pPr>
              <w:shd w:val="clea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highlight w:val="none"/>
              </w:rPr>
              <w:t xml:space="preserve"> Male</w:t>
            </w:r>
          </w:p>
        </w:tc>
        <w:tc>
          <w:tcPr>
            <w:tcW w:w="739" w:type="pct"/>
            <w:tcBorders>
              <w:top w:val="nil"/>
              <w:bottom w:val="nil"/>
            </w:tcBorders>
            <w:vAlign w:val="top"/>
          </w:tcPr>
          <w:p>
            <w:pPr>
              <w:shd w:val="clear"/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1.07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 xml:space="preserve"> (0.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87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 xml:space="preserve">, 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1.31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716" w:type="pct"/>
            <w:tcBorders>
              <w:top w:val="nil"/>
              <w:bottom w:val="nil"/>
            </w:tcBorders>
            <w:vAlign w:val="top"/>
          </w:tcPr>
          <w:p>
            <w:pPr>
              <w:shd w:val="clear"/>
              <w:rPr>
                <w:rFonts w:hint="eastAsia" w:ascii="Times New Roman" w:hAnsi="Times New Roman" w:cs="Times New Roman" w:eastAsiaTheme="minorEastAsia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0.94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 xml:space="preserve"> (0.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62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 xml:space="preserve">, 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1.41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785" w:type="pct"/>
            <w:tcBorders>
              <w:top w:val="nil"/>
              <w:bottom w:val="nil"/>
            </w:tcBorders>
            <w:vAlign w:val="top"/>
          </w:tcPr>
          <w:p>
            <w:pPr>
              <w:shd w:val="clea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1.31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 xml:space="preserve"> (0.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83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 xml:space="preserve">, 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2.08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641" w:type="pct"/>
            <w:tcBorders>
              <w:top w:val="nil"/>
              <w:bottom w:val="nil"/>
            </w:tcBorders>
            <w:vAlign w:val="top"/>
          </w:tcPr>
          <w:p>
            <w:pPr>
              <w:shd w:val="clea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54" w:type="pct"/>
            <w:tcBorders>
              <w:top w:val="nil"/>
              <w:bottom w:val="nil"/>
            </w:tcBorders>
            <w:vAlign w:val="top"/>
          </w:tcPr>
          <w:p>
            <w:pPr>
              <w:shd w:val="clea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1.27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0.88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 xml:space="preserve">, 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1.84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690" w:type="pct"/>
            <w:tcBorders>
              <w:top w:val="nil"/>
              <w:bottom w:val="nil"/>
            </w:tcBorders>
            <w:vAlign w:val="top"/>
          </w:tcPr>
          <w:p>
            <w:pPr>
              <w:shd w:val="clea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1" w:type="pct"/>
            <w:tcBorders>
              <w:top w:val="nil"/>
              <w:bottom w:val="nil"/>
            </w:tcBorders>
          </w:tcPr>
          <w:p>
            <w:pPr>
              <w:shd w:val="clea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highlight w:val="none"/>
              </w:rPr>
              <w:t xml:space="preserve"> Female</w:t>
            </w:r>
          </w:p>
        </w:tc>
        <w:tc>
          <w:tcPr>
            <w:tcW w:w="739" w:type="pct"/>
            <w:tcBorders>
              <w:top w:val="nil"/>
              <w:bottom w:val="nil"/>
            </w:tcBorders>
            <w:vAlign w:val="top"/>
          </w:tcPr>
          <w:p>
            <w:pPr>
              <w:shd w:val="clear"/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1.07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 xml:space="preserve"> (0.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83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 xml:space="preserve">, 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1.38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716" w:type="pct"/>
            <w:tcBorders>
              <w:top w:val="nil"/>
              <w:bottom w:val="nil"/>
            </w:tcBorders>
            <w:vAlign w:val="top"/>
          </w:tcPr>
          <w:p>
            <w:pPr>
              <w:shd w:val="clear"/>
              <w:rPr>
                <w:rFonts w:hint="eastAsia" w:ascii="Times New Roman" w:hAnsi="Times New Roman" w:cs="Times New Roman" w:eastAsiaTheme="minorEastAsia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1.03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 xml:space="preserve"> (0.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65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, 1.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63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785" w:type="pct"/>
            <w:tcBorders>
              <w:top w:val="nil"/>
              <w:bottom w:val="nil"/>
            </w:tcBorders>
            <w:vAlign w:val="top"/>
          </w:tcPr>
          <w:p>
            <w:pPr>
              <w:shd w:val="clea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1.94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 xml:space="preserve"> (0.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97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 xml:space="preserve">, 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3.88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641" w:type="pct"/>
            <w:tcBorders>
              <w:top w:val="nil"/>
              <w:bottom w:val="nil"/>
            </w:tcBorders>
            <w:vAlign w:val="top"/>
          </w:tcPr>
          <w:p>
            <w:pPr>
              <w:shd w:val="clea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54" w:type="pct"/>
            <w:tcBorders>
              <w:top w:val="nil"/>
              <w:bottom w:val="nil"/>
            </w:tcBorders>
            <w:vAlign w:val="top"/>
          </w:tcPr>
          <w:p>
            <w:pPr>
              <w:shd w:val="clea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1.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41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0.89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 xml:space="preserve">, 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2.24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690" w:type="pct"/>
            <w:tcBorders>
              <w:top w:val="nil"/>
              <w:bottom w:val="nil"/>
            </w:tcBorders>
            <w:vAlign w:val="top"/>
          </w:tcPr>
          <w:p>
            <w:pPr>
              <w:shd w:val="clea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1" w:type="pct"/>
            <w:tcBorders>
              <w:top w:val="nil"/>
              <w:bottom w:val="nil"/>
            </w:tcBorders>
          </w:tcPr>
          <w:p>
            <w:pPr>
              <w:shd w:val="clea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none"/>
              </w:rPr>
              <w:t>Age, years</w:t>
            </w:r>
          </w:p>
        </w:tc>
        <w:tc>
          <w:tcPr>
            <w:tcW w:w="739" w:type="pct"/>
            <w:tcBorders>
              <w:top w:val="nil"/>
              <w:bottom w:val="nil"/>
            </w:tcBorders>
            <w:vAlign w:val="top"/>
          </w:tcPr>
          <w:p>
            <w:pPr>
              <w:shd w:val="clea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716" w:type="pct"/>
            <w:tcBorders>
              <w:top w:val="nil"/>
              <w:bottom w:val="nil"/>
            </w:tcBorders>
            <w:vAlign w:val="top"/>
          </w:tcPr>
          <w:p>
            <w:pPr>
              <w:shd w:val="clea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785" w:type="pct"/>
            <w:tcBorders>
              <w:top w:val="nil"/>
              <w:bottom w:val="nil"/>
            </w:tcBorders>
            <w:vAlign w:val="top"/>
          </w:tcPr>
          <w:p>
            <w:pPr>
              <w:shd w:val="clea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641" w:type="pct"/>
            <w:tcBorders>
              <w:top w:val="nil"/>
              <w:bottom w:val="nil"/>
            </w:tcBorders>
            <w:vAlign w:val="top"/>
          </w:tcPr>
          <w:p>
            <w:pPr>
              <w:shd w:val="clear"/>
              <w:rPr>
                <w:rFonts w:hint="default" w:ascii="Times New Roman" w:hAnsi="Times New Roman" w:cs="Times New Roman" w:eastAsiaTheme="minor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0.045</w:t>
            </w:r>
          </w:p>
        </w:tc>
        <w:tc>
          <w:tcPr>
            <w:tcW w:w="754" w:type="pct"/>
            <w:tcBorders>
              <w:top w:val="nil"/>
              <w:bottom w:val="nil"/>
            </w:tcBorders>
            <w:vAlign w:val="top"/>
          </w:tcPr>
          <w:p>
            <w:pPr>
              <w:shd w:val="clea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690" w:type="pct"/>
            <w:tcBorders>
              <w:top w:val="nil"/>
              <w:bottom w:val="nil"/>
            </w:tcBorders>
            <w:vAlign w:val="top"/>
          </w:tcPr>
          <w:p>
            <w:pPr>
              <w:shd w:val="clear"/>
              <w:rPr>
                <w:rFonts w:hint="default" w:ascii="Times New Roman" w:hAnsi="Times New Roman" w:cs="Times New Roman" w:eastAsiaTheme="minor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1" w:type="pct"/>
            <w:tcBorders>
              <w:top w:val="nil"/>
              <w:bottom w:val="nil"/>
            </w:tcBorders>
          </w:tcPr>
          <w:p>
            <w:pPr>
              <w:shd w:val="clear"/>
              <w:rPr>
                <w:rFonts w:hint="default" w:ascii="Times New Roman" w:hAnsi="Times New Roman" w:cs="Times New Roman" w:eastAsiaTheme="minorEastAsia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highlight w:val="none"/>
              </w:rPr>
              <w:t xml:space="preserve"> &lt;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  <w:t>40</w:t>
            </w:r>
          </w:p>
        </w:tc>
        <w:tc>
          <w:tcPr>
            <w:tcW w:w="739" w:type="pct"/>
            <w:tcBorders>
              <w:top w:val="nil"/>
              <w:bottom w:val="nil"/>
            </w:tcBorders>
            <w:vAlign w:val="top"/>
          </w:tcPr>
          <w:p>
            <w:pPr>
              <w:shd w:val="clear"/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  <w:t>1.10</w:t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  <w:t>0.54</w:t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highlight w:val="none"/>
              </w:rPr>
              <w:t xml:space="preserve">, 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  <w:t>2.22</w:t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716" w:type="pct"/>
            <w:tcBorders>
              <w:top w:val="nil"/>
              <w:bottom w:val="nil"/>
            </w:tcBorders>
            <w:vAlign w:val="top"/>
          </w:tcPr>
          <w:p>
            <w:pPr>
              <w:shd w:val="clear"/>
              <w:rPr>
                <w:rFonts w:hint="eastAsia" w:ascii="Times New Roman" w:hAnsi="Times New Roman" w:cs="Times New Roman" w:eastAsiaTheme="minorEastAsia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1.17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 xml:space="preserve"> (0.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54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 xml:space="preserve">, 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2.50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785" w:type="pct"/>
            <w:tcBorders>
              <w:top w:val="nil"/>
              <w:bottom w:val="nil"/>
            </w:tcBorders>
            <w:vAlign w:val="top"/>
          </w:tcPr>
          <w:p>
            <w:pPr>
              <w:shd w:val="clea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0.33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 xml:space="preserve"> (0.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05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 xml:space="preserve">, 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2.12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641" w:type="pct"/>
            <w:tcBorders>
              <w:top w:val="nil"/>
              <w:bottom w:val="nil"/>
            </w:tcBorders>
            <w:vAlign w:val="top"/>
          </w:tcPr>
          <w:p>
            <w:pPr>
              <w:shd w:val="clea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754" w:type="pct"/>
            <w:tcBorders>
              <w:top w:val="nil"/>
              <w:bottom w:val="nil"/>
            </w:tcBorders>
            <w:vAlign w:val="top"/>
          </w:tcPr>
          <w:p>
            <w:pPr>
              <w:shd w:val="clea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  <w:t>2.39</w:t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  <w:t>0.51</w:t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highlight w:val="none"/>
              </w:rPr>
              <w:t xml:space="preserve">, 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  <w:t>11.27</w:t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690" w:type="pct"/>
            <w:tcBorders>
              <w:top w:val="nil"/>
              <w:bottom w:val="nil"/>
            </w:tcBorders>
            <w:vAlign w:val="top"/>
          </w:tcPr>
          <w:p>
            <w:pPr>
              <w:shd w:val="clea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1" w:type="pct"/>
            <w:tcBorders>
              <w:top w:val="nil"/>
              <w:bottom w:val="nil"/>
            </w:tcBorders>
          </w:tcPr>
          <w:p>
            <w:pPr>
              <w:shd w:val="clear"/>
              <w:rPr>
                <w:rFonts w:hint="default" w:ascii="Times New Roman" w:hAnsi="Times New Roman" w:cs="Times New Roman" w:eastAsiaTheme="minorEastAsia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  <w:t>40-60</w:t>
            </w:r>
          </w:p>
        </w:tc>
        <w:tc>
          <w:tcPr>
            <w:tcW w:w="739" w:type="pct"/>
            <w:tcBorders>
              <w:top w:val="nil"/>
              <w:bottom w:val="nil"/>
            </w:tcBorders>
            <w:vAlign w:val="top"/>
          </w:tcPr>
          <w:p>
            <w:pPr>
              <w:shd w:val="clear"/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highlight w:val="none"/>
                <w:lang w:val="en-US" w:eastAsia="zh-CN"/>
              </w:rPr>
              <w:t>1.51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highlight w:val="none"/>
                <w:lang w:val="en-US" w:eastAsia="zh-CN"/>
              </w:rPr>
              <w:t>1.08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none"/>
              </w:rPr>
              <w:t xml:space="preserve">, </w:t>
            </w: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highlight w:val="none"/>
                <w:lang w:val="en-US" w:eastAsia="zh-CN"/>
              </w:rPr>
              <w:t>2.10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none"/>
              </w:rPr>
              <w:t>)</w:t>
            </w:r>
          </w:p>
        </w:tc>
        <w:tc>
          <w:tcPr>
            <w:tcW w:w="716" w:type="pct"/>
            <w:tcBorders>
              <w:top w:val="nil"/>
              <w:bottom w:val="nil"/>
            </w:tcBorders>
            <w:vAlign w:val="top"/>
          </w:tcPr>
          <w:p>
            <w:pPr>
              <w:shd w:val="clear"/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1.09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 xml:space="preserve"> (0.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84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 xml:space="preserve">, 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2.24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785" w:type="pct"/>
            <w:tcBorders>
              <w:top w:val="nil"/>
              <w:bottom w:val="nil"/>
            </w:tcBorders>
            <w:vAlign w:val="top"/>
          </w:tcPr>
          <w:p>
            <w:pPr>
              <w:shd w:val="clear"/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highlight w:val="none"/>
                <w:lang w:val="en-US" w:eastAsia="zh-CN"/>
              </w:rPr>
              <w:t>1.97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highlight w:val="none"/>
                <w:lang w:val="en-US" w:eastAsia="zh-CN"/>
              </w:rPr>
              <w:t>1.06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none"/>
              </w:rPr>
              <w:t xml:space="preserve">, </w:t>
            </w: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highlight w:val="none"/>
                <w:lang w:val="en-US" w:eastAsia="zh-CN"/>
              </w:rPr>
              <w:t>3.67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none"/>
              </w:rPr>
              <w:t>)</w:t>
            </w:r>
          </w:p>
        </w:tc>
        <w:tc>
          <w:tcPr>
            <w:tcW w:w="641" w:type="pct"/>
            <w:tcBorders>
              <w:top w:val="nil"/>
              <w:bottom w:val="nil"/>
            </w:tcBorders>
            <w:vAlign w:val="top"/>
          </w:tcPr>
          <w:p>
            <w:pPr>
              <w:shd w:val="clea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754" w:type="pct"/>
            <w:tcBorders>
              <w:top w:val="nil"/>
              <w:bottom w:val="nil"/>
            </w:tcBorders>
            <w:vAlign w:val="top"/>
          </w:tcPr>
          <w:p>
            <w:pPr>
              <w:shd w:val="clea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highlight w:val="none"/>
                <w:lang w:val="en-US" w:eastAsia="zh-CN"/>
              </w:rPr>
              <w:t>2.63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highlight w:val="none"/>
                <w:lang w:val="en-US" w:eastAsia="zh-CN"/>
              </w:rPr>
              <w:t>1.39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none"/>
              </w:rPr>
              <w:t xml:space="preserve">, </w:t>
            </w: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highlight w:val="none"/>
                <w:lang w:val="en-US" w:eastAsia="zh-CN"/>
              </w:rPr>
              <w:t>4.98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none"/>
              </w:rPr>
              <w:t>)</w:t>
            </w:r>
          </w:p>
        </w:tc>
        <w:tc>
          <w:tcPr>
            <w:tcW w:w="690" w:type="pct"/>
            <w:tcBorders>
              <w:top w:val="nil"/>
              <w:bottom w:val="nil"/>
            </w:tcBorders>
            <w:vAlign w:val="top"/>
          </w:tcPr>
          <w:p>
            <w:pPr>
              <w:shd w:val="clea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1" w:type="pct"/>
            <w:tcBorders>
              <w:top w:val="nil"/>
              <w:bottom w:val="nil"/>
            </w:tcBorders>
          </w:tcPr>
          <w:p>
            <w:pPr>
              <w:shd w:val="clear"/>
              <w:ind w:firstLine="90" w:firstLineChars="50"/>
              <w:rPr>
                <w:rFonts w:hint="default" w:ascii="Times New Roman" w:hAnsi="Times New Roman" w:cs="Times New Roman" w:eastAsiaTheme="minorEastAsia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highlight w:val="none"/>
              </w:rPr>
              <w:t>≥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  <w:t>60</w:t>
            </w:r>
          </w:p>
        </w:tc>
        <w:tc>
          <w:tcPr>
            <w:tcW w:w="739" w:type="pct"/>
            <w:tcBorders>
              <w:top w:val="nil"/>
              <w:bottom w:val="nil"/>
            </w:tcBorders>
            <w:vAlign w:val="top"/>
          </w:tcPr>
          <w:p>
            <w:pPr>
              <w:shd w:val="clear"/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  <w:t>0.98</w:t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  <w:t>0.81</w:t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highlight w:val="none"/>
              </w:rPr>
              <w:t xml:space="preserve">, 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  <w:t>1.18</w:t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716" w:type="pct"/>
            <w:tcBorders>
              <w:top w:val="nil"/>
              <w:bottom w:val="nil"/>
            </w:tcBorders>
            <w:vAlign w:val="top"/>
          </w:tcPr>
          <w:p>
            <w:pPr>
              <w:shd w:val="clear"/>
              <w:rPr>
                <w:rFonts w:hint="eastAsia" w:ascii="Times New Roman" w:hAnsi="Times New Roman" w:cs="Times New Roman" w:eastAsiaTheme="minorEastAsia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1.01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 xml:space="preserve"> (0.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70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 xml:space="preserve">, 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1.45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785" w:type="pct"/>
            <w:tcBorders>
              <w:top w:val="nil"/>
              <w:bottom w:val="nil"/>
            </w:tcBorders>
            <w:vAlign w:val="top"/>
          </w:tcPr>
          <w:p>
            <w:pPr>
              <w:shd w:val="clea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  <w:t>1.42</w:t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  <w:t>0.86</w:t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highlight w:val="none"/>
              </w:rPr>
              <w:t xml:space="preserve">, 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  <w:t>2.33</w:t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641" w:type="pct"/>
            <w:tcBorders>
              <w:top w:val="nil"/>
              <w:bottom w:val="nil"/>
            </w:tcBorders>
            <w:vAlign w:val="top"/>
          </w:tcPr>
          <w:p>
            <w:pPr>
              <w:shd w:val="clea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754" w:type="pct"/>
            <w:tcBorders>
              <w:top w:val="nil"/>
              <w:bottom w:val="nil"/>
            </w:tcBorders>
            <w:vAlign w:val="top"/>
          </w:tcPr>
          <w:p>
            <w:pPr>
              <w:shd w:val="clea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1.09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0.78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 xml:space="preserve">, 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1.53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690" w:type="pct"/>
            <w:tcBorders>
              <w:top w:val="nil"/>
              <w:bottom w:val="nil"/>
            </w:tcBorders>
            <w:vAlign w:val="top"/>
          </w:tcPr>
          <w:p>
            <w:pPr>
              <w:shd w:val="clea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1" w:type="pct"/>
            <w:tcBorders>
              <w:top w:val="nil"/>
              <w:bottom w:val="nil"/>
            </w:tcBorders>
          </w:tcPr>
          <w:p>
            <w:pPr>
              <w:shd w:val="clea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none"/>
              </w:rPr>
              <w:t>BMI</w:t>
            </w:r>
            <w:r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  <w:highlight w:val="none"/>
              </w:rPr>
              <w:t>, kg/m</w:t>
            </w:r>
            <w:r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  <w:highlight w:val="none"/>
                <w:vertAlign w:val="superscript"/>
              </w:rPr>
              <w:t>2</w:t>
            </w:r>
          </w:p>
        </w:tc>
        <w:tc>
          <w:tcPr>
            <w:tcW w:w="739" w:type="pct"/>
            <w:tcBorders>
              <w:top w:val="nil"/>
              <w:bottom w:val="nil"/>
            </w:tcBorders>
            <w:vAlign w:val="top"/>
          </w:tcPr>
          <w:p>
            <w:pPr>
              <w:shd w:val="clea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716" w:type="pct"/>
            <w:tcBorders>
              <w:top w:val="nil"/>
              <w:bottom w:val="nil"/>
            </w:tcBorders>
            <w:vAlign w:val="top"/>
          </w:tcPr>
          <w:p>
            <w:pPr>
              <w:shd w:val="clea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785" w:type="pct"/>
            <w:tcBorders>
              <w:top w:val="nil"/>
              <w:bottom w:val="nil"/>
            </w:tcBorders>
            <w:vAlign w:val="top"/>
          </w:tcPr>
          <w:p>
            <w:pPr>
              <w:shd w:val="clea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641" w:type="pct"/>
            <w:tcBorders>
              <w:top w:val="nil"/>
              <w:bottom w:val="nil"/>
            </w:tcBorders>
            <w:vAlign w:val="top"/>
          </w:tcPr>
          <w:p>
            <w:pPr>
              <w:shd w:val="clear"/>
              <w:rPr>
                <w:rFonts w:hint="default" w:ascii="Times New Roman" w:hAnsi="Times New Roman" w:cs="Times New Roman" w:eastAsiaTheme="minor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0.033</w:t>
            </w:r>
          </w:p>
        </w:tc>
        <w:tc>
          <w:tcPr>
            <w:tcW w:w="754" w:type="pct"/>
            <w:tcBorders>
              <w:top w:val="nil"/>
              <w:bottom w:val="nil"/>
            </w:tcBorders>
            <w:vAlign w:val="top"/>
          </w:tcPr>
          <w:p>
            <w:pPr>
              <w:shd w:val="clea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690" w:type="pct"/>
            <w:tcBorders>
              <w:top w:val="nil"/>
              <w:bottom w:val="nil"/>
            </w:tcBorders>
            <w:vAlign w:val="top"/>
          </w:tcPr>
          <w:p>
            <w:pPr>
              <w:shd w:val="clear"/>
              <w:rPr>
                <w:rFonts w:hint="default" w:ascii="Times New Roman" w:hAnsi="Times New Roman" w:cs="Times New Roman" w:eastAsiaTheme="minor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71" w:type="pct"/>
            <w:tcBorders>
              <w:top w:val="nil"/>
              <w:bottom w:val="nil"/>
            </w:tcBorders>
          </w:tcPr>
          <w:p>
            <w:pPr>
              <w:shd w:val="clear"/>
              <w:rPr>
                <w:rFonts w:hint="eastAsia" w:ascii="Times New Roman" w:hAnsi="Times New Roman" w:cs="Times New Roman" w:eastAsiaTheme="minorEastAsia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highlight w:val="none"/>
              </w:rPr>
              <w:t xml:space="preserve"> &lt;2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  <w:t>5</w:t>
            </w:r>
          </w:p>
        </w:tc>
        <w:tc>
          <w:tcPr>
            <w:tcW w:w="739" w:type="pct"/>
            <w:tcBorders>
              <w:top w:val="nil"/>
              <w:bottom w:val="nil"/>
            </w:tcBorders>
            <w:vAlign w:val="top"/>
          </w:tcPr>
          <w:p>
            <w:pPr>
              <w:shd w:val="clear"/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highlight w:val="none"/>
                <w:lang w:val="en-US" w:eastAsia="zh-CN"/>
              </w:rPr>
              <w:t>1.51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highlight w:val="none"/>
                <w:lang w:val="en-US" w:eastAsia="zh-CN"/>
              </w:rPr>
              <w:t>1.12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none"/>
              </w:rPr>
              <w:t xml:space="preserve">, </w:t>
            </w: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highlight w:val="none"/>
                <w:lang w:val="en-US" w:eastAsia="zh-CN"/>
              </w:rPr>
              <w:t>1.99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none"/>
              </w:rPr>
              <w:t>)</w:t>
            </w:r>
          </w:p>
        </w:tc>
        <w:tc>
          <w:tcPr>
            <w:tcW w:w="716" w:type="pct"/>
            <w:tcBorders>
              <w:top w:val="nil"/>
              <w:bottom w:val="nil"/>
            </w:tcBorders>
            <w:vAlign w:val="top"/>
          </w:tcPr>
          <w:p>
            <w:pPr>
              <w:shd w:val="clear"/>
              <w:rPr>
                <w:rFonts w:hint="eastAsia" w:ascii="Times New Roman" w:hAnsi="Times New Roman" w:cs="Times New Roman" w:eastAsiaTheme="minorEastAsia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1.13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 xml:space="preserve"> (0.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72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 xml:space="preserve">, 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1.77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785" w:type="pct"/>
            <w:tcBorders>
              <w:top w:val="nil"/>
              <w:bottom w:val="nil"/>
            </w:tcBorders>
            <w:vAlign w:val="top"/>
          </w:tcPr>
          <w:p>
            <w:pPr>
              <w:shd w:val="clea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bookmarkStart w:id="2" w:name="OLE_LINK2"/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highlight w:val="none"/>
                <w:lang w:val="en-US" w:eastAsia="zh-CN"/>
              </w:rPr>
              <w:t>3.95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highlight w:val="none"/>
                <w:lang w:val="en-US" w:eastAsia="zh-CN"/>
              </w:rPr>
              <w:t>1.65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none"/>
              </w:rPr>
              <w:t xml:space="preserve">, </w:t>
            </w: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highlight w:val="none"/>
                <w:lang w:val="en-US" w:eastAsia="zh-CN"/>
              </w:rPr>
              <w:t>9.47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none"/>
              </w:rPr>
              <w:t>)</w:t>
            </w:r>
            <w:bookmarkEnd w:id="2"/>
          </w:p>
        </w:tc>
        <w:tc>
          <w:tcPr>
            <w:tcW w:w="641" w:type="pct"/>
            <w:tcBorders>
              <w:top w:val="nil"/>
              <w:bottom w:val="nil"/>
            </w:tcBorders>
            <w:vAlign w:val="top"/>
          </w:tcPr>
          <w:p>
            <w:pPr>
              <w:shd w:val="clea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754" w:type="pct"/>
            <w:tcBorders>
              <w:top w:val="nil"/>
              <w:bottom w:val="nil"/>
            </w:tcBorders>
            <w:vAlign w:val="top"/>
          </w:tcPr>
          <w:p>
            <w:pPr>
              <w:shd w:val="clea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highlight w:val="none"/>
                <w:lang w:val="en-US" w:eastAsia="zh-CN"/>
              </w:rPr>
              <w:t>2.28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highlight w:val="none"/>
                <w:lang w:val="en-US" w:eastAsia="zh-CN"/>
              </w:rPr>
              <w:t>1.32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none"/>
              </w:rPr>
              <w:t xml:space="preserve">, </w:t>
            </w: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highlight w:val="none"/>
                <w:lang w:val="en-US" w:eastAsia="zh-CN"/>
              </w:rPr>
              <w:t>3.93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none"/>
              </w:rPr>
              <w:t>)</w:t>
            </w:r>
          </w:p>
        </w:tc>
        <w:tc>
          <w:tcPr>
            <w:tcW w:w="690" w:type="pct"/>
            <w:tcBorders>
              <w:top w:val="nil"/>
              <w:bottom w:val="nil"/>
            </w:tcBorders>
            <w:vAlign w:val="top"/>
          </w:tcPr>
          <w:p>
            <w:pPr>
              <w:shd w:val="clea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71" w:type="pct"/>
            <w:tcBorders>
              <w:top w:val="nil"/>
              <w:bottom w:val="nil"/>
            </w:tcBorders>
          </w:tcPr>
          <w:p>
            <w:pPr>
              <w:shd w:val="clear"/>
              <w:rPr>
                <w:rFonts w:hint="default" w:ascii="Times New Roman" w:hAnsi="Times New Roman" w:cs="Times New Roman" w:eastAsiaTheme="minorEastAsia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25-29</w:t>
            </w:r>
          </w:p>
        </w:tc>
        <w:tc>
          <w:tcPr>
            <w:tcW w:w="739" w:type="pct"/>
            <w:tcBorders>
              <w:top w:val="nil"/>
              <w:bottom w:val="nil"/>
            </w:tcBorders>
            <w:vAlign w:val="top"/>
          </w:tcPr>
          <w:p>
            <w:pPr>
              <w:shd w:val="clea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highlight w:val="none"/>
                <w:lang w:val="en-US" w:eastAsia="zh-CN"/>
              </w:rPr>
              <w:t>1.42 (1.06,1.91)</w:t>
            </w:r>
          </w:p>
        </w:tc>
        <w:tc>
          <w:tcPr>
            <w:tcW w:w="716" w:type="pct"/>
            <w:tcBorders>
              <w:top w:val="nil"/>
              <w:bottom w:val="nil"/>
            </w:tcBorders>
            <w:vAlign w:val="top"/>
          </w:tcPr>
          <w:p>
            <w:pPr>
              <w:shd w:val="clear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highlight w:val="none"/>
                <w:lang w:val="en-US" w:eastAsia="zh-CN"/>
              </w:rPr>
              <w:t>1.98 (1.05, 3.77)</w:t>
            </w:r>
          </w:p>
        </w:tc>
        <w:tc>
          <w:tcPr>
            <w:tcW w:w="785" w:type="pct"/>
            <w:tcBorders>
              <w:top w:val="nil"/>
              <w:bottom w:val="nil"/>
            </w:tcBorders>
            <w:vAlign w:val="top"/>
          </w:tcPr>
          <w:p>
            <w:pPr>
              <w:shd w:val="clear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highlight w:val="none"/>
                <w:lang w:val="en-US" w:eastAsia="zh-CN"/>
              </w:rPr>
              <w:t>2.04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highlight w:val="none"/>
                <w:lang w:val="en-US" w:eastAsia="zh-CN"/>
              </w:rPr>
              <w:t>1.04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none"/>
              </w:rPr>
              <w:t xml:space="preserve">, </w:t>
            </w: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highlight w:val="none"/>
                <w:lang w:val="en-US" w:eastAsia="zh-CN"/>
              </w:rPr>
              <w:t>4.12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none"/>
              </w:rPr>
              <w:t>)</w:t>
            </w:r>
          </w:p>
        </w:tc>
        <w:tc>
          <w:tcPr>
            <w:tcW w:w="641" w:type="pct"/>
            <w:tcBorders>
              <w:top w:val="nil"/>
              <w:bottom w:val="nil"/>
            </w:tcBorders>
            <w:vAlign w:val="top"/>
          </w:tcPr>
          <w:p>
            <w:pPr>
              <w:shd w:val="clea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754" w:type="pct"/>
            <w:tcBorders>
              <w:top w:val="nil"/>
              <w:bottom w:val="nil"/>
            </w:tcBorders>
            <w:vAlign w:val="top"/>
          </w:tcPr>
          <w:p>
            <w:pPr>
              <w:shd w:val="clea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  <w:t>1.47 (0.87, 2.48)</w:t>
            </w:r>
          </w:p>
        </w:tc>
        <w:tc>
          <w:tcPr>
            <w:tcW w:w="690" w:type="pct"/>
            <w:tcBorders>
              <w:top w:val="nil"/>
              <w:bottom w:val="nil"/>
            </w:tcBorders>
            <w:vAlign w:val="top"/>
          </w:tcPr>
          <w:p>
            <w:pPr>
              <w:shd w:val="clea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1" w:type="pct"/>
            <w:tcBorders>
              <w:top w:val="nil"/>
              <w:bottom w:val="nil"/>
            </w:tcBorders>
          </w:tcPr>
          <w:p>
            <w:pPr>
              <w:shd w:val="clear"/>
              <w:ind w:firstLine="90" w:firstLineChars="50"/>
              <w:rPr>
                <w:rFonts w:hint="eastAsia" w:ascii="Times New Roman" w:hAnsi="Times New Roman" w:cs="Times New Roman" w:eastAsiaTheme="minorEastAsia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highlight w:val="none"/>
              </w:rPr>
              <w:t>≥2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  <w:t>9</w:t>
            </w:r>
          </w:p>
        </w:tc>
        <w:tc>
          <w:tcPr>
            <w:tcW w:w="739" w:type="pct"/>
            <w:tcBorders>
              <w:top w:val="nil"/>
              <w:bottom w:val="nil"/>
            </w:tcBorders>
            <w:vAlign w:val="top"/>
          </w:tcPr>
          <w:p>
            <w:pPr>
              <w:shd w:val="clear"/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1.07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 xml:space="preserve"> (0.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88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 xml:space="preserve">, 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1.30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716" w:type="pct"/>
            <w:tcBorders>
              <w:top w:val="nil"/>
              <w:bottom w:val="nil"/>
            </w:tcBorders>
            <w:vAlign w:val="top"/>
          </w:tcPr>
          <w:p>
            <w:pPr>
              <w:shd w:val="clear"/>
              <w:rPr>
                <w:rFonts w:hint="eastAsia" w:ascii="Times New Roman" w:hAnsi="Times New Roman" w:cs="Times New Roman" w:eastAsiaTheme="minorEastAsia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2.98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 xml:space="preserve"> (0.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94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 xml:space="preserve">, 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9.52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785" w:type="pct"/>
            <w:tcBorders>
              <w:top w:val="nil"/>
              <w:bottom w:val="nil"/>
            </w:tcBorders>
            <w:vAlign w:val="top"/>
          </w:tcPr>
          <w:p>
            <w:pPr>
              <w:shd w:val="clea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1.08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 xml:space="preserve"> (0.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62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 xml:space="preserve">, 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1.89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641" w:type="pct"/>
            <w:tcBorders>
              <w:top w:val="nil"/>
              <w:bottom w:val="nil"/>
            </w:tcBorders>
            <w:vAlign w:val="top"/>
          </w:tcPr>
          <w:p>
            <w:pPr>
              <w:shd w:val="clea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754" w:type="pct"/>
            <w:tcBorders>
              <w:top w:val="nil"/>
              <w:bottom w:val="nil"/>
            </w:tcBorders>
            <w:vAlign w:val="top"/>
          </w:tcPr>
          <w:p>
            <w:pPr>
              <w:shd w:val="clea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1.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18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 xml:space="preserve"> (0.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84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 xml:space="preserve">, 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1.66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690" w:type="pct"/>
            <w:tcBorders>
              <w:top w:val="nil"/>
              <w:bottom w:val="nil"/>
            </w:tcBorders>
            <w:vAlign w:val="top"/>
          </w:tcPr>
          <w:p>
            <w:pPr>
              <w:shd w:val="clea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1" w:type="pct"/>
            <w:tcBorders>
              <w:top w:val="nil"/>
              <w:bottom w:val="nil"/>
            </w:tcBorders>
            <w:vAlign w:val="top"/>
          </w:tcPr>
          <w:p>
            <w:pPr>
              <w:shd w:val="clea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highlight w:val="none"/>
                <w:lang w:val="en-US" w:eastAsia="zh-CN"/>
              </w:rPr>
              <w:t>Diabetes</w:t>
            </w:r>
          </w:p>
        </w:tc>
        <w:tc>
          <w:tcPr>
            <w:tcW w:w="739" w:type="pct"/>
            <w:tcBorders>
              <w:top w:val="nil"/>
              <w:bottom w:val="nil"/>
            </w:tcBorders>
            <w:vAlign w:val="top"/>
          </w:tcPr>
          <w:p>
            <w:pPr>
              <w:shd w:val="clea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716" w:type="pct"/>
            <w:tcBorders>
              <w:top w:val="nil"/>
              <w:bottom w:val="nil"/>
            </w:tcBorders>
            <w:vAlign w:val="top"/>
          </w:tcPr>
          <w:p>
            <w:pPr>
              <w:shd w:val="clea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785" w:type="pct"/>
            <w:tcBorders>
              <w:top w:val="nil"/>
              <w:bottom w:val="nil"/>
            </w:tcBorders>
            <w:vAlign w:val="top"/>
          </w:tcPr>
          <w:p>
            <w:pPr>
              <w:shd w:val="clea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641" w:type="pct"/>
            <w:tcBorders>
              <w:top w:val="nil"/>
              <w:bottom w:val="nil"/>
            </w:tcBorders>
            <w:vAlign w:val="top"/>
          </w:tcPr>
          <w:p>
            <w:pPr>
              <w:shd w:val="clear"/>
              <w:rPr>
                <w:rFonts w:hint="default" w:ascii="Times New Roman" w:hAnsi="Times New Roman" w:cs="Times New Roman" w:eastAsiaTheme="minor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0.068</w:t>
            </w:r>
          </w:p>
        </w:tc>
        <w:tc>
          <w:tcPr>
            <w:tcW w:w="754" w:type="pct"/>
            <w:tcBorders>
              <w:top w:val="nil"/>
              <w:bottom w:val="nil"/>
            </w:tcBorders>
            <w:vAlign w:val="top"/>
          </w:tcPr>
          <w:p>
            <w:pPr>
              <w:shd w:val="clea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690" w:type="pct"/>
            <w:tcBorders>
              <w:top w:val="nil"/>
              <w:bottom w:val="nil"/>
            </w:tcBorders>
            <w:vAlign w:val="top"/>
          </w:tcPr>
          <w:p>
            <w:pPr>
              <w:shd w:val="clear"/>
              <w:rPr>
                <w:rFonts w:hint="default" w:ascii="Times New Roman" w:hAnsi="Times New Roman" w:cs="Times New Roman" w:eastAsiaTheme="minor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0.202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1" w:type="pct"/>
            <w:tcBorders>
              <w:top w:val="nil"/>
              <w:bottom w:val="nil"/>
            </w:tcBorders>
            <w:vAlign w:val="top"/>
          </w:tcPr>
          <w:p>
            <w:pPr>
              <w:shd w:val="clea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highlight w:val="none"/>
              </w:rPr>
              <w:t xml:space="preserve"> 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  <w:t>Yes</w:t>
            </w:r>
          </w:p>
        </w:tc>
        <w:tc>
          <w:tcPr>
            <w:tcW w:w="739" w:type="pct"/>
            <w:tcBorders>
              <w:top w:val="nil"/>
              <w:bottom w:val="nil"/>
            </w:tcBorders>
            <w:vAlign w:val="top"/>
          </w:tcPr>
          <w:p>
            <w:pPr>
              <w:shd w:val="clear"/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  <w:t>1.05</w:t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  <w:t>0.82</w:t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highlight w:val="none"/>
              </w:rPr>
              <w:t xml:space="preserve">, 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  <w:t>1.34</w:t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716" w:type="pct"/>
            <w:tcBorders>
              <w:top w:val="nil"/>
              <w:bottom w:val="nil"/>
            </w:tcBorders>
            <w:vAlign w:val="top"/>
          </w:tcPr>
          <w:p>
            <w:pPr>
              <w:shd w:val="clear"/>
              <w:rPr>
                <w:rFonts w:hint="eastAsia" w:ascii="Times New Roman" w:hAnsi="Times New Roman" w:cs="Times New Roman" w:eastAsiaTheme="minorEastAsia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1.14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 xml:space="preserve"> (0.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63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 xml:space="preserve">, 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2.06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785" w:type="pct"/>
            <w:tcBorders>
              <w:top w:val="nil"/>
              <w:bottom w:val="nil"/>
            </w:tcBorders>
            <w:vAlign w:val="top"/>
          </w:tcPr>
          <w:p>
            <w:pPr>
              <w:shd w:val="clea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highlight w:val="none"/>
                <w:lang w:val="en-US" w:eastAsia="zh-CN"/>
              </w:rPr>
              <w:t>1.68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highlight w:val="none"/>
                <w:lang w:val="en-US" w:eastAsia="zh-CN"/>
              </w:rPr>
              <w:t>1.05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none"/>
              </w:rPr>
              <w:t xml:space="preserve">, </w:t>
            </w: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highlight w:val="none"/>
                <w:lang w:val="en-US" w:eastAsia="zh-CN"/>
              </w:rPr>
              <w:t>2.69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none"/>
              </w:rPr>
              <w:t>)</w:t>
            </w:r>
          </w:p>
        </w:tc>
        <w:tc>
          <w:tcPr>
            <w:tcW w:w="641" w:type="pct"/>
            <w:tcBorders>
              <w:top w:val="nil"/>
              <w:bottom w:val="nil"/>
            </w:tcBorders>
            <w:vAlign w:val="top"/>
          </w:tcPr>
          <w:p>
            <w:pPr>
              <w:shd w:val="clea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754" w:type="pct"/>
            <w:tcBorders>
              <w:top w:val="nil"/>
              <w:bottom w:val="nil"/>
            </w:tcBorders>
            <w:vAlign w:val="top"/>
          </w:tcPr>
          <w:p>
            <w:pPr>
              <w:shd w:val="clea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0.87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0.57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 xml:space="preserve">, 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1.34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690" w:type="pct"/>
            <w:tcBorders>
              <w:top w:val="nil"/>
              <w:bottom w:val="nil"/>
            </w:tcBorders>
            <w:vAlign w:val="top"/>
          </w:tcPr>
          <w:p>
            <w:pPr>
              <w:shd w:val="clea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671" w:type="pct"/>
            <w:tcBorders>
              <w:top w:val="nil"/>
              <w:bottom w:val="nil"/>
            </w:tcBorders>
            <w:vAlign w:val="top"/>
          </w:tcPr>
          <w:p>
            <w:pPr>
              <w:shd w:val="clear"/>
              <w:ind w:firstLine="90" w:firstLineChars="50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  <w:t>No</w:t>
            </w:r>
          </w:p>
        </w:tc>
        <w:tc>
          <w:tcPr>
            <w:tcW w:w="739" w:type="pct"/>
            <w:tcBorders>
              <w:top w:val="nil"/>
              <w:bottom w:val="nil"/>
            </w:tcBorders>
            <w:vAlign w:val="top"/>
          </w:tcPr>
          <w:p>
            <w:pPr>
              <w:shd w:val="clea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0.96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 xml:space="preserve"> (0.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77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 xml:space="preserve">, 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1.18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716" w:type="pct"/>
            <w:tcBorders>
              <w:top w:val="nil"/>
              <w:bottom w:val="nil"/>
            </w:tcBorders>
            <w:vAlign w:val="top"/>
          </w:tcPr>
          <w:p>
            <w:pPr>
              <w:shd w:val="clear"/>
              <w:rPr>
                <w:rFonts w:hint="eastAsia" w:ascii="Times New Roman" w:hAnsi="Times New Roman" w:cs="Times New Roman" w:eastAsiaTheme="minorEastAsia"/>
                <w:sz w:val="18"/>
                <w:szCs w:val="18"/>
                <w:highlight w:val="none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0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.90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 xml:space="preserve"> (0.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60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, 1.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34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785" w:type="pct"/>
            <w:tcBorders>
              <w:top w:val="nil"/>
              <w:bottom w:val="nil"/>
            </w:tcBorders>
            <w:vAlign w:val="top"/>
          </w:tcPr>
          <w:p>
            <w:pPr>
              <w:shd w:val="clea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0.91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 xml:space="preserve"> (0.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48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 xml:space="preserve">, 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1.73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641" w:type="pct"/>
            <w:tcBorders>
              <w:top w:val="nil"/>
              <w:bottom w:val="nil"/>
            </w:tcBorders>
            <w:vAlign w:val="top"/>
          </w:tcPr>
          <w:p>
            <w:pPr>
              <w:shd w:val="clea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754" w:type="pct"/>
            <w:tcBorders>
              <w:top w:val="nil"/>
              <w:bottom w:val="nil"/>
            </w:tcBorders>
            <w:vAlign w:val="top"/>
          </w:tcPr>
          <w:p>
            <w:pPr>
              <w:shd w:val="clea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none"/>
              </w:rPr>
              <w:t>1.</w:t>
            </w: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highlight w:val="none"/>
                <w:lang w:val="en-US" w:eastAsia="zh-CN"/>
              </w:rPr>
              <w:t>55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highlight w:val="none"/>
                <w:lang w:val="en-US" w:eastAsia="zh-CN"/>
              </w:rPr>
              <w:t>1.04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none"/>
              </w:rPr>
              <w:t xml:space="preserve">, </w:t>
            </w: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highlight w:val="none"/>
                <w:lang w:val="en-US" w:eastAsia="zh-CN"/>
              </w:rPr>
              <w:t>2.29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none"/>
              </w:rPr>
              <w:t>)</w:t>
            </w:r>
          </w:p>
        </w:tc>
        <w:tc>
          <w:tcPr>
            <w:tcW w:w="690" w:type="pct"/>
            <w:tcBorders>
              <w:top w:val="nil"/>
              <w:bottom w:val="nil"/>
            </w:tcBorders>
            <w:vAlign w:val="top"/>
          </w:tcPr>
          <w:p>
            <w:pPr>
              <w:shd w:val="clea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1" w:type="pct"/>
            <w:tcBorders>
              <w:top w:val="nil"/>
              <w:bottom w:val="nil"/>
            </w:tcBorders>
            <w:vAlign w:val="top"/>
          </w:tcPr>
          <w:p>
            <w:pPr>
              <w:shd w:val="clear"/>
              <w:rPr>
                <w:rFonts w:ascii="Times New Roman" w:hAnsi="Times New Roman" w:cs="Times New Roman"/>
                <w:b w:val="0"/>
                <w:bCs w:val="0"/>
                <w:i/>
                <w:iCs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highlight w:val="none"/>
                <w:lang w:val="en-US" w:eastAsia="zh-CN"/>
              </w:rPr>
              <w:t>Hypertension</w:t>
            </w:r>
          </w:p>
        </w:tc>
        <w:tc>
          <w:tcPr>
            <w:tcW w:w="739" w:type="pct"/>
            <w:tcBorders>
              <w:top w:val="nil"/>
              <w:bottom w:val="nil"/>
            </w:tcBorders>
            <w:vAlign w:val="top"/>
          </w:tcPr>
          <w:p>
            <w:pPr>
              <w:shd w:val="clea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716" w:type="pct"/>
            <w:tcBorders>
              <w:top w:val="nil"/>
              <w:bottom w:val="nil"/>
            </w:tcBorders>
            <w:vAlign w:val="top"/>
          </w:tcPr>
          <w:p>
            <w:pPr>
              <w:shd w:val="clea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785" w:type="pct"/>
            <w:tcBorders>
              <w:top w:val="nil"/>
              <w:bottom w:val="nil"/>
            </w:tcBorders>
            <w:vAlign w:val="top"/>
          </w:tcPr>
          <w:p>
            <w:pPr>
              <w:shd w:val="clea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641" w:type="pct"/>
            <w:tcBorders>
              <w:top w:val="nil"/>
              <w:bottom w:val="nil"/>
            </w:tcBorders>
            <w:vAlign w:val="top"/>
          </w:tcPr>
          <w:p>
            <w:pPr>
              <w:shd w:val="clear"/>
              <w:rPr>
                <w:rFonts w:hint="default" w:ascii="Times New Roman" w:hAnsi="Times New Roman" w:cs="Times New Roman" w:eastAsiaTheme="minor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0.576</w:t>
            </w:r>
          </w:p>
        </w:tc>
        <w:tc>
          <w:tcPr>
            <w:tcW w:w="754" w:type="pct"/>
            <w:tcBorders>
              <w:top w:val="nil"/>
              <w:bottom w:val="nil"/>
            </w:tcBorders>
            <w:vAlign w:val="top"/>
          </w:tcPr>
          <w:p>
            <w:pPr>
              <w:shd w:val="clea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690" w:type="pct"/>
            <w:tcBorders>
              <w:top w:val="nil"/>
              <w:bottom w:val="nil"/>
            </w:tcBorders>
            <w:vAlign w:val="top"/>
          </w:tcPr>
          <w:p>
            <w:pPr>
              <w:shd w:val="clear"/>
              <w:rPr>
                <w:rFonts w:hint="default" w:ascii="Times New Roman" w:hAnsi="Times New Roman" w:cs="Times New Roman" w:eastAsiaTheme="minor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0.664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1" w:type="pct"/>
            <w:tcBorders>
              <w:top w:val="nil"/>
              <w:bottom w:val="nil"/>
            </w:tcBorders>
            <w:vAlign w:val="top"/>
          </w:tcPr>
          <w:p>
            <w:pPr>
              <w:shd w:val="clear"/>
              <w:rPr>
                <w:rFonts w:ascii="Times New Roman" w:hAnsi="Times New Roman" w:cs="Times New Roman"/>
                <w:b w:val="0"/>
                <w:bCs w:val="0"/>
                <w:i/>
                <w:iCs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highlight w:val="none"/>
              </w:rPr>
              <w:t xml:space="preserve"> 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  <w:t>Yes</w:t>
            </w:r>
          </w:p>
        </w:tc>
        <w:tc>
          <w:tcPr>
            <w:tcW w:w="739" w:type="pct"/>
            <w:tcBorders>
              <w:top w:val="nil"/>
              <w:bottom w:val="nil"/>
            </w:tcBorders>
            <w:vAlign w:val="top"/>
          </w:tcPr>
          <w:p>
            <w:pPr>
              <w:shd w:val="clear"/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  <w:t>1.04</w:t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  <w:t>0.87</w:t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highlight w:val="none"/>
              </w:rPr>
              <w:t xml:space="preserve">, 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  <w:t>1.25</w:t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716" w:type="pct"/>
            <w:tcBorders>
              <w:top w:val="nil"/>
              <w:bottom w:val="nil"/>
            </w:tcBorders>
            <w:vAlign w:val="top"/>
          </w:tcPr>
          <w:p>
            <w:pPr>
              <w:shd w:val="clea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1.15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 xml:space="preserve"> (0.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77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, 1.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71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785" w:type="pct"/>
            <w:tcBorders>
              <w:top w:val="nil"/>
              <w:bottom w:val="nil"/>
            </w:tcBorders>
            <w:vAlign w:val="top"/>
          </w:tcPr>
          <w:p>
            <w:pPr>
              <w:shd w:val="clea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highlight w:val="none"/>
                <w:lang w:val="en-US" w:eastAsia="zh-CN"/>
              </w:rPr>
              <w:t>1.52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highlight w:val="none"/>
                <w:lang w:val="en-US" w:eastAsia="zh-CN"/>
              </w:rPr>
              <w:t>1.00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none"/>
              </w:rPr>
              <w:t xml:space="preserve">, </w:t>
            </w: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highlight w:val="none"/>
                <w:lang w:val="en-US" w:eastAsia="zh-CN"/>
              </w:rPr>
              <w:t>2.33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none"/>
              </w:rPr>
              <w:t>)</w:t>
            </w:r>
          </w:p>
        </w:tc>
        <w:tc>
          <w:tcPr>
            <w:tcW w:w="641" w:type="pct"/>
            <w:tcBorders>
              <w:top w:val="nil"/>
              <w:bottom w:val="nil"/>
            </w:tcBorders>
            <w:vAlign w:val="top"/>
          </w:tcPr>
          <w:p>
            <w:pPr>
              <w:shd w:val="clea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54" w:type="pct"/>
            <w:tcBorders>
              <w:top w:val="nil"/>
              <w:bottom w:val="nil"/>
            </w:tcBorders>
            <w:vAlign w:val="top"/>
          </w:tcPr>
          <w:p>
            <w:pPr>
              <w:shd w:val="clea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1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.22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0.89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 xml:space="preserve">, 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1.67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690" w:type="pct"/>
            <w:tcBorders>
              <w:top w:val="nil"/>
              <w:bottom w:val="nil"/>
            </w:tcBorders>
            <w:vAlign w:val="top"/>
          </w:tcPr>
          <w:p>
            <w:pPr>
              <w:shd w:val="clea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71" w:type="pct"/>
            <w:tcBorders>
              <w:top w:val="nil"/>
              <w:bottom w:val="nil"/>
            </w:tcBorders>
            <w:vAlign w:val="top"/>
          </w:tcPr>
          <w:p>
            <w:pPr>
              <w:shd w:val="clear"/>
              <w:ind w:firstLine="90" w:firstLineChars="50"/>
              <w:rPr>
                <w:rFonts w:ascii="Times New Roman" w:hAnsi="Times New Roman" w:cs="Times New Roman"/>
                <w:b w:val="0"/>
                <w:bCs w:val="0"/>
                <w:i/>
                <w:iCs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  <w:t>No</w:t>
            </w:r>
          </w:p>
        </w:tc>
        <w:tc>
          <w:tcPr>
            <w:tcW w:w="739" w:type="pct"/>
            <w:tcBorders>
              <w:top w:val="nil"/>
              <w:bottom w:val="nil"/>
            </w:tcBorders>
            <w:vAlign w:val="top"/>
          </w:tcPr>
          <w:p>
            <w:pPr>
              <w:shd w:val="clea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1.13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 xml:space="preserve"> (0.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83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 xml:space="preserve">, 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1.55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716" w:type="pct"/>
            <w:tcBorders>
              <w:top w:val="nil"/>
              <w:bottom w:val="nil"/>
            </w:tcBorders>
            <w:vAlign w:val="top"/>
          </w:tcPr>
          <w:p>
            <w:pPr>
              <w:shd w:val="clea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83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 xml:space="preserve"> (0.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46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, 1.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51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785" w:type="pct"/>
            <w:tcBorders>
              <w:top w:val="nil"/>
              <w:bottom w:val="nil"/>
            </w:tcBorders>
            <w:vAlign w:val="top"/>
          </w:tcPr>
          <w:p>
            <w:pPr>
              <w:shd w:val="clea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1.32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 xml:space="preserve"> (0.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57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 xml:space="preserve">, 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3.07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641" w:type="pct"/>
            <w:tcBorders>
              <w:top w:val="nil"/>
              <w:bottom w:val="nil"/>
            </w:tcBorders>
            <w:vAlign w:val="top"/>
          </w:tcPr>
          <w:p>
            <w:pPr>
              <w:shd w:val="clea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54" w:type="pct"/>
            <w:tcBorders>
              <w:top w:val="nil"/>
              <w:bottom w:val="nil"/>
            </w:tcBorders>
            <w:vAlign w:val="top"/>
          </w:tcPr>
          <w:p>
            <w:pPr>
              <w:shd w:val="clea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1.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61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 xml:space="preserve"> (0.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84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 xml:space="preserve">, 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3.06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690" w:type="pct"/>
            <w:tcBorders>
              <w:top w:val="nil"/>
              <w:bottom w:val="nil"/>
            </w:tcBorders>
            <w:vAlign w:val="top"/>
          </w:tcPr>
          <w:p>
            <w:pPr>
              <w:shd w:val="clea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71" w:type="pct"/>
            <w:tcBorders>
              <w:top w:val="nil"/>
              <w:bottom w:val="nil"/>
            </w:tcBorders>
            <w:vAlign w:val="top"/>
          </w:tcPr>
          <w:p>
            <w:pPr>
              <w:shd w:val="clea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highlight w:val="none"/>
                <w:lang w:val="en-US" w:eastAsia="zh-CN"/>
              </w:rPr>
              <w:t>MetS</w:t>
            </w:r>
          </w:p>
        </w:tc>
        <w:tc>
          <w:tcPr>
            <w:tcW w:w="739" w:type="pct"/>
            <w:tcBorders>
              <w:top w:val="nil"/>
              <w:bottom w:val="nil"/>
            </w:tcBorders>
            <w:vAlign w:val="top"/>
          </w:tcPr>
          <w:p>
            <w:pPr>
              <w:shd w:val="clea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716" w:type="pct"/>
            <w:tcBorders>
              <w:top w:val="nil"/>
              <w:bottom w:val="nil"/>
            </w:tcBorders>
            <w:vAlign w:val="top"/>
          </w:tcPr>
          <w:p>
            <w:pPr>
              <w:shd w:val="clea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785" w:type="pct"/>
            <w:tcBorders>
              <w:top w:val="nil"/>
              <w:bottom w:val="nil"/>
            </w:tcBorders>
            <w:vAlign w:val="top"/>
          </w:tcPr>
          <w:p>
            <w:pPr>
              <w:shd w:val="clea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41" w:type="pct"/>
            <w:tcBorders>
              <w:top w:val="nil"/>
              <w:bottom w:val="nil"/>
            </w:tcBorders>
            <w:vAlign w:val="top"/>
          </w:tcPr>
          <w:p>
            <w:pPr>
              <w:shd w:val="clea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0.826</w:t>
            </w:r>
          </w:p>
        </w:tc>
        <w:tc>
          <w:tcPr>
            <w:tcW w:w="754" w:type="pct"/>
            <w:tcBorders>
              <w:top w:val="nil"/>
              <w:bottom w:val="nil"/>
            </w:tcBorders>
            <w:vAlign w:val="top"/>
          </w:tcPr>
          <w:p>
            <w:pPr>
              <w:shd w:val="clea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90" w:type="pct"/>
            <w:tcBorders>
              <w:top w:val="nil"/>
              <w:bottom w:val="nil"/>
            </w:tcBorders>
            <w:vAlign w:val="top"/>
          </w:tcPr>
          <w:p>
            <w:pPr>
              <w:shd w:val="clea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0.329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71" w:type="pct"/>
            <w:tcBorders>
              <w:top w:val="nil"/>
              <w:bottom w:val="nil"/>
            </w:tcBorders>
            <w:vAlign w:val="top"/>
          </w:tcPr>
          <w:p>
            <w:pPr>
              <w:shd w:val="clear"/>
              <w:rPr>
                <w:rFonts w:hint="eastAsia" w:ascii="Times New Roman" w:hAnsi="Times New Roman" w:cs="Times New Roman" w:eastAsiaTheme="minorEastAsia"/>
                <w:b w:val="0"/>
                <w:bCs w:val="0"/>
                <w:i/>
                <w:iCs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highlight w:val="none"/>
              </w:rPr>
              <w:t xml:space="preserve"> 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  <w:t>Yes</w:t>
            </w:r>
          </w:p>
        </w:tc>
        <w:tc>
          <w:tcPr>
            <w:tcW w:w="739" w:type="pct"/>
            <w:tcBorders>
              <w:top w:val="nil"/>
              <w:bottom w:val="nil"/>
            </w:tcBorders>
            <w:vAlign w:val="top"/>
          </w:tcPr>
          <w:p>
            <w:pPr>
              <w:shd w:val="clear"/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1.05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0.88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</w:rPr>
              <w:t xml:space="preserve">, 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1.24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716" w:type="pct"/>
            <w:tcBorders>
              <w:top w:val="nil"/>
              <w:bottom w:val="nil"/>
            </w:tcBorders>
            <w:vAlign w:val="top"/>
          </w:tcPr>
          <w:p>
            <w:pPr>
              <w:shd w:val="clear"/>
              <w:rPr>
                <w:rFonts w:ascii="Times New Roman" w:hAnsi="Times New Roman" w:cs="Times New Roman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1.02 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(0.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71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, 1.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45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785" w:type="pct"/>
            <w:tcBorders>
              <w:top w:val="nil"/>
              <w:bottom w:val="nil"/>
            </w:tcBorders>
            <w:vAlign w:val="top"/>
          </w:tcPr>
          <w:p>
            <w:pPr>
              <w:shd w:val="clea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1.42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0.96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</w:rPr>
              <w:t xml:space="preserve">, 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2.09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641" w:type="pct"/>
            <w:tcBorders>
              <w:top w:val="nil"/>
              <w:bottom w:val="nil"/>
            </w:tcBorders>
            <w:vAlign w:val="top"/>
          </w:tcPr>
          <w:p>
            <w:pPr>
              <w:shd w:val="clear"/>
              <w:rPr>
                <w:rFonts w:ascii="Times New Roman" w:hAnsi="Times New Roman" w:cs="Times New Roman" w:eastAsiaTheme="minorEastAsia"/>
                <w:color w:val="FF0000"/>
                <w:kern w:val="2"/>
                <w:sz w:val="18"/>
                <w:szCs w:val="18"/>
                <w:highlight w:val="yellow"/>
                <w:lang w:val="en-US" w:eastAsia="zh-CN" w:bidi="ar-SA"/>
              </w:rPr>
            </w:pPr>
          </w:p>
        </w:tc>
        <w:tc>
          <w:tcPr>
            <w:tcW w:w="754" w:type="pct"/>
            <w:tcBorders>
              <w:top w:val="nil"/>
              <w:bottom w:val="nil"/>
            </w:tcBorders>
            <w:vAlign w:val="top"/>
          </w:tcPr>
          <w:p>
            <w:pPr>
              <w:shd w:val="clear"/>
              <w:rPr>
                <w:rFonts w:ascii="Times New Roman" w:hAnsi="Times New Roman" w:cs="Times New Roman" w:eastAsiaTheme="minorEastAsia"/>
                <w:color w:val="auto"/>
                <w:kern w:val="2"/>
                <w:sz w:val="18"/>
                <w:szCs w:val="18"/>
                <w:highlight w:val="yellow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1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.16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0.86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 xml:space="preserve">, 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1.56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690" w:type="pct"/>
            <w:tcBorders>
              <w:top w:val="nil"/>
              <w:bottom w:val="nil"/>
            </w:tcBorders>
            <w:vAlign w:val="top"/>
          </w:tcPr>
          <w:p>
            <w:pPr>
              <w:shd w:val="clear"/>
              <w:rPr>
                <w:rFonts w:ascii="Times New Roman" w:hAnsi="Times New Roman" w:cs="Times New Roman" w:eastAsiaTheme="minorEastAsia"/>
                <w:color w:val="FF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71" w:type="pct"/>
            <w:tcBorders>
              <w:top w:val="nil"/>
              <w:bottom w:val="single" w:color="000000" w:themeColor="text1" w:sz="12" w:space="0"/>
            </w:tcBorders>
            <w:vAlign w:val="top"/>
          </w:tcPr>
          <w:p>
            <w:pPr>
              <w:shd w:val="clear"/>
              <w:ind w:firstLine="90" w:firstLineChars="50"/>
              <w:rPr>
                <w:rFonts w:hint="eastAsia" w:ascii="Times New Roman" w:hAnsi="Times New Roman" w:cs="Times New Roman" w:eastAsiaTheme="minorEastAsia"/>
                <w:b w:val="0"/>
                <w:bCs w:val="0"/>
                <w:i/>
                <w:iCs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  <w:t>No</w:t>
            </w:r>
          </w:p>
        </w:tc>
        <w:tc>
          <w:tcPr>
            <w:tcW w:w="739" w:type="pct"/>
            <w:tcBorders>
              <w:top w:val="nil"/>
              <w:bottom w:val="single" w:color="000000" w:themeColor="text1" w:sz="12" w:space="0"/>
            </w:tcBorders>
            <w:vAlign w:val="top"/>
          </w:tcPr>
          <w:p>
            <w:pPr>
              <w:shd w:val="clear"/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0.91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 xml:space="preserve"> (0.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54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 xml:space="preserve">, 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1.53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716" w:type="pct"/>
            <w:tcBorders>
              <w:top w:val="nil"/>
              <w:bottom w:val="single" w:color="000000" w:themeColor="text1" w:sz="12" w:space="0"/>
            </w:tcBorders>
            <w:vAlign w:val="top"/>
          </w:tcPr>
          <w:p>
            <w:pPr>
              <w:shd w:val="clear"/>
              <w:rPr>
                <w:rFonts w:ascii="Times New Roman" w:hAnsi="Times New Roman" w:cs="Times New Roman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86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 xml:space="preserve"> (0.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47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, 1.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58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785" w:type="pct"/>
            <w:tcBorders>
              <w:top w:val="nil"/>
              <w:bottom w:val="single" w:color="000000" w:themeColor="text1" w:sz="12" w:space="0"/>
            </w:tcBorders>
            <w:vAlign w:val="top"/>
          </w:tcPr>
          <w:p>
            <w:pPr>
              <w:shd w:val="clea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4.57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</w:rPr>
              <w:t xml:space="preserve"> (0.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38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</w:rPr>
              <w:t xml:space="preserve">, 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15.25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641" w:type="pct"/>
            <w:tcBorders>
              <w:top w:val="nil"/>
              <w:bottom w:val="single" w:color="000000" w:themeColor="text1" w:sz="12" w:space="0"/>
            </w:tcBorders>
            <w:vAlign w:val="top"/>
          </w:tcPr>
          <w:p>
            <w:pPr>
              <w:shd w:val="clear"/>
              <w:rPr>
                <w:rFonts w:ascii="Times New Roman" w:hAnsi="Times New Roman" w:cs="Times New Roman" w:eastAsiaTheme="minorEastAsia"/>
                <w:color w:val="FF0000"/>
                <w:kern w:val="2"/>
                <w:sz w:val="18"/>
                <w:szCs w:val="18"/>
                <w:highlight w:val="yellow"/>
                <w:lang w:val="en-US" w:eastAsia="zh-CN" w:bidi="ar-SA"/>
              </w:rPr>
            </w:pPr>
          </w:p>
        </w:tc>
        <w:tc>
          <w:tcPr>
            <w:tcW w:w="754" w:type="pct"/>
            <w:tcBorders>
              <w:top w:val="nil"/>
              <w:bottom w:val="single" w:color="000000" w:themeColor="text1" w:sz="12" w:space="0"/>
            </w:tcBorders>
            <w:vAlign w:val="top"/>
          </w:tcPr>
          <w:p>
            <w:pPr>
              <w:shd w:val="clear"/>
              <w:rPr>
                <w:rFonts w:ascii="Times New Roman" w:hAnsi="Times New Roman" w:cs="Times New Roman" w:eastAsiaTheme="minorEastAsia"/>
                <w:color w:val="auto"/>
                <w:kern w:val="2"/>
                <w:sz w:val="18"/>
                <w:szCs w:val="18"/>
                <w:highlight w:val="yellow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1.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00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 xml:space="preserve"> (0.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28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 xml:space="preserve">, 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3.44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690" w:type="pct"/>
            <w:tcBorders>
              <w:top w:val="nil"/>
              <w:bottom w:val="single" w:color="000000" w:themeColor="text1" w:sz="12" w:space="0"/>
            </w:tcBorders>
            <w:vAlign w:val="top"/>
          </w:tcPr>
          <w:p>
            <w:pPr>
              <w:shd w:val="clear"/>
              <w:rPr>
                <w:rFonts w:ascii="Times New Roman" w:hAnsi="Times New Roman" w:cs="Times New Roman" w:eastAsiaTheme="minorEastAsia"/>
                <w:color w:val="FF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bookmarkEnd w:id="1"/>
    </w:tbl>
    <w:p>
      <w:pPr>
        <w:shd w:val="clear"/>
        <w:rPr>
          <w:rFonts w:ascii="Times New Roman" w:hAnsi="Times New Roman" w:eastAsia="宋体" w:cs="Times New Roman"/>
          <w:kern w:val="0"/>
          <w:sz w:val="18"/>
          <w:szCs w:val="18"/>
          <w:highlight w:val="none"/>
        </w:rPr>
      </w:pPr>
      <w:r>
        <w:rPr>
          <w:rFonts w:ascii="Times New Roman" w:hAnsi="Times New Roman" w:eastAsia="宋体" w:cs="Times New Roman"/>
          <w:kern w:val="0"/>
          <w:sz w:val="18"/>
          <w:szCs w:val="18"/>
          <w:highlight w:val="none"/>
        </w:rPr>
        <w:t>Abbreviations: HR: hazard ratios; CI: confidence interval; other abbreviations as in Table 1.</w:t>
      </w:r>
    </w:p>
    <w:p>
      <w:pPr>
        <w:shd w:val="clear"/>
        <w:rPr>
          <w:rFonts w:ascii="Times New Roman" w:hAnsi="Times New Roman" w:cs="Times New Roman"/>
          <w:sz w:val="18"/>
          <w:szCs w:val="18"/>
          <w:highlight w:val="none"/>
        </w:rPr>
      </w:pPr>
      <w:r>
        <w:rPr>
          <w:rFonts w:ascii="Times New Roman" w:hAnsi="Times New Roman" w:cs="Times New Roman"/>
          <w:sz w:val="18"/>
          <w:szCs w:val="18"/>
          <w:highlight w:val="none"/>
        </w:rPr>
        <w:t xml:space="preserve">Note: Models adjusted for the same covariates as in model </w:t>
      </w:r>
      <w:r>
        <w:rPr>
          <w:rFonts w:hint="eastAsia" w:ascii="Times New Roman" w:hAnsi="Times New Roman" w:cs="Times New Roman"/>
          <w:sz w:val="18"/>
          <w:szCs w:val="18"/>
          <w:highlight w:val="none"/>
          <w:lang w:val="en-US" w:eastAsia="zh-CN"/>
        </w:rPr>
        <w:t>II</w:t>
      </w:r>
      <w:r>
        <w:rPr>
          <w:rFonts w:ascii="Times New Roman" w:hAnsi="Times New Roman" w:cs="Times New Roman"/>
          <w:sz w:val="18"/>
          <w:szCs w:val="18"/>
          <w:highlight w:val="none"/>
        </w:rPr>
        <w:t xml:space="preserve"> (Table </w:t>
      </w:r>
      <w:r>
        <w:rPr>
          <w:rFonts w:hint="eastAsia" w:ascii="Times New Roman" w:hAnsi="Times New Roman" w:cs="Times New Roman"/>
          <w:sz w:val="18"/>
          <w:szCs w:val="18"/>
          <w:highlight w:val="none"/>
        </w:rPr>
        <w:t>3</w:t>
      </w:r>
      <w:r>
        <w:rPr>
          <w:rFonts w:ascii="Times New Roman" w:hAnsi="Times New Roman" w:cs="Times New Roman"/>
          <w:sz w:val="18"/>
          <w:szCs w:val="18"/>
          <w:highlight w:val="none"/>
        </w:rPr>
        <w:t>), except for the stratification variable.</w:t>
      </w:r>
    </w:p>
    <w:p/>
    <w:p/>
    <w:p/>
    <w:p>
      <w:pPr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hint="eastAsia" w:ascii="Times New Roman" w:hAnsi="Times New Roman" w:cs="Times New Roman"/>
          <w:b/>
          <w:bCs/>
          <w:sz w:val="21"/>
          <w:szCs w:val="21"/>
        </w:rPr>
        <w:t>Table S3. Sensitivity analysis after excluding baseline patients with neoplasm and severe heart disease* (N= 14,997)</w:t>
      </w:r>
      <w:r>
        <w:rPr>
          <w:rFonts w:ascii="Times New Roman" w:hAnsi="Times New Roman" w:cs="Times New Roman"/>
          <w:b/>
          <w:bCs/>
          <w:sz w:val="21"/>
          <w:szCs w:val="21"/>
        </w:rPr>
        <w:t>.</w:t>
      </w:r>
      <w:bookmarkStart w:id="7" w:name="_GoBack"/>
      <w:bookmarkEnd w:id="7"/>
    </w:p>
    <w:tbl>
      <w:tblPr>
        <w:tblStyle w:val="4"/>
        <w:tblW w:w="0" w:type="auto"/>
        <w:tblInd w:w="0" w:type="dxa"/>
        <w:tblBorders>
          <w:top w:val="single" w:color="7E7E7E" w:themeColor="text1" w:themeTint="80" w:sz="4" w:space="0"/>
          <w:left w:val="none" w:color="auto" w:sz="0" w:space="0"/>
          <w:bottom w:val="single" w:color="7E7E7E" w:themeColor="text1" w:themeTint="80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704"/>
        <w:gridCol w:w="1704"/>
        <w:gridCol w:w="1704"/>
        <w:gridCol w:w="1704"/>
      </w:tblGrid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000000" w:themeColor="text1" w:sz="12" w:space="0"/>
              <w:bottom w:val="single" w:color="000000" w:themeColor="text1" w:sz="12" w:space="0"/>
            </w:tcBorders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single" w:color="000000" w:themeColor="text1" w:sz="12" w:space="0"/>
              <w:bottom w:val="single" w:color="000000" w:themeColor="text1" w:sz="12" w:space="0"/>
            </w:tcBorders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No. of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case</w:t>
            </w:r>
          </w:p>
        </w:tc>
        <w:tc>
          <w:tcPr>
            <w:tcW w:w="1704" w:type="dxa"/>
            <w:tcBorders>
              <w:top w:val="single" w:color="000000" w:themeColor="text1" w:sz="12" w:space="0"/>
              <w:bottom w:val="single" w:color="000000" w:themeColor="text1" w:sz="12" w:space="0"/>
            </w:tcBorders>
          </w:tcPr>
          <w:p>
            <w:pPr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0"/>
                <w:szCs w:val="20"/>
              </w:rPr>
            </w:pPr>
            <w:bookmarkStart w:id="3" w:name="OLE_LINK55"/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No. of subjects</w:t>
            </w:r>
            <w:bookmarkEnd w:id="3"/>
          </w:p>
        </w:tc>
        <w:tc>
          <w:tcPr>
            <w:tcW w:w="1704" w:type="dxa"/>
            <w:tcBorders>
              <w:top w:val="single" w:color="000000" w:themeColor="text1" w:sz="12" w:space="0"/>
              <w:bottom w:val="single" w:color="000000" w:themeColor="text1" w:sz="12" w:space="0"/>
            </w:tcBorders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0"/>
                <w:szCs w:val="20"/>
              </w:rPr>
              <w:t>HR (95%CI)</w:t>
            </w:r>
          </w:p>
        </w:tc>
        <w:tc>
          <w:tcPr>
            <w:tcW w:w="1704" w:type="dxa"/>
            <w:tcBorders>
              <w:top w:val="single" w:color="000000" w:themeColor="text1" w:sz="12" w:space="0"/>
              <w:bottom w:val="single" w:color="000000" w:themeColor="text1" w:sz="12" w:space="0"/>
            </w:tcBorders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value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All-cause mortality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04" w:type="dxa"/>
            <w:tcBorders>
              <w:top w:val="nil"/>
              <w:bottom w:val="nil"/>
            </w:tcBorders>
          </w:tcPr>
          <w:p>
            <w:pP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  <w:bookmarkStart w:id="4" w:name="OLE_LINK54" w:colFirst="0" w:colLast="3"/>
            <w:r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18"/>
                <w:szCs w:val="18"/>
                <w:highlight w:val="none"/>
              </w:rPr>
              <w:t>AIP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921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14,797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>1.01 (0.78, 1.27)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>0.9912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nil"/>
              <w:bottom w:val="nil"/>
            </w:tcBorders>
          </w:tcPr>
          <w:p>
            <w:pP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18"/>
                <w:szCs w:val="18"/>
                <w:highlight w:val="none"/>
              </w:rPr>
              <w:t>AIP (quartile)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nil"/>
              <w:bottom w:val="nil"/>
            </w:tcBorders>
          </w:tcPr>
          <w:p>
            <w:pPr>
              <w:ind w:firstLine="200" w:firstLineChars="100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lang w:val="en-US" w:eastAsia="zh-CN"/>
              </w:rPr>
            </w:pPr>
            <w:bookmarkStart w:id="5" w:name="OLE_LINK56" w:colFirst="3" w:colLast="4"/>
            <w:bookmarkStart w:id="6" w:name="OLE_LINK57" w:colFirst="3" w:colLast="4"/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0"/>
                <w:szCs w:val="20"/>
                <w:lang w:val="en-US" w:eastAsia="zh-CN"/>
              </w:rPr>
              <w:t>Q1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170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3,751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en-US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>Ref.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0"/>
                <w:szCs w:val="20"/>
                <w:highlight w:val="none"/>
                <w:lang w:val="en-US" w:eastAsia="zh-CN"/>
              </w:rPr>
            </w:pPr>
          </w:p>
        </w:tc>
      </w:tr>
      <w:bookmarkEnd w:id="5"/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nil"/>
              <w:bottom w:val="nil"/>
            </w:tcBorders>
          </w:tcPr>
          <w:p>
            <w:pPr>
              <w:ind w:firstLine="200" w:firstLineChars="100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0"/>
                <w:szCs w:val="20"/>
                <w:lang w:val="en-US" w:eastAsia="zh-CN"/>
              </w:rPr>
              <w:t>Q2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244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3,746</w:t>
            </w:r>
          </w:p>
        </w:tc>
        <w:tc>
          <w:tcPr>
            <w:tcW w:w="1704" w:type="dxa"/>
            <w:tcBorders>
              <w:top w:val="nil"/>
              <w:bottom w:val="nil"/>
            </w:tcBorders>
            <w:vAlign w:val="top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>1.0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6 (0.</w:t>
            </w:r>
            <w:r>
              <w:rPr>
                <w:rFonts w:hint="eastAsia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>87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 xml:space="preserve">, </w:t>
            </w:r>
            <w:r>
              <w:rPr>
                <w:rFonts w:hint="eastAsia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>1.30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)</w:t>
            </w:r>
          </w:p>
        </w:tc>
        <w:tc>
          <w:tcPr>
            <w:tcW w:w="1704" w:type="dxa"/>
            <w:tcBorders>
              <w:top w:val="nil"/>
              <w:bottom w:val="nil"/>
            </w:tcBorders>
            <w:vAlign w:val="top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>5373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nil"/>
              <w:bottom w:val="nil"/>
            </w:tcBorders>
          </w:tcPr>
          <w:p>
            <w:pPr>
              <w:ind w:firstLine="200" w:firstLineChars="100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0"/>
                <w:szCs w:val="20"/>
                <w:lang w:val="en-US" w:eastAsia="zh-CN"/>
              </w:rPr>
              <w:t>Q3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258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3,749</w:t>
            </w:r>
          </w:p>
        </w:tc>
        <w:tc>
          <w:tcPr>
            <w:tcW w:w="1704" w:type="dxa"/>
            <w:tcBorders>
              <w:top w:val="nil"/>
              <w:bottom w:val="nil"/>
            </w:tcBorders>
            <w:vAlign w:val="top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>0.97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 xml:space="preserve"> (0.</w:t>
            </w:r>
            <w:r>
              <w:rPr>
                <w:rFonts w:hint="eastAsia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>79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 xml:space="preserve">, </w:t>
            </w:r>
            <w:r>
              <w:rPr>
                <w:rFonts w:hint="eastAsia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>1.19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)</w:t>
            </w:r>
          </w:p>
        </w:tc>
        <w:tc>
          <w:tcPr>
            <w:tcW w:w="1704" w:type="dxa"/>
            <w:tcBorders>
              <w:top w:val="nil"/>
              <w:bottom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>7830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nil"/>
              <w:bottom w:val="nil"/>
            </w:tcBorders>
          </w:tcPr>
          <w:p>
            <w:pPr>
              <w:ind w:firstLine="200" w:firstLineChars="100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0"/>
                <w:szCs w:val="20"/>
                <w:lang w:val="en-US" w:eastAsia="zh-CN"/>
              </w:rPr>
              <w:t>Q4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275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3,751</w:t>
            </w:r>
          </w:p>
        </w:tc>
        <w:tc>
          <w:tcPr>
            <w:tcW w:w="1704" w:type="dxa"/>
            <w:tcBorders>
              <w:top w:val="nil"/>
              <w:bottom w:val="nil"/>
            </w:tcBorders>
            <w:vAlign w:val="top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>1.02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 xml:space="preserve"> (0.</w:t>
            </w:r>
            <w:r>
              <w:rPr>
                <w:rFonts w:hint="eastAsia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>81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 xml:space="preserve">, </w:t>
            </w:r>
            <w:r>
              <w:rPr>
                <w:rFonts w:hint="eastAsia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>1.30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)</w:t>
            </w:r>
          </w:p>
        </w:tc>
        <w:tc>
          <w:tcPr>
            <w:tcW w:w="1704" w:type="dxa"/>
            <w:tcBorders>
              <w:top w:val="nil"/>
              <w:bottom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>9901</w:t>
            </w:r>
          </w:p>
        </w:tc>
      </w:tr>
      <w:bookmarkEnd w:id="4"/>
      <w:bookmarkEnd w:id="6"/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CVD mortality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>
            <w:pP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>
            <w:pP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nil"/>
              <w:bottom w:val="nil"/>
            </w:tcBorders>
            <w:vAlign w:val="top"/>
          </w:tcPr>
          <w:p>
            <w:pPr>
              <w:rPr>
                <w:rFonts w:ascii="Times New Roman" w:hAnsi="Times New Roman" w:eastAsia="宋体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18"/>
                <w:szCs w:val="18"/>
                <w:highlight w:val="none"/>
              </w:rPr>
              <w:t>AIP</w:t>
            </w:r>
          </w:p>
        </w:tc>
        <w:tc>
          <w:tcPr>
            <w:tcW w:w="1704" w:type="dxa"/>
            <w:tcBorders>
              <w:top w:val="nil"/>
              <w:bottom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260</w:t>
            </w:r>
          </w:p>
        </w:tc>
        <w:tc>
          <w:tcPr>
            <w:tcW w:w="1704" w:type="dxa"/>
            <w:tcBorders>
              <w:top w:val="nil"/>
              <w:bottom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14,797</w:t>
            </w:r>
          </w:p>
        </w:tc>
        <w:tc>
          <w:tcPr>
            <w:tcW w:w="1704" w:type="dxa"/>
            <w:tcBorders>
              <w:top w:val="nil"/>
              <w:bottom w:val="nil"/>
            </w:tcBorders>
            <w:vAlign w:val="top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>1.15 (0.72, 1.84)</w:t>
            </w:r>
          </w:p>
        </w:tc>
        <w:tc>
          <w:tcPr>
            <w:tcW w:w="1704" w:type="dxa"/>
            <w:tcBorders>
              <w:top w:val="nil"/>
              <w:bottom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en-US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>0.5380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nil"/>
              <w:bottom w:val="nil"/>
            </w:tcBorders>
            <w:vAlign w:val="top"/>
          </w:tcPr>
          <w:p>
            <w:pPr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18"/>
                <w:szCs w:val="18"/>
                <w:highlight w:val="none"/>
              </w:rPr>
              <w:t>AIP (quartile)</w:t>
            </w:r>
          </w:p>
        </w:tc>
        <w:tc>
          <w:tcPr>
            <w:tcW w:w="1704" w:type="dxa"/>
            <w:tcBorders>
              <w:top w:val="nil"/>
              <w:bottom w:val="nil"/>
            </w:tcBorders>
            <w:vAlign w:val="top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  <w:vAlign w:val="top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  <w:vAlign w:val="top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  <w:vAlign w:val="top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nil"/>
              <w:bottom w:val="nil"/>
            </w:tcBorders>
            <w:vAlign w:val="top"/>
          </w:tcPr>
          <w:p>
            <w:pPr>
              <w:ind w:firstLine="200" w:firstLineChars="100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0"/>
                <w:szCs w:val="20"/>
                <w:lang w:val="en-US" w:eastAsia="zh-CN"/>
              </w:rPr>
              <w:t>Q1</w:t>
            </w:r>
          </w:p>
        </w:tc>
        <w:tc>
          <w:tcPr>
            <w:tcW w:w="1704" w:type="dxa"/>
            <w:tcBorders>
              <w:top w:val="nil"/>
              <w:bottom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39</w:t>
            </w:r>
          </w:p>
        </w:tc>
        <w:tc>
          <w:tcPr>
            <w:tcW w:w="1704" w:type="dxa"/>
            <w:tcBorders>
              <w:top w:val="nil"/>
              <w:bottom w:val="nil"/>
            </w:tcBorders>
            <w:vAlign w:val="top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3,751</w:t>
            </w:r>
          </w:p>
        </w:tc>
        <w:tc>
          <w:tcPr>
            <w:tcW w:w="1704" w:type="dxa"/>
            <w:tcBorders>
              <w:top w:val="nil"/>
              <w:bottom w:val="nil"/>
            </w:tcBorders>
            <w:vAlign w:val="top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>Ref.</w:t>
            </w:r>
          </w:p>
        </w:tc>
        <w:tc>
          <w:tcPr>
            <w:tcW w:w="1704" w:type="dxa"/>
            <w:tcBorders>
              <w:top w:val="nil"/>
              <w:bottom w:val="nil"/>
            </w:tcBorders>
            <w:vAlign w:val="top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nil"/>
              <w:bottom w:val="nil"/>
            </w:tcBorders>
            <w:vAlign w:val="top"/>
          </w:tcPr>
          <w:p>
            <w:pPr>
              <w:ind w:firstLine="200" w:firstLineChars="100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0"/>
                <w:szCs w:val="20"/>
                <w:lang w:val="en-US" w:eastAsia="zh-CN"/>
              </w:rPr>
              <w:t>Q2</w:t>
            </w:r>
          </w:p>
        </w:tc>
        <w:tc>
          <w:tcPr>
            <w:tcW w:w="1704" w:type="dxa"/>
            <w:tcBorders>
              <w:top w:val="nil"/>
              <w:bottom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66</w:t>
            </w:r>
          </w:p>
        </w:tc>
        <w:tc>
          <w:tcPr>
            <w:tcW w:w="1704" w:type="dxa"/>
            <w:tcBorders>
              <w:top w:val="nil"/>
              <w:bottom w:val="nil"/>
            </w:tcBorders>
            <w:vAlign w:val="top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3,746</w:t>
            </w:r>
          </w:p>
        </w:tc>
        <w:tc>
          <w:tcPr>
            <w:tcW w:w="1704" w:type="dxa"/>
            <w:tcBorders>
              <w:top w:val="nil"/>
              <w:bottom w:val="nil"/>
            </w:tcBorders>
            <w:vAlign w:val="top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>1.19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 xml:space="preserve"> (0.</w:t>
            </w:r>
            <w:r>
              <w:rPr>
                <w:rFonts w:hint="eastAsia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>79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 xml:space="preserve">, </w:t>
            </w:r>
            <w:r>
              <w:rPr>
                <w:rFonts w:hint="eastAsia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>1.77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)</w:t>
            </w:r>
          </w:p>
        </w:tc>
        <w:tc>
          <w:tcPr>
            <w:tcW w:w="1704" w:type="dxa"/>
            <w:tcBorders>
              <w:top w:val="nil"/>
              <w:bottom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>3999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nil"/>
              <w:bottom w:val="nil"/>
            </w:tcBorders>
            <w:vAlign w:val="top"/>
          </w:tcPr>
          <w:p>
            <w:pPr>
              <w:ind w:firstLine="200" w:firstLineChars="100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0"/>
                <w:szCs w:val="20"/>
                <w:lang w:val="en-US" w:eastAsia="zh-CN"/>
              </w:rPr>
              <w:t>Q3</w:t>
            </w:r>
          </w:p>
        </w:tc>
        <w:tc>
          <w:tcPr>
            <w:tcW w:w="1704" w:type="dxa"/>
            <w:tcBorders>
              <w:top w:val="nil"/>
              <w:bottom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89</w:t>
            </w:r>
          </w:p>
        </w:tc>
        <w:tc>
          <w:tcPr>
            <w:tcW w:w="1704" w:type="dxa"/>
            <w:tcBorders>
              <w:top w:val="nil"/>
              <w:bottom w:val="nil"/>
            </w:tcBorders>
            <w:vAlign w:val="top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3,749</w:t>
            </w:r>
          </w:p>
        </w:tc>
        <w:tc>
          <w:tcPr>
            <w:tcW w:w="1704" w:type="dxa"/>
            <w:tcBorders>
              <w:top w:val="nil"/>
              <w:bottom w:val="nil"/>
            </w:tcBorders>
            <w:vAlign w:val="top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>1.37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 xml:space="preserve"> (0.</w:t>
            </w:r>
            <w:r>
              <w:rPr>
                <w:rFonts w:hint="eastAsia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>92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 xml:space="preserve">, </w:t>
            </w:r>
            <w:r>
              <w:rPr>
                <w:rFonts w:hint="eastAsia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>2.05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)</w:t>
            </w:r>
          </w:p>
        </w:tc>
        <w:tc>
          <w:tcPr>
            <w:tcW w:w="1704" w:type="dxa"/>
            <w:tcBorders>
              <w:top w:val="nil"/>
              <w:bottom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>1113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nil"/>
              <w:bottom w:val="single" w:color="auto" w:sz="12" w:space="0"/>
            </w:tcBorders>
            <w:vAlign w:val="top"/>
          </w:tcPr>
          <w:p>
            <w:pPr>
              <w:ind w:firstLine="200" w:firstLineChars="100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0"/>
                <w:szCs w:val="20"/>
                <w:lang w:val="en-US" w:eastAsia="zh-CN"/>
              </w:rPr>
              <w:t>Q4</w:t>
            </w:r>
          </w:p>
        </w:tc>
        <w:tc>
          <w:tcPr>
            <w:tcW w:w="1704" w:type="dxa"/>
            <w:tcBorders>
              <w:top w:val="nil"/>
              <w:bottom w:val="single" w:color="auto" w:sz="12" w:space="0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75</w:t>
            </w:r>
          </w:p>
        </w:tc>
        <w:tc>
          <w:tcPr>
            <w:tcW w:w="1704" w:type="dxa"/>
            <w:tcBorders>
              <w:top w:val="nil"/>
              <w:bottom w:val="single" w:color="auto" w:sz="12" w:space="0"/>
            </w:tcBorders>
            <w:vAlign w:val="top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3,751</w:t>
            </w:r>
          </w:p>
        </w:tc>
        <w:tc>
          <w:tcPr>
            <w:tcW w:w="1704" w:type="dxa"/>
            <w:tcBorders>
              <w:top w:val="nil"/>
              <w:bottom w:val="single" w:color="auto" w:sz="12" w:space="0"/>
            </w:tcBorders>
            <w:vAlign w:val="top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>1.01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 xml:space="preserve"> (0.</w:t>
            </w:r>
            <w:r>
              <w:rPr>
                <w:rFonts w:hint="eastAsia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>72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 xml:space="preserve">, </w:t>
            </w:r>
            <w:r>
              <w:rPr>
                <w:rFonts w:hint="eastAsia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>1.71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)</w:t>
            </w:r>
          </w:p>
        </w:tc>
        <w:tc>
          <w:tcPr>
            <w:tcW w:w="1704" w:type="dxa"/>
            <w:tcBorders>
              <w:top w:val="nil"/>
              <w:bottom w:val="single" w:color="auto" w:sz="12" w:space="0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>6082</w:t>
            </w:r>
          </w:p>
        </w:tc>
      </w:tr>
    </w:tbl>
    <w:p>
      <w:pPr>
        <w:shd w:val="clear"/>
        <w:rPr>
          <w:rFonts w:hint="eastAsia" w:ascii="Times New Roman" w:hAnsi="Times New Roman" w:cs="Times New Roman"/>
          <w:sz w:val="18"/>
          <w:szCs w:val="18"/>
          <w:highlight w:val="none"/>
          <w:lang w:val="en-US" w:eastAsia="zh-CN"/>
        </w:rPr>
      </w:pPr>
      <w:r>
        <w:rPr>
          <w:rFonts w:ascii="Times New Roman" w:hAnsi="Times New Roman" w:cs="Times New Roman"/>
          <w:sz w:val="18"/>
          <w:szCs w:val="18"/>
          <w:highlight w:val="none"/>
        </w:rPr>
        <w:t>CI: confidence interval</w:t>
      </w:r>
      <w:r>
        <w:rPr>
          <w:rFonts w:hint="eastAsia" w:ascii="Times New Roman" w:hAnsi="Times New Roman" w:cs="Times New Roman"/>
          <w:sz w:val="18"/>
          <w:szCs w:val="18"/>
          <w:highlight w:val="none"/>
          <w:lang w:val="en-US" w:eastAsia="zh-CN"/>
        </w:rPr>
        <w:t xml:space="preserve">. </w:t>
      </w:r>
    </w:p>
    <w:p>
      <w:pPr>
        <w:shd w:val="clear"/>
        <w:rPr>
          <w:rFonts w:ascii="Times New Roman" w:hAnsi="Times New Roman" w:cs="Times New Roman"/>
          <w:sz w:val="18"/>
          <w:szCs w:val="18"/>
          <w:highlight w:val="none"/>
        </w:rPr>
      </w:pPr>
      <w:r>
        <w:rPr>
          <w:rFonts w:hint="eastAsia" w:ascii="Times New Roman" w:hAnsi="Times New Roman" w:cs="Times New Roman"/>
          <w:sz w:val="18"/>
          <w:szCs w:val="18"/>
          <w:highlight w:val="none"/>
          <w:lang w:val="en-US" w:eastAsia="zh-CN"/>
        </w:rPr>
        <w:t>*</w:t>
      </w:r>
      <w:r>
        <w:rPr>
          <w:rFonts w:ascii="Times New Roman" w:hAnsi="Times New Roman" w:cs="Times New Roman"/>
          <w:sz w:val="18"/>
          <w:szCs w:val="18"/>
          <w:highlight w:val="none"/>
        </w:rPr>
        <w:t>: Models adjusted for the same covariates as in model II (Table 3).</w:t>
      </w:r>
    </w:p>
    <w:p>
      <w:pPr>
        <w:numPr>
          <w:ilvl w:val="0"/>
          <w:numId w:val="0"/>
        </w:numPr>
        <w:shd w:val="clear"/>
        <w:rPr>
          <w:rFonts w:hint="eastAsia" w:ascii="Consolas" w:hAnsi="Consolas" w:cs="Consolas" w:eastAsiaTheme="minorEastAsia"/>
          <w:i w:val="0"/>
          <w:iCs w:val="0"/>
          <w:caps w:val="0"/>
          <w:color w:val="383A42"/>
          <w:spacing w:val="0"/>
          <w:sz w:val="18"/>
          <w:szCs w:val="18"/>
          <w:shd w:val="clear" w:fill="FAFAFA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kxY2RmZGUxYTJjYmQwNzkwODA4ZThkYjQ0MWNlOTIifQ=="/>
  </w:docVars>
  <w:rsids>
    <w:rsidRoot w:val="00000000"/>
    <w:rsid w:val="00EB76B9"/>
    <w:rsid w:val="0100342D"/>
    <w:rsid w:val="057A22D4"/>
    <w:rsid w:val="05FC565B"/>
    <w:rsid w:val="071E6592"/>
    <w:rsid w:val="07750484"/>
    <w:rsid w:val="080D690E"/>
    <w:rsid w:val="08D062B9"/>
    <w:rsid w:val="0B8C15FE"/>
    <w:rsid w:val="0C3B522B"/>
    <w:rsid w:val="1021389E"/>
    <w:rsid w:val="10421BE9"/>
    <w:rsid w:val="12042B30"/>
    <w:rsid w:val="140E7C96"/>
    <w:rsid w:val="161672D6"/>
    <w:rsid w:val="165F6ECF"/>
    <w:rsid w:val="1E157818"/>
    <w:rsid w:val="1EEC5078"/>
    <w:rsid w:val="237C4C1C"/>
    <w:rsid w:val="23FE1AD5"/>
    <w:rsid w:val="265A102C"/>
    <w:rsid w:val="27F76F67"/>
    <w:rsid w:val="29536324"/>
    <w:rsid w:val="29F42362"/>
    <w:rsid w:val="2B0F6376"/>
    <w:rsid w:val="2C310437"/>
    <w:rsid w:val="2DEE2BBA"/>
    <w:rsid w:val="303B24C1"/>
    <w:rsid w:val="31F91E3A"/>
    <w:rsid w:val="380F20AB"/>
    <w:rsid w:val="3B5A188F"/>
    <w:rsid w:val="3E292F55"/>
    <w:rsid w:val="3E410AE4"/>
    <w:rsid w:val="44AE49FA"/>
    <w:rsid w:val="4A0D3F70"/>
    <w:rsid w:val="4AB37EA8"/>
    <w:rsid w:val="4B4C0AC8"/>
    <w:rsid w:val="4E013DEC"/>
    <w:rsid w:val="4E2552AD"/>
    <w:rsid w:val="54FB1595"/>
    <w:rsid w:val="5A6B0F6B"/>
    <w:rsid w:val="5F8332B9"/>
    <w:rsid w:val="612B3ABB"/>
    <w:rsid w:val="61532759"/>
    <w:rsid w:val="66372649"/>
    <w:rsid w:val="68AD6BF3"/>
    <w:rsid w:val="68F926F9"/>
    <w:rsid w:val="6BD87DB7"/>
    <w:rsid w:val="6D800432"/>
    <w:rsid w:val="6E9D5DC0"/>
    <w:rsid w:val="6ED722D3"/>
    <w:rsid w:val="70F04559"/>
    <w:rsid w:val="717C1858"/>
    <w:rsid w:val="72BA2638"/>
    <w:rsid w:val="72E77EDF"/>
    <w:rsid w:val="78201787"/>
    <w:rsid w:val="792D08B0"/>
    <w:rsid w:val="7A0C0820"/>
    <w:rsid w:val="7B0B25F9"/>
    <w:rsid w:val="7B2E3BC3"/>
    <w:rsid w:val="7DD26E3E"/>
    <w:rsid w:val="7E266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Plain Table 2"/>
    <w:basedOn w:val="2"/>
    <w:autoRedefine/>
    <w:qFormat/>
    <w:uiPriority w:val="42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bCs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bCs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2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1Horz">
      <w:tcPr>
        <w:tcBorders>
          <w:top w:val="single" w:color="7E7E7E" w:themeColor="text1" w:themeTint="80" w:sz="4" w:space="0"/>
          <w:bottom w:val="single" w:color="7E7E7E" w:themeColor="text1" w:themeTint="80" w:sz="4" w:space="0"/>
        </w:tcBorders>
      </w:tcPr>
    </w:tblStyle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Administrator01</cp:lastModifiedBy>
  <dcterms:modified xsi:type="dcterms:W3CDTF">2024-05-18T02:30:55Z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EB6D27F0D1AA4DDCBC036A0500FBAAFE_12</vt:lpwstr>
  </property>
</Properties>
</file>