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Spec="center" w:tblpY="1613"/>
        <w:tblOverlap w:val="never"/>
        <w:tblW w:w="8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  <w:gridCol w:w="1730"/>
        <w:gridCol w:w="1708"/>
        <w:gridCol w:w="1741"/>
        <w:gridCol w:w="1784"/>
      </w:tblGrid>
      <w:tr w14:paraId="7351C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460" w:type="dxa"/>
            <w:gridSpan w:val="5"/>
            <w:tcBorders>
              <w:bottom w:val="single" w:color="auto" w:sz="4" w:space="0"/>
            </w:tcBorders>
            <w:shd w:val="clear" w:color="auto" w:fill="DEEAF6" w:themeFill="accent5" w:themeFillTint="33"/>
            <w:vAlign w:val="center"/>
          </w:tcPr>
          <w:p w14:paraId="7A8E19C4">
            <w:pPr>
              <w:jc w:val="both"/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 xml:space="preserve">Supplementary Table </w:t>
            </w:r>
            <w:r>
              <w:rPr>
                <w:rFonts w:hint="eastAsia" w:ascii="Times New Roman" w:hAnsi="Times New Roman" w:cs="Times New Roman"/>
                <w:b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color w:val="063F6D"/>
                <w:sz w:val="24"/>
                <w:szCs w:val="24"/>
                <w:lang w:val="en-US" w:eastAsia="zh-CN"/>
              </w:rPr>
              <w:t>The association between the combination of the TyG index and eGDR and all-cause mortality in individuals with and without diabetes.</w:t>
            </w:r>
          </w:p>
        </w:tc>
      </w:tr>
      <w:tr w14:paraId="74D0A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exact"/>
          <w:jc w:val="center"/>
        </w:trPr>
        <w:tc>
          <w:tcPr>
            <w:tcW w:w="1497" w:type="dxa"/>
            <w:vMerge w:val="restart"/>
            <w:vAlign w:val="center"/>
          </w:tcPr>
          <w:p w14:paraId="50C3CE4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3" w:type="dxa"/>
            <w:gridSpan w:val="4"/>
            <w:tcBorders>
              <w:bottom w:val="single" w:color="auto" w:sz="4" w:space="0"/>
            </w:tcBorders>
            <w:vAlign w:val="center"/>
          </w:tcPr>
          <w:p w14:paraId="0C5A62B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Group</w:t>
            </w:r>
          </w:p>
        </w:tc>
      </w:tr>
      <w:tr w14:paraId="095CE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exact"/>
          <w:jc w:val="center"/>
        </w:trPr>
        <w:tc>
          <w:tcPr>
            <w:tcW w:w="1497" w:type="dxa"/>
            <w:vMerge w:val="continue"/>
            <w:tcBorders>
              <w:bottom w:val="single" w:color="auto" w:sz="4" w:space="0"/>
            </w:tcBorders>
            <w:vAlign w:val="center"/>
          </w:tcPr>
          <w:p w14:paraId="393FC1E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color="auto" w:sz="4" w:space="0"/>
            </w:tcBorders>
            <w:vAlign w:val="center"/>
          </w:tcPr>
          <w:p w14:paraId="30EBA4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Low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TyG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and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high eGDR</w:t>
            </w:r>
          </w:p>
          <w:p w14:paraId="38766E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(TyG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9.04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and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eGDR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&gt;4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708" w:type="dxa"/>
            <w:tcBorders>
              <w:bottom w:val="single" w:color="auto" w:sz="4" w:space="0"/>
            </w:tcBorders>
            <w:vAlign w:val="center"/>
          </w:tcPr>
          <w:p w14:paraId="31BCA0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High TyG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and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high eGDR</w:t>
            </w:r>
          </w:p>
          <w:p w14:paraId="25260C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(TyG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&gt;9.04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and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eGDR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&gt;4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741" w:type="dxa"/>
            <w:tcBorders>
              <w:bottom w:val="single" w:color="auto" w:sz="4" w:space="0"/>
            </w:tcBorders>
            <w:vAlign w:val="center"/>
          </w:tcPr>
          <w:p w14:paraId="5D7CBA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Low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TyG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and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low eGDR</w:t>
            </w:r>
          </w:p>
          <w:p w14:paraId="1C8FBB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(TyG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9.04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and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eGDR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&lt;4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784" w:type="dxa"/>
            <w:tcBorders>
              <w:bottom w:val="single" w:color="auto" w:sz="4" w:space="0"/>
            </w:tcBorders>
            <w:vAlign w:val="center"/>
          </w:tcPr>
          <w:p w14:paraId="2DF6BD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High TyG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and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low eGDR</w:t>
            </w:r>
          </w:p>
          <w:p w14:paraId="003EA9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(TyG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&gt;9.04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and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eGDR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&lt;4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</w:tr>
      <w:tr w14:paraId="28D81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0" w:type="dxa"/>
            <w:gridSpan w:val="5"/>
            <w:shd w:val="clear" w:color="auto" w:fill="DEEAF6" w:themeFill="accent5" w:themeFillTint="33"/>
            <w:vAlign w:val="center"/>
          </w:tcPr>
          <w:p w14:paraId="68F78635">
            <w:pPr>
              <w:spacing w:before="120" w:after="120"/>
              <w:jc w:val="left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Overall population</w:t>
            </w:r>
          </w:p>
        </w:tc>
      </w:tr>
      <w:tr w14:paraId="18AA2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7" w:type="dxa"/>
            <w:vAlign w:val="center"/>
          </w:tcPr>
          <w:p w14:paraId="2AAA3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  <w:t>All-cause mortality</w:t>
            </w:r>
          </w:p>
        </w:tc>
        <w:tc>
          <w:tcPr>
            <w:tcW w:w="1730" w:type="dxa"/>
            <w:vAlign w:val="center"/>
          </w:tcPr>
          <w:p w14:paraId="4CC16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1708" w:type="dxa"/>
            <w:vAlign w:val="center"/>
          </w:tcPr>
          <w:p w14:paraId="7EF9F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1741" w:type="dxa"/>
            <w:vAlign w:val="center"/>
          </w:tcPr>
          <w:p w14:paraId="6BE01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1784" w:type="dxa"/>
            <w:vAlign w:val="center"/>
          </w:tcPr>
          <w:p w14:paraId="694E3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</w:tr>
      <w:tr w14:paraId="6C4CD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460" w:type="dxa"/>
            <w:gridSpan w:val="5"/>
            <w:vAlign w:val="center"/>
          </w:tcPr>
          <w:p w14:paraId="171B5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Cox regression analysis</w:t>
            </w:r>
          </w:p>
        </w:tc>
      </w:tr>
      <w:tr w14:paraId="3DC6E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7" w:type="dxa"/>
            <w:vAlign w:val="center"/>
          </w:tcPr>
          <w:p w14:paraId="3FAE5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  <w:t>Unadjusted</w:t>
            </w:r>
          </w:p>
        </w:tc>
        <w:tc>
          <w:tcPr>
            <w:tcW w:w="1730" w:type="dxa"/>
            <w:vAlign w:val="center"/>
          </w:tcPr>
          <w:p w14:paraId="6FE2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  <w:t>1.000</w:t>
            </w:r>
          </w:p>
        </w:tc>
        <w:tc>
          <w:tcPr>
            <w:tcW w:w="1708" w:type="dxa"/>
            <w:vAlign w:val="center"/>
          </w:tcPr>
          <w:p w14:paraId="07B7B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1.385</w:t>
            </w:r>
          </w:p>
          <w:p w14:paraId="5B259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(1.246-1.540)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741" w:type="dxa"/>
            <w:vAlign w:val="center"/>
          </w:tcPr>
          <w:p w14:paraId="6CDDD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2.237</w:t>
            </w:r>
          </w:p>
          <w:p w14:paraId="18EB5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(1.862-2.688)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784" w:type="dxa"/>
            <w:vAlign w:val="center"/>
          </w:tcPr>
          <w:p w14:paraId="5CA83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2.794</w:t>
            </w:r>
          </w:p>
          <w:p w14:paraId="1175D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(2.394-3.259)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</w:tr>
      <w:tr w14:paraId="0C6CF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7" w:type="dxa"/>
            <w:vAlign w:val="center"/>
          </w:tcPr>
          <w:p w14:paraId="0A13F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  <w:t>Model 1</w:t>
            </w:r>
          </w:p>
        </w:tc>
        <w:tc>
          <w:tcPr>
            <w:tcW w:w="1730" w:type="dxa"/>
            <w:vAlign w:val="center"/>
          </w:tcPr>
          <w:p w14:paraId="5D6B8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  <w:t>1.000</w:t>
            </w:r>
          </w:p>
        </w:tc>
        <w:tc>
          <w:tcPr>
            <w:tcW w:w="1708" w:type="dxa"/>
            <w:vAlign w:val="center"/>
          </w:tcPr>
          <w:p w14:paraId="6059F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1.129</w:t>
            </w:r>
          </w:p>
          <w:p w14:paraId="57AB6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(1.012-1.260)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1741" w:type="dxa"/>
            <w:vAlign w:val="center"/>
          </w:tcPr>
          <w:p w14:paraId="6C41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1.834</w:t>
            </w:r>
          </w:p>
          <w:p w14:paraId="6EA01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(1.484-2.268)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784" w:type="dxa"/>
            <w:vAlign w:val="center"/>
          </w:tcPr>
          <w:p w14:paraId="3DEC3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2.148</w:t>
            </w:r>
          </w:p>
          <w:p w14:paraId="5CF87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(1.798-2.565)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</w:tr>
      <w:tr w14:paraId="508CB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7" w:type="dxa"/>
            <w:vAlign w:val="center"/>
          </w:tcPr>
          <w:p w14:paraId="0C98A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  <w:t>Model 2</w:t>
            </w:r>
          </w:p>
        </w:tc>
        <w:tc>
          <w:tcPr>
            <w:tcW w:w="1730" w:type="dxa"/>
            <w:vAlign w:val="center"/>
          </w:tcPr>
          <w:p w14:paraId="0970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  <w:t>1.000</w:t>
            </w:r>
          </w:p>
        </w:tc>
        <w:tc>
          <w:tcPr>
            <w:tcW w:w="1708" w:type="dxa"/>
            <w:vAlign w:val="center"/>
          </w:tcPr>
          <w:p w14:paraId="61DDE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1.018</w:t>
            </w:r>
          </w:p>
          <w:p w14:paraId="73FBC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(0.896-1.157)</w:t>
            </w:r>
          </w:p>
        </w:tc>
        <w:tc>
          <w:tcPr>
            <w:tcW w:w="1741" w:type="dxa"/>
            <w:vAlign w:val="center"/>
          </w:tcPr>
          <w:p w14:paraId="4C5CA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1.286</w:t>
            </w:r>
          </w:p>
          <w:p w14:paraId="221D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(1.017-1.627)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1784" w:type="dxa"/>
            <w:vAlign w:val="center"/>
          </w:tcPr>
          <w:p w14:paraId="38919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1.592</w:t>
            </w:r>
          </w:p>
          <w:p w14:paraId="68EC6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(1.284-1.975)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</w:tr>
      <w:tr w14:paraId="4E672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0" w:type="dxa"/>
            <w:gridSpan w:val="5"/>
            <w:shd w:val="clear" w:color="auto" w:fill="DEEAF6" w:themeFill="accent5" w:themeFillTint="33"/>
            <w:vAlign w:val="center"/>
          </w:tcPr>
          <w:p w14:paraId="5197177D">
            <w:pPr>
              <w:spacing w:before="120" w:after="120"/>
              <w:jc w:val="left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Individuals without diabetes</w:t>
            </w:r>
          </w:p>
        </w:tc>
      </w:tr>
      <w:tr w14:paraId="35CF0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7" w:type="dxa"/>
            <w:vAlign w:val="center"/>
          </w:tcPr>
          <w:p w14:paraId="49578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  <w:t>All-cause mortality</w:t>
            </w:r>
          </w:p>
        </w:tc>
        <w:tc>
          <w:tcPr>
            <w:tcW w:w="1730" w:type="dxa"/>
            <w:vAlign w:val="center"/>
          </w:tcPr>
          <w:p w14:paraId="09D4A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8.2%</w:t>
            </w:r>
          </w:p>
        </w:tc>
        <w:tc>
          <w:tcPr>
            <w:tcW w:w="1708" w:type="dxa"/>
            <w:vAlign w:val="center"/>
          </w:tcPr>
          <w:p w14:paraId="21CDE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10.4%</w:t>
            </w:r>
          </w:p>
        </w:tc>
        <w:tc>
          <w:tcPr>
            <w:tcW w:w="1741" w:type="dxa"/>
            <w:vAlign w:val="center"/>
          </w:tcPr>
          <w:p w14:paraId="09C10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12.2%</w:t>
            </w:r>
          </w:p>
        </w:tc>
        <w:tc>
          <w:tcPr>
            <w:tcW w:w="1784" w:type="dxa"/>
            <w:vAlign w:val="center"/>
          </w:tcPr>
          <w:p w14:paraId="37328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14.5%</w:t>
            </w:r>
          </w:p>
        </w:tc>
      </w:tr>
      <w:tr w14:paraId="04048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460" w:type="dxa"/>
            <w:gridSpan w:val="5"/>
            <w:vAlign w:val="center"/>
          </w:tcPr>
          <w:p w14:paraId="169B9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Cox regression analysis</w:t>
            </w:r>
          </w:p>
        </w:tc>
      </w:tr>
      <w:tr w14:paraId="17104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7" w:type="dxa"/>
            <w:vAlign w:val="center"/>
          </w:tcPr>
          <w:p w14:paraId="6C648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  <w:t>Unadjusted</w:t>
            </w:r>
          </w:p>
        </w:tc>
        <w:tc>
          <w:tcPr>
            <w:tcW w:w="1730" w:type="dxa"/>
            <w:vAlign w:val="center"/>
          </w:tcPr>
          <w:p w14:paraId="10F5F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  <w:t>1.000</w:t>
            </w:r>
          </w:p>
        </w:tc>
        <w:tc>
          <w:tcPr>
            <w:tcW w:w="1708" w:type="dxa"/>
            <w:vAlign w:val="center"/>
          </w:tcPr>
          <w:p w14:paraId="6CAF8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1.091</w:t>
            </w:r>
          </w:p>
          <w:p w14:paraId="496DB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(0.950-1.253)</w:t>
            </w:r>
          </w:p>
        </w:tc>
        <w:tc>
          <w:tcPr>
            <w:tcW w:w="1741" w:type="dxa"/>
            <w:vAlign w:val="center"/>
          </w:tcPr>
          <w:p w14:paraId="38C4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1.872</w:t>
            </w:r>
          </w:p>
          <w:p w14:paraId="07F94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(1.429-2.451)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784" w:type="dxa"/>
            <w:vAlign w:val="center"/>
          </w:tcPr>
          <w:p w14:paraId="370D5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1.693</w:t>
            </w:r>
          </w:p>
          <w:p w14:paraId="608A2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(1.184-2.422)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†</w:t>
            </w:r>
          </w:p>
        </w:tc>
      </w:tr>
      <w:tr w14:paraId="11D76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7" w:type="dxa"/>
            <w:vAlign w:val="center"/>
          </w:tcPr>
          <w:p w14:paraId="43F3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  <w:t>Model 1</w:t>
            </w:r>
          </w:p>
        </w:tc>
        <w:tc>
          <w:tcPr>
            <w:tcW w:w="1730" w:type="dxa"/>
            <w:vAlign w:val="center"/>
          </w:tcPr>
          <w:p w14:paraId="70AE8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  <w:t>1.000</w:t>
            </w:r>
          </w:p>
        </w:tc>
        <w:tc>
          <w:tcPr>
            <w:tcW w:w="1708" w:type="dxa"/>
            <w:vAlign w:val="center"/>
          </w:tcPr>
          <w:p w14:paraId="42741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0.977</w:t>
            </w:r>
          </w:p>
          <w:p w14:paraId="20EB5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(0.847-1.127)</w:t>
            </w:r>
          </w:p>
        </w:tc>
        <w:tc>
          <w:tcPr>
            <w:tcW w:w="1741" w:type="dxa"/>
            <w:vAlign w:val="center"/>
          </w:tcPr>
          <w:p w14:paraId="69DB5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1.698</w:t>
            </w:r>
          </w:p>
          <w:p w14:paraId="48E0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(1.250-2.307)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784" w:type="dxa"/>
            <w:vAlign w:val="center"/>
          </w:tcPr>
          <w:p w14:paraId="1DDC7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1.658</w:t>
            </w:r>
          </w:p>
          <w:p w14:paraId="3C850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(1.123-2.449)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*</w:t>
            </w:r>
          </w:p>
        </w:tc>
      </w:tr>
      <w:tr w14:paraId="5EDA5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7" w:type="dxa"/>
            <w:vAlign w:val="center"/>
          </w:tcPr>
          <w:p w14:paraId="4A662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  <w:t>Model 2</w:t>
            </w:r>
          </w:p>
        </w:tc>
        <w:tc>
          <w:tcPr>
            <w:tcW w:w="1730" w:type="dxa"/>
            <w:vAlign w:val="center"/>
          </w:tcPr>
          <w:p w14:paraId="7A01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  <w:t>1.000</w:t>
            </w:r>
          </w:p>
        </w:tc>
        <w:tc>
          <w:tcPr>
            <w:tcW w:w="1708" w:type="dxa"/>
            <w:vAlign w:val="center"/>
          </w:tcPr>
          <w:p w14:paraId="5FC8C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0.904</w:t>
            </w:r>
          </w:p>
          <w:p w14:paraId="6696D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(0.769-1.062)</w:t>
            </w:r>
          </w:p>
        </w:tc>
        <w:tc>
          <w:tcPr>
            <w:tcW w:w="1741" w:type="dxa"/>
            <w:vAlign w:val="center"/>
          </w:tcPr>
          <w:p w14:paraId="50426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1.142</w:t>
            </w:r>
          </w:p>
          <w:p w14:paraId="7CE8A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(0.819-1.593)</w:t>
            </w:r>
          </w:p>
        </w:tc>
        <w:tc>
          <w:tcPr>
            <w:tcW w:w="1784" w:type="dxa"/>
            <w:vAlign w:val="center"/>
          </w:tcPr>
          <w:p w14:paraId="2218F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1.499</w:t>
            </w:r>
          </w:p>
          <w:p w14:paraId="2E8B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(0.982-2.288)</w:t>
            </w:r>
          </w:p>
        </w:tc>
      </w:tr>
      <w:tr w14:paraId="45BD9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0" w:type="dxa"/>
            <w:gridSpan w:val="5"/>
            <w:shd w:val="clear" w:color="auto" w:fill="DEEAF6" w:themeFill="accent5" w:themeFillTint="33"/>
            <w:vAlign w:val="center"/>
          </w:tcPr>
          <w:p w14:paraId="32360FAB">
            <w:pPr>
              <w:spacing w:before="120" w:after="120"/>
              <w:jc w:val="left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Individuals with diabetes</w:t>
            </w:r>
          </w:p>
        </w:tc>
      </w:tr>
      <w:tr w14:paraId="759CB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7" w:type="dxa"/>
            <w:vAlign w:val="center"/>
          </w:tcPr>
          <w:p w14:paraId="6AF55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  <w:t>All-cause mortality</w:t>
            </w:r>
          </w:p>
        </w:tc>
        <w:tc>
          <w:tcPr>
            <w:tcW w:w="1730" w:type="dxa"/>
            <w:vAlign w:val="center"/>
          </w:tcPr>
          <w:p w14:paraId="34253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18.2%</w:t>
            </w:r>
          </w:p>
        </w:tc>
        <w:tc>
          <w:tcPr>
            <w:tcW w:w="1708" w:type="dxa"/>
            <w:vAlign w:val="center"/>
          </w:tcPr>
          <w:p w14:paraId="294A5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21.7%</w:t>
            </w:r>
          </w:p>
        </w:tc>
        <w:tc>
          <w:tcPr>
            <w:tcW w:w="1741" w:type="dxa"/>
            <w:vAlign w:val="center"/>
          </w:tcPr>
          <w:p w14:paraId="7BDA5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21.5%</w:t>
            </w:r>
          </w:p>
        </w:tc>
        <w:tc>
          <w:tcPr>
            <w:tcW w:w="1784" w:type="dxa"/>
            <w:vAlign w:val="center"/>
          </w:tcPr>
          <w:p w14:paraId="73060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23.7%</w:t>
            </w:r>
          </w:p>
        </w:tc>
      </w:tr>
      <w:tr w14:paraId="6068E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460" w:type="dxa"/>
            <w:gridSpan w:val="5"/>
            <w:vAlign w:val="center"/>
          </w:tcPr>
          <w:p w14:paraId="70314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Cox regression analysis</w:t>
            </w:r>
          </w:p>
        </w:tc>
      </w:tr>
      <w:tr w14:paraId="30C2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7" w:type="dxa"/>
            <w:vAlign w:val="center"/>
          </w:tcPr>
          <w:p w14:paraId="4CBA2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  <w:t>Unadjusted</w:t>
            </w:r>
          </w:p>
        </w:tc>
        <w:tc>
          <w:tcPr>
            <w:tcW w:w="1730" w:type="dxa"/>
            <w:vAlign w:val="center"/>
          </w:tcPr>
          <w:p w14:paraId="58CFC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  <w:t>1.000</w:t>
            </w:r>
          </w:p>
        </w:tc>
        <w:tc>
          <w:tcPr>
            <w:tcW w:w="1708" w:type="dxa"/>
            <w:vAlign w:val="center"/>
          </w:tcPr>
          <w:p w14:paraId="5649F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0.948</w:t>
            </w:r>
          </w:p>
          <w:p w14:paraId="2B067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(0.784-1.147)</w:t>
            </w:r>
          </w:p>
        </w:tc>
        <w:tc>
          <w:tcPr>
            <w:tcW w:w="1741" w:type="dxa"/>
            <w:vAlign w:val="center"/>
          </w:tcPr>
          <w:p w14:paraId="3BB9F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1.142</w:t>
            </w:r>
          </w:p>
          <w:p w14:paraId="0A88C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(0.870-1.499)</w:t>
            </w:r>
          </w:p>
        </w:tc>
        <w:tc>
          <w:tcPr>
            <w:tcW w:w="1784" w:type="dxa"/>
            <w:vAlign w:val="center"/>
          </w:tcPr>
          <w:p w14:paraId="1515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1.240</w:t>
            </w:r>
          </w:p>
          <w:p w14:paraId="741C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(1.005-1.530)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*</w:t>
            </w:r>
          </w:p>
        </w:tc>
      </w:tr>
      <w:tr w14:paraId="528F1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7" w:type="dxa"/>
            <w:vAlign w:val="center"/>
          </w:tcPr>
          <w:p w14:paraId="3336A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  <w:t>Model 1</w:t>
            </w:r>
          </w:p>
        </w:tc>
        <w:tc>
          <w:tcPr>
            <w:tcW w:w="1730" w:type="dxa"/>
            <w:vAlign w:val="center"/>
          </w:tcPr>
          <w:p w14:paraId="2B571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  <w:t>1.000</w:t>
            </w:r>
          </w:p>
        </w:tc>
        <w:tc>
          <w:tcPr>
            <w:tcW w:w="1708" w:type="dxa"/>
            <w:vAlign w:val="center"/>
          </w:tcPr>
          <w:p w14:paraId="2AFFA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1.098</w:t>
            </w:r>
          </w:p>
          <w:p w14:paraId="04F78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(0.902-1.336)</w:t>
            </w:r>
          </w:p>
        </w:tc>
        <w:tc>
          <w:tcPr>
            <w:tcW w:w="1741" w:type="dxa"/>
            <w:vAlign w:val="center"/>
          </w:tcPr>
          <w:p w14:paraId="578F9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1.626</w:t>
            </w:r>
          </w:p>
          <w:p w14:paraId="06364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(1.188-2.225)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†</w:t>
            </w:r>
          </w:p>
        </w:tc>
        <w:tc>
          <w:tcPr>
            <w:tcW w:w="1784" w:type="dxa"/>
            <w:vAlign w:val="center"/>
          </w:tcPr>
          <w:p w14:paraId="4DB73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1.755</w:t>
            </w:r>
          </w:p>
          <w:p w14:paraId="6411A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(1.378-2.234)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</w:tr>
      <w:tr w14:paraId="40585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7" w:type="dxa"/>
            <w:vAlign w:val="center"/>
          </w:tcPr>
          <w:p w14:paraId="7BB16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  <w:t>Model 2</w:t>
            </w:r>
          </w:p>
        </w:tc>
        <w:tc>
          <w:tcPr>
            <w:tcW w:w="1730" w:type="dxa"/>
            <w:vAlign w:val="center"/>
          </w:tcPr>
          <w:p w14:paraId="354D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 w:bidi="ar-SA"/>
              </w:rPr>
              <w:t>1.000</w:t>
            </w:r>
          </w:p>
        </w:tc>
        <w:tc>
          <w:tcPr>
            <w:tcW w:w="1708" w:type="dxa"/>
            <w:vAlign w:val="center"/>
          </w:tcPr>
          <w:p w14:paraId="1408D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1.150</w:t>
            </w:r>
          </w:p>
          <w:p w14:paraId="06793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(0.910-1.453)</w:t>
            </w:r>
          </w:p>
        </w:tc>
        <w:tc>
          <w:tcPr>
            <w:tcW w:w="1741" w:type="dxa"/>
            <w:vAlign w:val="center"/>
          </w:tcPr>
          <w:p w14:paraId="4825F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1.507</w:t>
            </w:r>
          </w:p>
          <w:p w14:paraId="0A56D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(1.060-2.143)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1784" w:type="dxa"/>
            <w:vAlign w:val="center"/>
          </w:tcPr>
          <w:p w14:paraId="11BE5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1.734</w:t>
            </w:r>
          </w:p>
          <w:p w14:paraId="1E099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(1.297-2.318)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</w:tr>
    </w:tbl>
    <w:p w14:paraId="57CB295F">
      <w:pPr>
        <w:spacing w:line="480" w:lineRule="auto"/>
        <w:jc w:val="both"/>
        <w:rPr>
          <w:rFonts w:hint="eastAsia" w:ascii="Times New Roman" w:hAnsi="Times New Roman" w:cs="Times New Roman"/>
        </w:rPr>
      </w:pPr>
    </w:p>
    <w:p w14:paraId="0523AE2C">
      <w:pPr>
        <w:spacing w:line="480" w:lineRule="auto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ascii="Times New Roman" w:hAnsi="Times New Roman" w:cs="Times New Roman"/>
          <w:color w:val="auto"/>
          <w:lang w:eastAsia="zh-CN"/>
        </w:rPr>
        <w:t xml:space="preserve">Abbreviations: 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eGDR, estimated glucose disposal rate; TyG, triglyceride-glucose</w:t>
      </w:r>
      <w:bookmarkStart w:id="0" w:name="_GoBack"/>
      <w:bookmarkEnd w:id="0"/>
      <w:r>
        <w:rPr>
          <w:rFonts w:hint="eastAsia" w:ascii="Times New Roman" w:hAnsi="Times New Roman" w:cs="Times New Roman"/>
          <w:color w:val="auto"/>
          <w:lang w:val="en-US" w:eastAsia="zh-CN"/>
        </w:rPr>
        <w:t>.</w:t>
      </w:r>
    </w:p>
    <w:p w14:paraId="6E9D0ACD">
      <w:pPr>
        <w:spacing w:line="480" w:lineRule="auto"/>
        <w:jc w:val="both"/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i w:val="0"/>
          <w:color w:val="auto"/>
          <w:sz w:val="24"/>
          <w:szCs w:val="24"/>
          <w:u w:val="none"/>
          <w:lang w:val="en-US" w:eastAsia="zh-CN"/>
        </w:rPr>
        <w:t xml:space="preserve">Model 1 adjusted for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"/>
        </w:rPr>
        <w:t xml:space="preserve">age, 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"/>
        </w:rPr>
        <w:t>gender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"/>
        </w:rPr>
        <w:t xml:space="preserve">race, and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"/>
        </w:rPr>
        <w:t>body mass index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"/>
        </w:rPr>
        <w:t>.</w:t>
      </w:r>
    </w:p>
    <w:p w14:paraId="2BF15E9A">
      <w:pPr>
        <w:spacing w:line="480" w:lineRule="auto"/>
        <w:jc w:val="both"/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"/>
        </w:rPr>
        <w:t>Model 2 adjusted for model 1 plus smoking status, alcohol consumption, educational level, family poverty-income ratio, cardiovascular diseases, antidiabetic agents, antihypertensive agents, antihyperlipidemic agents, estimated glomerular filtration rate, high-</w:t>
      </w:r>
      <w:r>
        <w:rPr>
          <w:rFonts w:hint="eastAsia" w:ascii="Times New Roman" w:hAnsi="Times New Roman" w:eastAsia="宋体" w:cs="Times New Roman"/>
          <w:b w:val="0"/>
          <w:i w:val="0"/>
          <w:color w:val="auto"/>
          <w:sz w:val="24"/>
          <w:szCs w:val="24"/>
          <w:u w:val="none"/>
          <w:lang w:val="en-US" w:eastAsia="zh-CN"/>
        </w:rPr>
        <w:t>density lipoprotein cholesterol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"/>
        </w:rPr>
        <w:t xml:space="preserve">, and </w:t>
      </w:r>
      <w:r>
        <w:rPr>
          <w:rFonts w:hint="eastAsia" w:ascii="Times New Roman" w:hAnsi="Times New Roman" w:eastAsia="宋体" w:cs="Times New Roman"/>
          <w:b w:val="0"/>
          <w:i w:val="0"/>
          <w:color w:val="auto"/>
          <w:sz w:val="24"/>
          <w:szCs w:val="24"/>
          <w:u w:val="none"/>
          <w:lang w:val="en-US" w:eastAsia="zh-CN"/>
        </w:rPr>
        <w:t>low-density lipoprotein cholesterol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"/>
        </w:rPr>
        <w:t>.</w:t>
      </w:r>
    </w:p>
    <w:p w14:paraId="6BB8E8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*</w:t>
      </w:r>
      <w:r>
        <w:rPr>
          <w:rFonts w:hint="eastAsia" w:ascii="Times New Roman" w:hAnsi="Times New Roman" w:eastAsia="宋体" w:cs="Times New Roman"/>
          <w:i/>
          <w:iCs/>
          <w:color w:val="auto"/>
          <w:sz w:val="24"/>
          <w:szCs w:val="24"/>
          <w:highlight w:val="none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&lt;0.05,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†</w:t>
      </w:r>
      <w:r>
        <w:rPr>
          <w:rFonts w:hint="eastAsia" w:ascii="Times New Roman" w:hAnsi="Times New Roman" w:eastAsia="宋体" w:cs="Times New Roman"/>
          <w:i/>
          <w:iCs/>
          <w:color w:val="auto"/>
          <w:sz w:val="24"/>
          <w:szCs w:val="24"/>
          <w:highlight w:val="none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&lt;0.01,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‡</w:t>
      </w:r>
      <w:r>
        <w:rPr>
          <w:rFonts w:hint="eastAsia" w:ascii="Times New Roman" w:hAnsi="Times New Roman" w:eastAsia="宋体" w:cs="Times New Roman"/>
          <w:i/>
          <w:iCs/>
          <w:color w:val="auto"/>
          <w:sz w:val="24"/>
          <w:szCs w:val="24"/>
          <w:highlight w:val="none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&lt;0.001.</w:t>
      </w:r>
    </w:p>
    <w:sectPr>
      <w:headerReference r:id="rId3" w:type="default"/>
      <w:footerReference r:id="rId4" w:type="default"/>
      <w:footerReference r:id="rId5" w:type="even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0"/>
      </w:rPr>
      <w:id w:val="50892857"/>
      <w:docPartObj>
        <w:docPartGallery w:val="autotext"/>
      </w:docPartObj>
    </w:sdtPr>
    <w:sdtEndPr>
      <w:rPr>
        <w:rStyle w:val="10"/>
      </w:rPr>
    </w:sdtEndPr>
    <w:sdtContent>
      <w:p w14:paraId="3D65134A">
        <w:pPr>
          <w:pStyle w:val="4"/>
          <w:framePr w:wrap="auto" w:vAnchor="text" w:hAnchor="margin" w:xAlign="center" w:y="1"/>
          <w:rPr>
            <w:rStyle w:val="10"/>
          </w:rPr>
        </w:pPr>
        <w:r>
          <w:rPr>
            <w:rStyle w:val="10"/>
          </w:rPr>
          <w:fldChar w:fldCharType="begin"/>
        </w:r>
        <w:r>
          <w:rPr>
            <w:rStyle w:val="10"/>
          </w:rPr>
          <w:instrText xml:space="preserve"> PAGE </w:instrText>
        </w:r>
        <w:r>
          <w:rPr>
            <w:rStyle w:val="10"/>
          </w:rPr>
          <w:fldChar w:fldCharType="separate"/>
        </w:r>
        <w:r>
          <w:rPr>
            <w:rStyle w:val="10"/>
          </w:rPr>
          <w:t>1</w:t>
        </w:r>
        <w:r>
          <w:rPr>
            <w:rStyle w:val="10"/>
          </w:rPr>
          <w:fldChar w:fldCharType="end"/>
        </w:r>
      </w:p>
    </w:sdtContent>
  </w:sdt>
  <w:p w14:paraId="6CA3D51D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0"/>
      </w:rPr>
      <w:id w:val="809361216"/>
      <w:docPartObj>
        <w:docPartGallery w:val="autotext"/>
      </w:docPartObj>
    </w:sdtPr>
    <w:sdtEndPr>
      <w:rPr>
        <w:rStyle w:val="10"/>
      </w:rPr>
    </w:sdtEndPr>
    <w:sdtContent>
      <w:p w14:paraId="701C4CFE">
        <w:pPr>
          <w:pStyle w:val="4"/>
          <w:framePr w:wrap="auto" w:vAnchor="text" w:hAnchor="margin" w:xAlign="center" w:y="1"/>
          <w:rPr>
            <w:rStyle w:val="10"/>
          </w:rPr>
        </w:pPr>
        <w:r>
          <w:rPr>
            <w:rStyle w:val="10"/>
          </w:rPr>
          <w:fldChar w:fldCharType="begin"/>
        </w:r>
        <w:r>
          <w:rPr>
            <w:rStyle w:val="10"/>
          </w:rPr>
          <w:instrText xml:space="preserve"> PAGE </w:instrText>
        </w:r>
        <w:r>
          <w:rPr>
            <w:rStyle w:val="10"/>
          </w:rPr>
          <w:fldChar w:fldCharType="end"/>
        </w:r>
      </w:p>
    </w:sdtContent>
  </w:sdt>
  <w:p w14:paraId="02AEDD85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A916B2">
    <w:pPr>
      <w:pStyle w:val="5"/>
    </w:pPr>
  </w:p>
  <w:p w14:paraId="24BA6CD8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Q2NzMwNTE0MmE0OWY1MmE2MmFlNDcyNmI5ZDJlMDAifQ=="/>
  </w:docVars>
  <w:rsids>
    <w:rsidRoot w:val="00B76366"/>
    <w:rsid w:val="000367D9"/>
    <w:rsid w:val="00037F48"/>
    <w:rsid w:val="00042667"/>
    <w:rsid w:val="00052F62"/>
    <w:rsid w:val="00071DAF"/>
    <w:rsid w:val="0008495F"/>
    <w:rsid w:val="000A63EC"/>
    <w:rsid w:val="000A72CF"/>
    <w:rsid w:val="000B79AB"/>
    <w:rsid w:val="000D31F0"/>
    <w:rsid w:val="000D5191"/>
    <w:rsid w:val="000D7E63"/>
    <w:rsid w:val="000E25A4"/>
    <w:rsid w:val="0015394A"/>
    <w:rsid w:val="00170187"/>
    <w:rsid w:val="001776BA"/>
    <w:rsid w:val="001A2867"/>
    <w:rsid w:val="001A30A9"/>
    <w:rsid w:val="001B37BD"/>
    <w:rsid w:val="001C3C3A"/>
    <w:rsid w:val="001E4C1B"/>
    <w:rsid w:val="001E7DA2"/>
    <w:rsid w:val="001F01A5"/>
    <w:rsid w:val="002364BC"/>
    <w:rsid w:val="0024404D"/>
    <w:rsid w:val="00256A9D"/>
    <w:rsid w:val="00273C1B"/>
    <w:rsid w:val="00276B41"/>
    <w:rsid w:val="00280B67"/>
    <w:rsid w:val="002913D6"/>
    <w:rsid w:val="002B23B3"/>
    <w:rsid w:val="002B2CD0"/>
    <w:rsid w:val="002D389D"/>
    <w:rsid w:val="002D4702"/>
    <w:rsid w:val="002F0B40"/>
    <w:rsid w:val="003338D1"/>
    <w:rsid w:val="003423B5"/>
    <w:rsid w:val="003449A4"/>
    <w:rsid w:val="00387223"/>
    <w:rsid w:val="0039445B"/>
    <w:rsid w:val="00394DF0"/>
    <w:rsid w:val="003A7D00"/>
    <w:rsid w:val="003D60B0"/>
    <w:rsid w:val="0041432F"/>
    <w:rsid w:val="004167A2"/>
    <w:rsid w:val="004257BD"/>
    <w:rsid w:val="004364D6"/>
    <w:rsid w:val="00446BFD"/>
    <w:rsid w:val="004545BD"/>
    <w:rsid w:val="004710FC"/>
    <w:rsid w:val="004858E0"/>
    <w:rsid w:val="004A2C89"/>
    <w:rsid w:val="004A4ED5"/>
    <w:rsid w:val="004C70A4"/>
    <w:rsid w:val="004D0C5F"/>
    <w:rsid w:val="004D0CC7"/>
    <w:rsid w:val="004D25DF"/>
    <w:rsid w:val="004F3AEB"/>
    <w:rsid w:val="00542470"/>
    <w:rsid w:val="00551119"/>
    <w:rsid w:val="00552784"/>
    <w:rsid w:val="00564DA2"/>
    <w:rsid w:val="005678F3"/>
    <w:rsid w:val="00593BFF"/>
    <w:rsid w:val="005962F8"/>
    <w:rsid w:val="005A74E8"/>
    <w:rsid w:val="005B4880"/>
    <w:rsid w:val="005C1E54"/>
    <w:rsid w:val="0061347D"/>
    <w:rsid w:val="006206BF"/>
    <w:rsid w:val="00622040"/>
    <w:rsid w:val="0062402E"/>
    <w:rsid w:val="00637E8D"/>
    <w:rsid w:val="006555D1"/>
    <w:rsid w:val="00666E4E"/>
    <w:rsid w:val="00681C86"/>
    <w:rsid w:val="006927E5"/>
    <w:rsid w:val="006C59F7"/>
    <w:rsid w:val="006E7991"/>
    <w:rsid w:val="00721191"/>
    <w:rsid w:val="00761205"/>
    <w:rsid w:val="00762C97"/>
    <w:rsid w:val="00765B58"/>
    <w:rsid w:val="00792A0C"/>
    <w:rsid w:val="007C7E58"/>
    <w:rsid w:val="007D093F"/>
    <w:rsid w:val="007D1CB9"/>
    <w:rsid w:val="007E0C19"/>
    <w:rsid w:val="007F3312"/>
    <w:rsid w:val="00827CEB"/>
    <w:rsid w:val="00842701"/>
    <w:rsid w:val="00843E62"/>
    <w:rsid w:val="008661E9"/>
    <w:rsid w:val="00885E24"/>
    <w:rsid w:val="008C4252"/>
    <w:rsid w:val="008E27E9"/>
    <w:rsid w:val="00911796"/>
    <w:rsid w:val="00933F38"/>
    <w:rsid w:val="0093498F"/>
    <w:rsid w:val="009552CE"/>
    <w:rsid w:val="00957185"/>
    <w:rsid w:val="00964E5C"/>
    <w:rsid w:val="00984EFE"/>
    <w:rsid w:val="00987359"/>
    <w:rsid w:val="009B0945"/>
    <w:rsid w:val="009F2409"/>
    <w:rsid w:val="009F6DAE"/>
    <w:rsid w:val="00A13A3C"/>
    <w:rsid w:val="00A17680"/>
    <w:rsid w:val="00A3109C"/>
    <w:rsid w:val="00A3181E"/>
    <w:rsid w:val="00A32D19"/>
    <w:rsid w:val="00A36ACC"/>
    <w:rsid w:val="00A37955"/>
    <w:rsid w:val="00A41661"/>
    <w:rsid w:val="00A4251D"/>
    <w:rsid w:val="00A52EC7"/>
    <w:rsid w:val="00A722DE"/>
    <w:rsid w:val="00AA4824"/>
    <w:rsid w:val="00AD2DDD"/>
    <w:rsid w:val="00AE2E54"/>
    <w:rsid w:val="00B0155A"/>
    <w:rsid w:val="00B06F7D"/>
    <w:rsid w:val="00B173D7"/>
    <w:rsid w:val="00B305D4"/>
    <w:rsid w:val="00B42EBC"/>
    <w:rsid w:val="00B60E1A"/>
    <w:rsid w:val="00B76366"/>
    <w:rsid w:val="00B87FF9"/>
    <w:rsid w:val="00BA0BCA"/>
    <w:rsid w:val="00BA4D6F"/>
    <w:rsid w:val="00BB2557"/>
    <w:rsid w:val="00BD1F88"/>
    <w:rsid w:val="00BF07E1"/>
    <w:rsid w:val="00C012AA"/>
    <w:rsid w:val="00C17BA2"/>
    <w:rsid w:val="00C23B60"/>
    <w:rsid w:val="00C26FF7"/>
    <w:rsid w:val="00C275CC"/>
    <w:rsid w:val="00C36778"/>
    <w:rsid w:val="00C54394"/>
    <w:rsid w:val="00C8243A"/>
    <w:rsid w:val="00C84533"/>
    <w:rsid w:val="00CA53F4"/>
    <w:rsid w:val="00CC0635"/>
    <w:rsid w:val="00CC1A5A"/>
    <w:rsid w:val="00CD0704"/>
    <w:rsid w:val="00CE1DD3"/>
    <w:rsid w:val="00CE6CB5"/>
    <w:rsid w:val="00D01755"/>
    <w:rsid w:val="00D06E01"/>
    <w:rsid w:val="00D122A6"/>
    <w:rsid w:val="00D22CAD"/>
    <w:rsid w:val="00D40535"/>
    <w:rsid w:val="00D417F2"/>
    <w:rsid w:val="00D54F64"/>
    <w:rsid w:val="00D70A27"/>
    <w:rsid w:val="00D72DB7"/>
    <w:rsid w:val="00D82372"/>
    <w:rsid w:val="00D9424B"/>
    <w:rsid w:val="00D94B0F"/>
    <w:rsid w:val="00DD3920"/>
    <w:rsid w:val="00DE7945"/>
    <w:rsid w:val="00E01DD6"/>
    <w:rsid w:val="00E23EF0"/>
    <w:rsid w:val="00E26801"/>
    <w:rsid w:val="00E51A45"/>
    <w:rsid w:val="00E83465"/>
    <w:rsid w:val="00EA00EA"/>
    <w:rsid w:val="00EC1206"/>
    <w:rsid w:val="00EE7657"/>
    <w:rsid w:val="00F06C25"/>
    <w:rsid w:val="00F11E56"/>
    <w:rsid w:val="00F168EF"/>
    <w:rsid w:val="00F16F45"/>
    <w:rsid w:val="00F22844"/>
    <w:rsid w:val="00F318EE"/>
    <w:rsid w:val="00F54839"/>
    <w:rsid w:val="00F5667F"/>
    <w:rsid w:val="00F65329"/>
    <w:rsid w:val="00FD2151"/>
    <w:rsid w:val="013C5927"/>
    <w:rsid w:val="01431A4A"/>
    <w:rsid w:val="016C0FA1"/>
    <w:rsid w:val="024F1F6E"/>
    <w:rsid w:val="0270061D"/>
    <w:rsid w:val="030671D3"/>
    <w:rsid w:val="039B5B6E"/>
    <w:rsid w:val="03CE5F43"/>
    <w:rsid w:val="03E77D65"/>
    <w:rsid w:val="041A1188"/>
    <w:rsid w:val="050E5BD5"/>
    <w:rsid w:val="05132A74"/>
    <w:rsid w:val="05266D56"/>
    <w:rsid w:val="05665D07"/>
    <w:rsid w:val="059211F2"/>
    <w:rsid w:val="061F2A86"/>
    <w:rsid w:val="068838F4"/>
    <w:rsid w:val="068D4A78"/>
    <w:rsid w:val="06CD24E2"/>
    <w:rsid w:val="06DB1A50"/>
    <w:rsid w:val="075135ED"/>
    <w:rsid w:val="077043E8"/>
    <w:rsid w:val="07A07BF6"/>
    <w:rsid w:val="07EF0236"/>
    <w:rsid w:val="07F27D26"/>
    <w:rsid w:val="0874698D"/>
    <w:rsid w:val="08E04023"/>
    <w:rsid w:val="08FF631A"/>
    <w:rsid w:val="095D0797"/>
    <w:rsid w:val="0A067AB9"/>
    <w:rsid w:val="0A3D172D"/>
    <w:rsid w:val="0A466107"/>
    <w:rsid w:val="0B204BAA"/>
    <w:rsid w:val="0B307789"/>
    <w:rsid w:val="0B3643CE"/>
    <w:rsid w:val="0B835EE6"/>
    <w:rsid w:val="0C547201"/>
    <w:rsid w:val="0CD66F96"/>
    <w:rsid w:val="0D03755D"/>
    <w:rsid w:val="0DBA3094"/>
    <w:rsid w:val="0E7501B1"/>
    <w:rsid w:val="0E960CBA"/>
    <w:rsid w:val="0F212A6D"/>
    <w:rsid w:val="0FE64614"/>
    <w:rsid w:val="0FFB478E"/>
    <w:rsid w:val="101F18D4"/>
    <w:rsid w:val="11576A00"/>
    <w:rsid w:val="12573F56"/>
    <w:rsid w:val="12666F5F"/>
    <w:rsid w:val="1288061D"/>
    <w:rsid w:val="12E666D9"/>
    <w:rsid w:val="132A4818"/>
    <w:rsid w:val="136B49EE"/>
    <w:rsid w:val="13A22600"/>
    <w:rsid w:val="14025795"/>
    <w:rsid w:val="14A8633C"/>
    <w:rsid w:val="151614F8"/>
    <w:rsid w:val="15E45152"/>
    <w:rsid w:val="163A7468"/>
    <w:rsid w:val="16527B36"/>
    <w:rsid w:val="167364D6"/>
    <w:rsid w:val="16DA045E"/>
    <w:rsid w:val="17B143BF"/>
    <w:rsid w:val="17B7074A"/>
    <w:rsid w:val="17E86A50"/>
    <w:rsid w:val="182A0E16"/>
    <w:rsid w:val="18AA7FD0"/>
    <w:rsid w:val="18C86456"/>
    <w:rsid w:val="19431707"/>
    <w:rsid w:val="195E7A6E"/>
    <w:rsid w:val="198303AF"/>
    <w:rsid w:val="19A10A1B"/>
    <w:rsid w:val="19F85670"/>
    <w:rsid w:val="1A2521DD"/>
    <w:rsid w:val="1A414510"/>
    <w:rsid w:val="1AA255DC"/>
    <w:rsid w:val="1AA50C28"/>
    <w:rsid w:val="1AEE6276"/>
    <w:rsid w:val="1B440441"/>
    <w:rsid w:val="1BC3580A"/>
    <w:rsid w:val="1C2A7637"/>
    <w:rsid w:val="1D837F37"/>
    <w:rsid w:val="1D886D0B"/>
    <w:rsid w:val="1DBE44DB"/>
    <w:rsid w:val="1E28404A"/>
    <w:rsid w:val="1F4E5D32"/>
    <w:rsid w:val="204D1B46"/>
    <w:rsid w:val="2099122F"/>
    <w:rsid w:val="20B34AA7"/>
    <w:rsid w:val="21BA6EDC"/>
    <w:rsid w:val="222F482F"/>
    <w:rsid w:val="2355768F"/>
    <w:rsid w:val="244020ED"/>
    <w:rsid w:val="25141D9B"/>
    <w:rsid w:val="252E0198"/>
    <w:rsid w:val="25317C88"/>
    <w:rsid w:val="26A1499A"/>
    <w:rsid w:val="26B42FE4"/>
    <w:rsid w:val="26D44D6F"/>
    <w:rsid w:val="27181100"/>
    <w:rsid w:val="27196C26"/>
    <w:rsid w:val="276E0D20"/>
    <w:rsid w:val="277E1505"/>
    <w:rsid w:val="27DA4607"/>
    <w:rsid w:val="283616EF"/>
    <w:rsid w:val="284303FE"/>
    <w:rsid w:val="28550131"/>
    <w:rsid w:val="288D37FB"/>
    <w:rsid w:val="28A10C81"/>
    <w:rsid w:val="28A36794"/>
    <w:rsid w:val="28A80261"/>
    <w:rsid w:val="29797B7D"/>
    <w:rsid w:val="29F23E8A"/>
    <w:rsid w:val="2A571FB8"/>
    <w:rsid w:val="2A7E56AD"/>
    <w:rsid w:val="2AD4533E"/>
    <w:rsid w:val="2AEA0C1E"/>
    <w:rsid w:val="2AFD74FF"/>
    <w:rsid w:val="2C267F59"/>
    <w:rsid w:val="2C4B162F"/>
    <w:rsid w:val="2D3E1194"/>
    <w:rsid w:val="2D7B42DC"/>
    <w:rsid w:val="2DEF362B"/>
    <w:rsid w:val="2DFA155F"/>
    <w:rsid w:val="2EF20132"/>
    <w:rsid w:val="2F087CAC"/>
    <w:rsid w:val="2F9C737E"/>
    <w:rsid w:val="2FB92D54"/>
    <w:rsid w:val="2FE53B49"/>
    <w:rsid w:val="3007473F"/>
    <w:rsid w:val="303074BA"/>
    <w:rsid w:val="305C2FC6"/>
    <w:rsid w:val="306058C5"/>
    <w:rsid w:val="3069477A"/>
    <w:rsid w:val="30A879B2"/>
    <w:rsid w:val="30B17ECF"/>
    <w:rsid w:val="321F4E58"/>
    <w:rsid w:val="32D22AAA"/>
    <w:rsid w:val="33A8380B"/>
    <w:rsid w:val="33C0176F"/>
    <w:rsid w:val="34050C5E"/>
    <w:rsid w:val="344A2B14"/>
    <w:rsid w:val="3462703E"/>
    <w:rsid w:val="34745B95"/>
    <w:rsid w:val="349204D5"/>
    <w:rsid w:val="34F65359"/>
    <w:rsid w:val="355E6877"/>
    <w:rsid w:val="36AD2EE7"/>
    <w:rsid w:val="36E2757E"/>
    <w:rsid w:val="382D403E"/>
    <w:rsid w:val="38392C84"/>
    <w:rsid w:val="383E64EC"/>
    <w:rsid w:val="387B642C"/>
    <w:rsid w:val="388859B9"/>
    <w:rsid w:val="388F6D48"/>
    <w:rsid w:val="38BB5D8F"/>
    <w:rsid w:val="392C27E9"/>
    <w:rsid w:val="39BA6046"/>
    <w:rsid w:val="39FC21BB"/>
    <w:rsid w:val="3AF74B63"/>
    <w:rsid w:val="3B351E28"/>
    <w:rsid w:val="3B6224F2"/>
    <w:rsid w:val="3B77568B"/>
    <w:rsid w:val="3BC82C9D"/>
    <w:rsid w:val="3C184ED4"/>
    <w:rsid w:val="3D0D4469"/>
    <w:rsid w:val="3D6307DC"/>
    <w:rsid w:val="3DDB5C97"/>
    <w:rsid w:val="3DF64CE8"/>
    <w:rsid w:val="3E3F2623"/>
    <w:rsid w:val="3F312907"/>
    <w:rsid w:val="3F6F0080"/>
    <w:rsid w:val="3FF102E8"/>
    <w:rsid w:val="414A5F02"/>
    <w:rsid w:val="423A41C8"/>
    <w:rsid w:val="43120CA1"/>
    <w:rsid w:val="4363365F"/>
    <w:rsid w:val="43CD732F"/>
    <w:rsid w:val="4497710F"/>
    <w:rsid w:val="44DA2AC2"/>
    <w:rsid w:val="44DC1567"/>
    <w:rsid w:val="4572682B"/>
    <w:rsid w:val="459724F2"/>
    <w:rsid w:val="460A5C60"/>
    <w:rsid w:val="461F40D3"/>
    <w:rsid w:val="4645313C"/>
    <w:rsid w:val="46AC790F"/>
    <w:rsid w:val="47172AAD"/>
    <w:rsid w:val="47215957"/>
    <w:rsid w:val="48961A2D"/>
    <w:rsid w:val="48BB79BB"/>
    <w:rsid w:val="48D36195"/>
    <w:rsid w:val="49425710"/>
    <w:rsid w:val="498153FB"/>
    <w:rsid w:val="4A8952BD"/>
    <w:rsid w:val="4C225434"/>
    <w:rsid w:val="4E2E44B5"/>
    <w:rsid w:val="4F22401A"/>
    <w:rsid w:val="4F820F5D"/>
    <w:rsid w:val="50265D8C"/>
    <w:rsid w:val="50B213CE"/>
    <w:rsid w:val="50EF612B"/>
    <w:rsid w:val="52B96A43"/>
    <w:rsid w:val="52FC2DD4"/>
    <w:rsid w:val="52FE6D48"/>
    <w:rsid w:val="53192AD0"/>
    <w:rsid w:val="531E71EE"/>
    <w:rsid w:val="539B4F9B"/>
    <w:rsid w:val="546E5AC1"/>
    <w:rsid w:val="54AA6B53"/>
    <w:rsid w:val="557C7E48"/>
    <w:rsid w:val="56C8194B"/>
    <w:rsid w:val="582C495B"/>
    <w:rsid w:val="58501BF1"/>
    <w:rsid w:val="588E44CE"/>
    <w:rsid w:val="5A4243D7"/>
    <w:rsid w:val="5A92754F"/>
    <w:rsid w:val="5BBC75A4"/>
    <w:rsid w:val="5C1E1687"/>
    <w:rsid w:val="5C1E3DBB"/>
    <w:rsid w:val="5C8A31FF"/>
    <w:rsid w:val="5C9A5B38"/>
    <w:rsid w:val="5DD15589"/>
    <w:rsid w:val="5E3A3003"/>
    <w:rsid w:val="5E8E550E"/>
    <w:rsid w:val="5EB629D1"/>
    <w:rsid w:val="5F531728"/>
    <w:rsid w:val="6014175D"/>
    <w:rsid w:val="60667D3B"/>
    <w:rsid w:val="60964844"/>
    <w:rsid w:val="60AC408B"/>
    <w:rsid w:val="60C2740B"/>
    <w:rsid w:val="611D2893"/>
    <w:rsid w:val="61561AD0"/>
    <w:rsid w:val="616E1341"/>
    <w:rsid w:val="61ED04B8"/>
    <w:rsid w:val="621041A6"/>
    <w:rsid w:val="636E5628"/>
    <w:rsid w:val="648221D2"/>
    <w:rsid w:val="652A7F0D"/>
    <w:rsid w:val="65674A25"/>
    <w:rsid w:val="657F40AF"/>
    <w:rsid w:val="65953340"/>
    <w:rsid w:val="65D74B1E"/>
    <w:rsid w:val="68352BB8"/>
    <w:rsid w:val="68834BBC"/>
    <w:rsid w:val="692A3B94"/>
    <w:rsid w:val="69A16AA6"/>
    <w:rsid w:val="6A401A48"/>
    <w:rsid w:val="6A521800"/>
    <w:rsid w:val="6A570BC4"/>
    <w:rsid w:val="6AEA7C8A"/>
    <w:rsid w:val="6B0B19AE"/>
    <w:rsid w:val="6B3233DF"/>
    <w:rsid w:val="6B65417C"/>
    <w:rsid w:val="6C3413BA"/>
    <w:rsid w:val="6C6F225A"/>
    <w:rsid w:val="6D536CA0"/>
    <w:rsid w:val="6E5D69C5"/>
    <w:rsid w:val="6E847097"/>
    <w:rsid w:val="6E865F1C"/>
    <w:rsid w:val="6EFE3D04"/>
    <w:rsid w:val="700C06A3"/>
    <w:rsid w:val="704C7447"/>
    <w:rsid w:val="70C04FE9"/>
    <w:rsid w:val="70E13317"/>
    <w:rsid w:val="72F21DD2"/>
    <w:rsid w:val="72F30910"/>
    <w:rsid w:val="73E86D31"/>
    <w:rsid w:val="74294D5F"/>
    <w:rsid w:val="744918F6"/>
    <w:rsid w:val="74B90B5D"/>
    <w:rsid w:val="75295853"/>
    <w:rsid w:val="752B1706"/>
    <w:rsid w:val="75425809"/>
    <w:rsid w:val="754D2858"/>
    <w:rsid w:val="75556682"/>
    <w:rsid w:val="75D94A2A"/>
    <w:rsid w:val="76982FF6"/>
    <w:rsid w:val="76E145DC"/>
    <w:rsid w:val="775A7F45"/>
    <w:rsid w:val="77B07B65"/>
    <w:rsid w:val="77C875A5"/>
    <w:rsid w:val="78743A4D"/>
    <w:rsid w:val="79667075"/>
    <w:rsid w:val="7A140880"/>
    <w:rsid w:val="7B570210"/>
    <w:rsid w:val="7CE107C1"/>
    <w:rsid w:val="7D91708B"/>
    <w:rsid w:val="7DC409A9"/>
    <w:rsid w:val="7E504487"/>
    <w:rsid w:val="7F066F18"/>
    <w:rsid w:val="7F4A1A3A"/>
    <w:rsid w:val="7F8B0200"/>
    <w:rsid w:val="7F95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autoRedefine/>
    <w:semiHidden/>
    <w:unhideWhenUsed/>
    <w:qFormat/>
    <w:uiPriority w:val="99"/>
    <w:rPr>
      <w:sz w:val="20"/>
      <w:szCs w:val="20"/>
    </w:r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rFonts w:ascii="Times New Roman" w:hAnsi="Times New Roman" w:cs="Times New Roman"/>
      <w:sz w:val="18"/>
      <w:szCs w:val="18"/>
    </w:r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680"/>
        <w:tab w:val="right" w:pos="9360"/>
      </w:tabs>
    </w:pPr>
    <w:rPr>
      <w:rFonts w:eastAsiaTheme="minorHAnsi"/>
    </w:rPr>
  </w:style>
  <w:style w:type="paragraph" w:styleId="5">
    <w:name w:val="header"/>
    <w:basedOn w:val="1"/>
    <w:link w:val="15"/>
    <w:autoRedefine/>
    <w:unhideWhenUsed/>
    <w:qFormat/>
    <w:uiPriority w:val="99"/>
    <w:pPr>
      <w:tabs>
        <w:tab w:val="center" w:pos="4680"/>
        <w:tab w:val="right" w:pos="9360"/>
      </w:tabs>
    </w:pPr>
    <w:rPr>
      <w:rFonts w:eastAsiaTheme="minorHAnsi"/>
    </w:rPr>
  </w:style>
  <w:style w:type="paragraph" w:styleId="6">
    <w:name w:val="annotation subject"/>
    <w:basedOn w:val="2"/>
    <w:next w:val="2"/>
    <w:link w:val="17"/>
    <w:autoRedefine/>
    <w:semiHidden/>
    <w:unhideWhenUsed/>
    <w:qFormat/>
    <w:uiPriority w:val="99"/>
    <w:rPr>
      <w:b/>
      <w:bCs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autoRedefine/>
    <w:semiHidden/>
    <w:unhideWhenUsed/>
    <w:qFormat/>
    <w:uiPriority w:val="99"/>
  </w:style>
  <w:style w:type="character" w:styleId="11">
    <w:name w:val="annotation reference"/>
    <w:basedOn w:val="9"/>
    <w:autoRedefine/>
    <w:semiHidden/>
    <w:unhideWhenUsed/>
    <w:qFormat/>
    <w:uiPriority w:val="99"/>
    <w:rPr>
      <w:sz w:val="16"/>
      <w:szCs w:val="16"/>
    </w:rPr>
  </w:style>
  <w:style w:type="paragraph" w:styleId="12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13">
    <w:name w:val="Balloon Text Char"/>
    <w:basedOn w:val="9"/>
    <w:link w:val="3"/>
    <w:autoRedefine/>
    <w:semiHidden/>
    <w:qFormat/>
    <w:uiPriority w:val="99"/>
    <w:rPr>
      <w:rFonts w:ascii="Times New Roman" w:hAnsi="Times New Roman" w:cs="Times New Roman" w:eastAsiaTheme="minorEastAsia"/>
      <w:sz w:val="18"/>
      <w:szCs w:val="18"/>
    </w:rPr>
  </w:style>
  <w:style w:type="character" w:customStyle="1" w:styleId="14">
    <w:name w:val="Footer Char"/>
    <w:basedOn w:val="9"/>
    <w:link w:val="4"/>
    <w:autoRedefine/>
    <w:qFormat/>
    <w:uiPriority w:val="99"/>
  </w:style>
  <w:style w:type="character" w:customStyle="1" w:styleId="15">
    <w:name w:val="Header Char"/>
    <w:basedOn w:val="9"/>
    <w:link w:val="5"/>
    <w:autoRedefine/>
    <w:qFormat/>
    <w:uiPriority w:val="99"/>
  </w:style>
  <w:style w:type="character" w:customStyle="1" w:styleId="16">
    <w:name w:val="Comment Text Char"/>
    <w:basedOn w:val="9"/>
    <w:link w:val="2"/>
    <w:autoRedefine/>
    <w:semiHidden/>
    <w:qFormat/>
    <w:uiPriority w:val="99"/>
    <w:rPr>
      <w:rFonts w:eastAsiaTheme="minorEastAsia"/>
      <w:sz w:val="20"/>
      <w:szCs w:val="20"/>
    </w:rPr>
  </w:style>
  <w:style w:type="character" w:customStyle="1" w:styleId="17">
    <w:name w:val="Comment Subject Char"/>
    <w:basedOn w:val="16"/>
    <w:link w:val="6"/>
    <w:autoRedefine/>
    <w:semiHidden/>
    <w:qFormat/>
    <w:uiPriority w:val="99"/>
    <w:rPr>
      <w:rFonts w:eastAsiaTheme="minorEastAsia"/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E07FD03048543840440A36D86068B" ma:contentTypeVersion="12" ma:contentTypeDescription="Create a new document." ma:contentTypeScope="" ma:versionID="2c4d2029868bd4e9bf0091db456dcdcb">
  <xsd:schema xmlns:xsd="http://www.w3.org/2001/XMLSchema" xmlns:xs="http://www.w3.org/2001/XMLSchema" xmlns:p="http://schemas.microsoft.com/office/2006/metadata/properties" xmlns:ns2="b65216f0-f428-42a7-9c8f-754749f300df" xmlns:ns3="d93d0c5f-365f-43d4-9a0c-e9cc1a6fe1a4" targetNamespace="http://schemas.microsoft.com/office/2006/metadata/properties" ma:root="true" ma:fieldsID="c7a1f2cd4933afb897808087118672ce" ns2:_="" ns3:_="">
    <xsd:import namespace="b65216f0-f428-42a7-9c8f-754749f300df"/>
    <xsd:import namespace="d93d0c5f-365f-43d4-9a0c-e9cc1a6fe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216f0-f428-42a7-9c8f-754749f30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d0c5f-365f-43d4-9a0c-e9cc1a6fe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9533B4-EC1B-4F90-992B-B6232EB0A324}">
  <ds:schemaRefs/>
</ds:datastoreItem>
</file>

<file path=customXml/itemProps2.xml><?xml version="1.0" encoding="utf-8"?>
<ds:datastoreItem xmlns:ds="http://schemas.openxmlformats.org/officeDocument/2006/customXml" ds:itemID="{4C16E1B1-2AF3-42D2-A502-1E98B2660245}">
  <ds:schemaRefs/>
</ds:datastoreItem>
</file>

<file path=customXml/itemProps3.xml><?xml version="1.0" encoding="utf-8"?>
<ds:datastoreItem xmlns:ds="http://schemas.openxmlformats.org/officeDocument/2006/customXml" ds:itemID="{0B8F46DC-A16C-4907-89A9-EE4375A66DDB}">
  <ds:schemaRefs/>
</ds:datastoreItem>
</file>

<file path=customXml/itemProps4.xml><?xml version="1.0" encoding="utf-8"?>
<ds:datastoreItem xmlns:ds="http://schemas.openxmlformats.org/officeDocument/2006/customXml" ds:itemID="{B1BF7D20-8E2C-402B-A585-1879F81A99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234</Words>
  <Characters>1583</Characters>
  <Lines>30</Lines>
  <Paragraphs>8</Paragraphs>
  <TotalTime>0</TotalTime>
  <ScaleCrop>false</ScaleCrop>
  <LinksUpToDate>false</LinksUpToDate>
  <CharactersWithSpaces>1710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2020-04-30T19:42:00Z</dcterms:created>
  <dc:creator>Microsoft Office User</dc:creator>
  <cp:lastModifiedBy>HHM</cp:lastModifiedBy>
  <dcterms:modified xsi:type="dcterms:W3CDTF">2024-08-06T00:32:02Z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0x0101000E2E07FD03048543840440A36D86068B</vt:lpwstr>
  </property>
  <property fmtid="{D5CDD505-2E9C-101B-9397-08002B2CF9AE}" pid="3" name="KSOProductBuildVer">
    <vt:lpwstr>2052-12.1.0.17147</vt:lpwstr>
  </property>
  <property fmtid="{D5CDD505-2E9C-101B-9397-08002B2CF9AE}" pid="4" name="ICV">
    <vt:lpwstr>E9AF449A67334D299EDEDE0CB33D2735</vt:lpwstr>
  </property>
</Properties>
</file>