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DC0AC" w14:textId="2F5E2744" w:rsidR="002676C2" w:rsidRDefault="001D7791" w:rsidP="001D7791">
      <w:pPr>
        <w:ind w:firstLineChars="0" w:firstLine="0"/>
        <w:jc w:val="center"/>
      </w:pPr>
      <w:bookmarkStart w:id="0" w:name="_GoBack"/>
      <w:r>
        <w:rPr>
          <w:noProof/>
          <w:lang w:val="en-IN" w:eastAsia="en-IN"/>
        </w:rPr>
        <w:drawing>
          <wp:inline distT="0" distB="0" distL="0" distR="0" wp14:anchorId="0D00BB3F" wp14:editId="483D5A53">
            <wp:extent cx="5274310" cy="3052763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4" b="5081"/>
                    <a:stretch/>
                  </pic:blipFill>
                  <pic:spPr bwMode="auto">
                    <a:xfrm>
                      <a:off x="0" y="0"/>
                      <a:ext cx="5274310" cy="3052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3E0B482B" w14:textId="45464DA5" w:rsidR="001D7791" w:rsidRPr="001D7791" w:rsidRDefault="001D7791" w:rsidP="001D7791">
      <w:pPr>
        <w:pStyle w:val="Caption"/>
        <w:jc w:val="left"/>
        <w:rPr>
          <w:b/>
          <w:bCs/>
        </w:rPr>
      </w:pPr>
      <w:r w:rsidRPr="001D7791">
        <w:rPr>
          <w:b/>
          <w:bCs/>
        </w:rPr>
        <w:t>Fig. S</w:t>
      </w:r>
      <w:r w:rsidRPr="001D7791">
        <w:rPr>
          <w:b/>
          <w:bCs/>
        </w:rPr>
        <w:fldChar w:fldCharType="begin"/>
      </w:r>
      <w:r w:rsidRPr="001D7791">
        <w:rPr>
          <w:b/>
          <w:bCs/>
        </w:rPr>
        <w:instrText xml:space="preserve"> SEQ Fig._S \* ARABIC </w:instrText>
      </w:r>
      <w:r w:rsidRPr="001D7791">
        <w:rPr>
          <w:b/>
          <w:bCs/>
        </w:rPr>
        <w:fldChar w:fldCharType="separate"/>
      </w:r>
      <w:r w:rsidRPr="001D7791">
        <w:rPr>
          <w:b/>
          <w:bCs/>
          <w:noProof/>
        </w:rPr>
        <w:t>1</w:t>
      </w:r>
      <w:r w:rsidRPr="001D7791">
        <w:rPr>
          <w:b/>
          <w:bCs/>
        </w:rPr>
        <w:fldChar w:fldCharType="end"/>
      </w:r>
      <w:r w:rsidRPr="001D7791">
        <w:rPr>
          <w:b/>
          <w:bCs/>
        </w:rPr>
        <w:t xml:space="preserve"> Leave-one-out results of TG_by_PG and PSM (d18:1/16:0).</w:t>
      </w:r>
    </w:p>
    <w:p w14:paraId="46ABA9BE" w14:textId="4D68A9D9" w:rsidR="001D7791" w:rsidRDefault="001D7791" w:rsidP="001D7791">
      <w:pPr>
        <w:pStyle w:val="Caption"/>
        <w:keepLines/>
        <w:jc w:val="both"/>
        <w:rPr>
          <w:b/>
          <w:bCs/>
        </w:rPr>
      </w:pPr>
      <w:r w:rsidRPr="00292955">
        <w:rPr>
          <w:bCs/>
        </w:rPr>
        <w:t>Abbreviation</w:t>
      </w:r>
      <w:r w:rsidRPr="00292955">
        <w:rPr>
          <w:rFonts w:hint="eastAsia"/>
          <w:bCs/>
        </w:rPr>
        <w:t>s</w:t>
      </w:r>
      <w:r w:rsidRPr="00292955">
        <w:rPr>
          <w:bCs/>
        </w:rPr>
        <w:t>:</w:t>
      </w:r>
      <w:r w:rsidR="001C0A99">
        <w:rPr>
          <w:bCs/>
        </w:rPr>
        <w:t xml:space="preserve"> </w:t>
      </w:r>
      <w:r w:rsidRPr="00292955">
        <w:rPr>
          <w:bCs/>
        </w:rPr>
        <w:t>PSM (d18:1/16:0) = palmitoyl sphingomyelin (d18:1/16:0)</w:t>
      </w:r>
      <w:r w:rsidR="001C0A99">
        <w:rPr>
          <w:bCs/>
        </w:rPr>
        <w:t xml:space="preserve">; </w:t>
      </w:r>
      <w:r w:rsidR="001C0A99" w:rsidRPr="00292955">
        <w:rPr>
          <w:bCs/>
        </w:rPr>
        <w:t>TG_by_PG = ratio of triglycerides to phosphoglycerides</w:t>
      </w:r>
      <w:r w:rsidRPr="00292955">
        <w:rPr>
          <w:bCs/>
        </w:rPr>
        <w:t>.</w:t>
      </w:r>
    </w:p>
    <w:p w14:paraId="247FA598" w14:textId="476D53D9" w:rsidR="001D7791" w:rsidRPr="001C0A99" w:rsidRDefault="001D7791" w:rsidP="001D7791">
      <w:pPr>
        <w:ind w:firstLineChars="0" w:firstLine="0"/>
      </w:pPr>
    </w:p>
    <w:p w14:paraId="483694BB" w14:textId="518EB941" w:rsidR="001D7791" w:rsidRDefault="001C0A99" w:rsidP="001C0A99">
      <w:pPr>
        <w:ind w:firstLineChars="0" w:firstLine="0"/>
        <w:jc w:val="center"/>
      </w:pPr>
      <w:r>
        <w:rPr>
          <w:noProof/>
          <w:lang w:val="en-IN" w:eastAsia="en-IN"/>
        </w:rPr>
        <w:drawing>
          <wp:inline distT="0" distB="0" distL="0" distR="0" wp14:anchorId="6B65C40F" wp14:editId="0999073E">
            <wp:extent cx="5274310" cy="26600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C7564" w14:textId="2E1879EB" w:rsidR="001D7791" w:rsidRPr="002539D5" w:rsidRDefault="001D7791" w:rsidP="001D7791">
      <w:pPr>
        <w:pStyle w:val="Caption"/>
        <w:keepLines/>
        <w:jc w:val="both"/>
        <w:rPr>
          <w:b/>
          <w:bCs/>
        </w:rPr>
      </w:pPr>
      <w:r w:rsidRPr="00692C99">
        <w:rPr>
          <w:b/>
          <w:bCs/>
        </w:rPr>
        <w:t>Fig. S</w:t>
      </w:r>
      <w:r w:rsidRPr="00692C99">
        <w:rPr>
          <w:b/>
          <w:bCs/>
        </w:rPr>
        <w:fldChar w:fldCharType="begin"/>
      </w:r>
      <w:r w:rsidRPr="00692C99">
        <w:rPr>
          <w:b/>
          <w:bCs/>
        </w:rPr>
        <w:instrText xml:space="preserve"> SEQ Fig._S \* ARABIC </w:instrText>
      </w:r>
      <w:r w:rsidRPr="00692C99">
        <w:rPr>
          <w:b/>
          <w:bCs/>
        </w:rPr>
        <w:fldChar w:fldCharType="separate"/>
      </w:r>
      <w:r w:rsidRPr="00692C99">
        <w:rPr>
          <w:b/>
          <w:bCs/>
          <w:noProof/>
        </w:rPr>
        <w:t>2</w:t>
      </w:r>
      <w:r w:rsidRPr="00692C99">
        <w:rPr>
          <w:b/>
          <w:bCs/>
        </w:rPr>
        <w:fldChar w:fldCharType="end"/>
      </w:r>
      <w:r w:rsidRPr="00692C99">
        <w:rPr>
          <w:b/>
          <w:bCs/>
        </w:rPr>
        <w:t xml:space="preserve"> P</w:t>
      </w:r>
      <w:r w:rsidRPr="002539D5">
        <w:rPr>
          <w:b/>
          <w:bCs/>
        </w:rPr>
        <w:t xml:space="preserve">otential on-target side effects associated with </w:t>
      </w:r>
      <w:r>
        <w:rPr>
          <w:b/>
          <w:bCs/>
        </w:rPr>
        <w:t xml:space="preserve">XS_VLDL_TG </w:t>
      </w:r>
      <w:r w:rsidRPr="002539D5">
        <w:rPr>
          <w:b/>
          <w:bCs/>
        </w:rPr>
        <w:t xml:space="preserve">and </w:t>
      </w:r>
      <w:r w:rsidRPr="001D7791">
        <w:rPr>
          <w:b/>
          <w:bCs/>
        </w:rPr>
        <w:t>PSM (d18:1/16:0)</w:t>
      </w:r>
      <w:r w:rsidRPr="002539D5">
        <w:rPr>
          <w:b/>
          <w:bCs/>
        </w:rPr>
        <w:t xml:space="preserve"> intervention revealed by phenome–wide Mendelian randomization analysis. </w:t>
      </w:r>
    </w:p>
    <w:p w14:paraId="20706136" w14:textId="1335BE69" w:rsidR="001D7791" w:rsidRPr="00292955" w:rsidRDefault="001D7791" w:rsidP="001D7791">
      <w:pPr>
        <w:pStyle w:val="Caption"/>
        <w:keepLines/>
        <w:jc w:val="both"/>
        <w:rPr>
          <w:b/>
          <w:bCs/>
        </w:rPr>
      </w:pPr>
      <w:r w:rsidRPr="00292955">
        <w:rPr>
          <w:bCs/>
        </w:rPr>
        <w:t xml:space="preserve">Notes: Odds ratios with their 95% confidence intervals represent the effect estimates on the risk of </w:t>
      </w:r>
      <w:r>
        <w:rPr>
          <w:bCs/>
        </w:rPr>
        <w:t>various</w:t>
      </w:r>
      <w:r w:rsidRPr="00292955">
        <w:rPr>
          <w:bCs/>
        </w:rPr>
        <w:t xml:space="preserve"> non-GDM diseases of per 10% reduction in GDM</w:t>
      </w:r>
      <w:r>
        <w:rPr>
          <w:bCs/>
        </w:rPr>
        <w:t xml:space="preserve"> risk</w:t>
      </w:r>
      <w:r w:rsidRPr="00292955">
        <w:rPr>
          <w:bCs/>
        </w:rPr>
        <w:t xml:space="preserve"> by targeting</w:t>
      </w:r>
      <w:r w:rsidRPr="00692C99">
        <w:rPr>
          <w:bCs/>
        </w:rPr>
        <w:t xml:space="preserve"> </w:t>
      </w:r>
      <w:r w:rsidR="001C0A99">
        <w:rPr>
          <w:bCs/>
        </w:rPr>
        <w:t xml:space="preserve">(a) </w:t>
      </w:r>
      <w:r w:rsidR="00692C99" w:rsidRPr="00692C99">
        <w:rPr>
          <w:bCs/>
        </w:rPr>
        <w:t xml:space="preserve">XS_VLDL_TG and </w:t>
      </w:r>
      <w:r w:rsidR="001C0A99">
        <w:rPr>
          <w:bCs/>
        </w:rPr>
        <w:t xml:space="preserve">(b) </w:t>
      </w:r>
      <w:r w:rsidR="00692C99" w:rsidRPr="00692C99">
        <w:rPr>
          <w:bCs/>
        </w:rPr>
        <w:t>PSM (d18:1/16:0)</w:t>
      </w:r>
      <w:r w:rsidRPr="00692C99">
        <w:rPr>
          <w:bCs/>
        </w:rPr>
        <w:t>,</w:t>
      </w:r>
      <w:r w:rsidRPr="00292955">
        <w:rPr>
          <w:bCs/>
        </w:rPr>
        <w:t xml:space="preserve"> respectively. Associations </w:t>
      </w:r>
      <w:r w:rsidRPr="005F612D">
        <w:rPr>
          <w:bCs/>
        </w:rPr>
        <w:t xml:space="preserve">that are above the horizontal line with a black dash indicate </w:t>
      </w:r>
      <w:r>
        <w:t>deleterious</w:t>
      </w:r>
      <w:r w:rsidRPr="005F612D">
        <w:rPr>
          <w:bCs/>
        </w:rPr>
        <w:t xml:space="preserve"> side effects</w:t>
      </w:r>
      <w:r>
        <w:rPr>
          <w:bCs/>
        </w:rPr>
        <w:t>, while those</w:t>
      </w:r>
      <w:r w:rsidRPr="00292955">
        <w:rPr>
          <w:bCs/>
        </w:rPr>
        <w:t xml:space="preserve"> below represent beneficial side effects. </w:t>
      </w:r>
      <w:r>
        <w:rPr>
          <w:bCs/>
        </w:rPr>
        <w:t>T</w:t>
      </w:r>
      <w:r>
        <w:rPr>
          <w:rFonts w:hint="eastAsia"/>
          <w:bCs/>
        </w:rPr>
        <w:t>h</w:t>
      </w:r>
      <w:r>
        <w:rPr>
          <w:bCs/>
        </w:rPr>
        <w:t>2 upper red</w:t>
      </w:r>
      <w:r w:rsidRPr="00292955">
        <w:rPr>
          <w:bCs/>
        </w:rPr>
        <w:t xml:space="preserve"> dashed horizontal line (odds ratio = 1.10) represents the point at which decreased GDM risk is counterbalanced by an equal increase in disease risk. </w:t>
      </w:r>
    </w:p>
    <w:p w14:paraId="75F0A0F1" w14:textId="22C9233E" w:rsidR="001D7791" w:rsidRPr="000C2F9C" w:rsidRDefault="001D7791" w:rsidP="000C2F9C">
      <w:pPr>
        <w:pStyle w:val="Caption"/>
        <w:keepLines/>
        <w:jc w:val="both"/>
        <w:rPr>
          <w:b/>
          <w:bCs/>
        </w:rPr>
      </w:pPr>
      <w:r w:rsidRPr="00292955">
        <w:rPr>
          <w:bCs/>
        </w:rPr>
        <w:t>Abbreviation</w:t>
      </w:r>
      <w:r w:rsidRPr="00292955">
        <w:rPr>
          <w:rFonts w:hint="eastAsia"/>
          <w:bCs/>
        </w:rPr>
        <w:t>s</w:t>
      </w:r>
      <w:r w:rsidRPr="00292955">
        <w:rPr>
          <w:bCs/>
        </w:rPr>
        <w:t xml:space="preserve">: OR = odds ratio, CI=confidence interval, </w:t>
      </w:r>
      <w:r w:rsidR="001C0A99">
        <w:t xml:space="preserve">PSM (d18:1/16:0) = palmitoyl sphingomyelin (d18:1/16:0), </w:t>
      </w:r>
      <w:r w:rsidR="001C0A99" w:rsidRPr="00692C99">
        <w:rPr>
          <w:bCs/>
        </w:rPr>
        <w:t>XS_VLDL_TG</w:t>
      </w:r>
      <w:r w:rsidRPr="00292955">
        <w:rPr>
          <w:bCs/>
        </w:rPr>
        <w:t xml:space="preserve"> = </w:t>
      </w:r>
      <w:r w:rsidR="001C0A99">
        <w:t>triglycerides in very small VLDL</w:t>
      </w:r>
      <w:r w:rsidRPr="00292955">
        <w:rPr>
          <w:bCs/>
        </w:rPr>
        <w:t>.</w:t>
      </w:r>
    </w:p>
    <w:sectPr w:rsidR="001D7791" w:rsidRPr="000C2F9C" w:rsidSect="00F920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02F8B" w14:textId="77777777" w:rsidR="000D5B60" w:rsidRDefault="000D5B60" w:rsidP="001D7791">
      <w:pPr>
        <w:spacing w:line="240" w:lineRule="auto"/>
        <w:ind w:firstLine="480"/>
      </w:pPr>
      <w:r>
        <w:separator/>
      </w:r>
    </w:p>
  </w:endnote>
  <w:endnote w:type="continuationSeparator" w:id="0">
    <w:p w14:paraId="76636227" w14:textId="77777777" w:rsidR="000D5B60" w:rsidRDefault="000D5B60" w:rsidP="001D779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32790" w14:textId="77777777" w:rsidR="001D7791" w:rsidRDefault="001D779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BD41C" w14:textId="77777777" w:rsidR="001D7791" w:rsidRDefault="001D7791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9137F" w14:textId="77777777" w:rsidR="001D7791" w:rsidRDefault="001D7791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E602F" w14:textId="77777777" w:rsidR="000D5B60" w:rsidRDefault="000D5B60" w:rsidP="001D7791">
      <w:pPr>
        <w:spacing w:line="240" w:lineRule="auto"/>
        <w:ind w:firstLine="480"/>
      </w:pPr>
      <w:r>
        <w:separator/>
      </w:r>
    </w:p>
  </w:footnote>
  <w:footnote w:type="continuationSeparator" w:id="0">
    <w:p w14:paraId="720F2538" w14:textId="77777777" w:rsidR="000D5B60" w:rsidRDefault="000D5B60" w:rsidP="001D779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6DF918" w14:textId="77777777" w:rsidR="001D7791" w:rsidRDefault="001D7791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AFF3D" w14:textId="77777777" w:rsidR="001D7791" w:rsidRDefault="001D7791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EB230" w14:textId="77777777" w:rsidR="001D7791" w:rsidRDefault="001D7791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F7"/>
    <w:rsid w:val="000C2F9C"/>
    <w:rsid w:val="000D5B60"/>
    <w:rsid w:val="001C0A99"/>
    <w:rsid w:val="001D0990"/>
    <w:rsid w:val="001D7791"/>
    <w:rsid w:val="0020586D"/>
    <w:rsid w:val="00251CCE"/>
    <w:rsid w:val="002676C2"/>
    <w:rsid w:val="002F73C7"/>
    <w:rsid w:val="00451329"/>
    <w:rsid w:val="004D7BA2"/>
    <w:rsid w:val="004E3012"/>
    <w:rsid w:val="00593E3C"/>
    <w:rsid w:val="005A6156"/>
    <w:rsid w:val="006414FE"/>
    <w:rsid w:val="00692C99"/>
    <w:rsid w:val="006B53E5"/>
    <w:rsid w:val="007A7F85"/>
    <w:rsid w:val="00815434"/>
    <w:rsid w:val="008522F7"/>
    <w:rsid w:val="008D2D0D"/>
    <w:rsid w:val="00B70797"/>
    <w:rsid w:val="00CC4056"/>
    <w:rsid w:val="00E134CA"/>
    <w:rsid w:val="00E72EFA"/>
    <w:rsid w:val="00E84D08"/>
    <w:rsid w:val="00F9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F09A59"/>
  <w15:chartTrackingRefBased/>
  <w15:docId w15:val="{EA9C65FE-6671-4687-BB52-6E35FB88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EFA"/>
    <w:pPr>
      <w:widowControl w:val="0"/>
      <w:spacing w:line="360" w:lineRule="auto"/>
      <w:ind w:firstLineChars="200" w:firstLine="200"/>
      <w:jc w:val="both"/>
    </w:pPr>
    <w:rPr>
      <w:rFonts w:ascii="Times New Roman" w:eastAsia="SimSu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329"/>
    <w:pPr>
      <w:keepNext/>
      <w:keepLines/>
      <w:spacing w:before="60" w:after="60"/>
      <w:ind w:firstLineChars="0" w:firstLine="0"/>
      <w:outlineLvl w:val="0"/>
    </w:pPr>
    <w:rPr>
      <w:b/>
      <w:bCs/>
      <w:kern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434"/>
    <w:pPr>
      <w:keepNext/>
      <w:keepLines/>
      <w:spacing w:before="60" w:after="60"/>
      <w:ind w:firstLineChars="0" w:firstLine="0"/>
      <w:outlineLvl w:val="1"/>
    </w:pPr>
    <w:rPr>
      <w:rFonts w:cstheme="majorBidi"/>
      <w:b/>
      <w:bCs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34CA"/>
    <w:pPr>
      <w:keepNext/>
      <w:keepLines/>
      <w:ind w:firstLineChars="0" w:firstLine="0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329"/>
    <w:rPr>
      <w:rFonts w:ascii="Times New Roman" w:eastAsia="SimSun" w:hAnsi="Times New Roman"/>
      <w:b/>
      <w:bCs/>
      <w:kern w:val="44"/>
      <w:sz w:val="2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815434"/>
    <w:rPr>
      <w:rFonts w:ascii="Times New Roman" w:eastAsia="SimSun" w:hAnsi="Times New Roman" w:cstheme="majorBidi"/>
      <w:b/>
      <w:bCs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15434"/>
    <w:pPr>
      <w:spacing w:before="60" w:after="60"/>
      <w:ind w:firstLineChars="0" w:firstLine="0"/>
      <w:jc w:val="center"/>
      <w:outlineLvl w:val="0"/>
    </w:pPr>
    <w:rPr>
      <w:rFonts w:cstheme="majorBidi"/>
      <w:b/>
      <w:bCs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15434"/>
    <w:rPr>
      <w:rFonts w:ascii="Times New Roman" w:eastAsia="SimSun" w:hAnsi="Times New Roman" w:cstheme="majorBidi"/>
      <w:b/>
      <w:bCs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134CA"/>
    <w:rPr>
      <w:rFonts w:ascii="Times New Roman" w:eastAsia="SimSun" w:hAnsi="Times New Roman"/>
      <w:b/>
      <w:bCs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593E3C"/>
    <w:pPr>
      <w:spacing w:line="240" w:lineRule="auto"/>
      <w:ind w:firstLineChars="0" w:firstLine="0"/>
      <w:jc w:val="center"/>
    </w:pPr>
    <w:rPr>
      <w:rFonts w:cstheme="majorBidi"/>
      <w:sz w:val="20"/>
      <w:szCs w:val="20"/>
    </w:rPr>
  </w:style>
  <w:style w:type="paragraph" w:customStyle="1" w:styleId="a">
    <w:name w:val="公式"/>
    <w:basedOn w:val="Caption"/>
    <w:link w:val="a0"/>
    <w:qFormat/>
    <w:rsid w:val="004D7BA2"/>
    <w:pPr>
      <w:tabs>
        <w:tab w:val="center" w:pos="4200"/>
      </w:tabs>
      <w:jc w:val="both"/>
      <w:textAlignment w:val="center"/>
    </w:pPr>
    <w:rPr>
      <w:rFonts w:asciiTheme="majorHAnsi" w:eastAsia="SimHei" w:hAnsiTheme="majorHAnsi"/>
      <w:sz w:val="24"/>
      <w:szCs w:val="24"/>
    </w:rPr>
  </w:style>
  <w:style w:type="character" w:customStyle="1" w:styleId="a0">
    <w:name w:val="公式 字符"/>
    <w:basedOn w:val="DefaultParagraphFont"/>
    <w:link w:val="a"/>
    <w:rsid w:val="004D7BA2"/>
    <w:rPr>
      <w:rFonts w:asciiTheme="majorHAnsi" w:eastAsia="SimHei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D7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D7791"/>
    <w:rPr>
      <w:rFonts w:ascii="Times New Roman" w:eastAsia="SimSu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D779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D7791"/>
    <w:rPr>
      <w:rFonts w:ascii="Times New Roman" w:eastAsia="SimSu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2A26E-B092-45E4-B858-A7E3913E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遥</dc:creator>
  <cp:keywords/>
  <dc:description/>
  <cp:lastModifiedBy>Indhumathi S Sukumar K</cp:lastModifiedBy>
  <cp:revision>4</cp:revision>
  <dcterms:created xsi:type="dcterms:W3CDTF">2024-09-01T12:59:00Z</dcterms:created>
  <dcterms:modified xsi:type="dcterms:W3CDTF">2024-09-05T17:58:00Z</dcterms:modified>
</cp:coreProperties>
</file>