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Supplementa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l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</w:rPr>
        <w:t>material</w:t>
      </w:r>
    </w:p>
    <w:p>
      <w:pPr>
        <w:jc w:val="lef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>
      <w:pPr>
        <w:rPr>
          <w:rFonts w:ascii="Times New Roman" w:hAnsi="Times New Roman" w:eastAsia="等线" w:cs="Times New Roman"/>
          <w:color w:val="auto"/>
          <w:sz w:val="24"/>
          <w:szCs w:val="24"/>
          <w:lang w:bidi="ar"/>
        </w:rPr>
      </w:pPr>
      <w:r>
        <w:rPr>
          <w:rFonts w:ascii="Times New Roman" w:hAnsi="Times New Roman" w:eastAsia="等线" w:cs="Times New Roman"/>
          <w:b/>
          <w:bCs/>
          <w:color w:val="auto"/>
          <w:sz w:val="24"/>
          <w:szCs w:val="24"/>
          <w:lang w:bidi="ar"/>
        </w:rPr>
        <w:t xml:space="preserve">Supplemental Table </w:t>
      </w:r>
      <w:r>
        <w:rPr>
          <w:rFonts w:hint="eastAsia" w:ascii="Times New Roman" w:hAnsi="Times New Roman" w:eastAsia="等线" w:cs="Times New Roman"/>
          <w:b/>
          <w:bCs/>
          <w:color w:val="auto"/>
          <w:sz w:val="24"/>
          <w:szCs w:val="24"/>
          <w:lang w:val="en-US" w:eastAsia="zh-CN" w:bidi="ar"/>
        </w:rPr>
        <w:t>1</w:t>
      </w:r>
      <w:r>
        <w:rPr>
          <w:rFonts w:hint="eastAsia" w:ascii="Times New Roman" w:hAnsi="Times New Roman" w:eastAsia="等线" w:cs="Times New Roman"/>
          <w:b/>
          <w:bCs/>
          <w:color w:val="auto"/>
          <w:sz w:val="24"/>
          <w:szCs w:val="24"/>
          <w:lang w:bidi="ar"/>
        </w:rPr>
        <w:t>.</w:t>
      </w:r>
      <w:r>
        <w:rPr>
          <w:rFonts w:hint="eastAsia" w:ascii="Times New Roman" w:hAnsi="Times New Roman" w:eastAsia="等线" w:cs="Times New Roman"/>
          <w:color w:val="auto"/>
          <w:sz w:val="24"/>
          <w:szCs w:val="24"/>
          <w:lang w:bidi="ar"/>
        </w:rPr>
        <w:t xml:space="preserve"> </w:t>
      </w:r>
      <w:r>
        <w:rPr>
          <w:rFonts w:ascii="Times New Roman" w:hAnsi="Times New Roman" w:eastAsia="等线" w:cs="Times New Roman"/>
          <w:color w:val="auto"/>
          <w:sz w:val="24"/>
          <w:szCs w:val="24"/>
          <w:lang w:bidi="ar"/>
        </w:rPr>
        <w:t xml:space="preserve">Power analyses </w:t>
      </w:r>
      <w:r>
        <w:rPr>
          <w:rFonts w:hint="eastAsia" w:ascii="Times New Roman" w:hAnsi="Times New Roman" w:eastAsia="等线" w:cs="Times New Roman"/>
          <w:color w:val="auto"/>
          <w:sz w:val="24"/>
          <w:szCs w:val="24"/>
          <w:lang w:bidi="ar"/>
        </w:rPr>
        <w:t>according to</w:t>
      </w:r>
      <w:r>
        <w:rPr>
          <w:rFonts w:ascii="Times New Roman" w:hAnsi="Times New Roman" w:eastAsia="等线" w:cs="Times New Roman"/>
          <w:color w:val="auto"/>
          <w:sz w:val="24"/>
          <w:szCs w:val="24"/>
          <w:lang w:bidi="ar"/>
        </w:rPr>
        <w:t xml:space="preserve"> the Monte Carlo </w:t>
      </w:r>
      <w:r>
        <w:rPr>
          <w:rFonts w:hint="eastAsia" w:ascii="Times New Roman" w:hAnsi="Times New Roman" w:eastAsia="等线" w:cs="Times New Roman"/>
          <w:color w:val="auto"/>
          <w:sz w:val="24"/>
          <w:szCs w:val="24"/>
          <w:lang w:bidi="ar"/>
        </w:rPr>
        <w:t>m</w:t>
      </w:r>
      <w:r>
        <w:rPr>
          <w:rFonts w:ascii="Times New Roman" w:hAnsi="Times New Roman" w:eastAsia="等线" w:cs="Times New Roman"/>
          <w:color w:val="auto"/>
          <w:sz w:val="24"/>
          <w:szCs w:val="24"/>
          <w:lang w:bidi="ar"/>
        </w:rPr>
        <w:t>ethods</w:t>
      </w:r>
      <w:r>
        <w:rPr>
          <w:rFonts w:hint="eastAsia" w:ascii="Times New Roman" w:hAnsi="Times New Roman" w:eastAsia="等线" w:cs="Times New Roman"/>
          <w:color w:val="auto"/>
          <w:sz w:val="24"/>
          <w:szCs w:val="24"/>
          <w:lang w:bidi="ar"/>
        </w:rPr>
        <w:t xml:space="preserve">. </w:t>
      </w:r>
    </w:p>
    <w:tbl>
      <w:tblPr>
        <w:tblStyle w:val="2"/>
        <w:tblW w:w="811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6"/>
        <w:gridCol w:w="2523"/>
        <w:gridCol w:w="24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3186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 w:val="0"/>
                <w:bCs w:val="0"/>
                <w:color w:val="auto"/>
                <w:sz w:val="22"/>
              </w:rPr>
            </w:pPr>
            <w:r>
              <w:rPr>
                <w:rFonts w:ascii="Times New Roman" w:hAnsi="Times New Roman" w:eastAsia="等线" w:cs="Times New Roman"/>
                <w:b w:val="0"/>
                <w:bCs w:val="0"/>
                <w:color w:val="auto"/>
                <w:kern w:val="0"/>
                <w:sz w:val="22"/>
                <w:lang w:bidi="ar"/>
              </w:rPr>
              <w:t>Dependent variable</w:t>
            </w:r>
          </w:p>
        </w:tc>
        <w:tc>
          <w:tcPr>
            <w:tcW w:w="2523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 w:val="0"/>
                <w:bCs w:val="0"/>
                <w:color w:val="auto"/>
                <w:sz w:val="22"/>
              </w:rPr>
            </w:pPr>
            <w:r>
              <w:rPr>
                <w:rFonts w:ascii="Times New Roman" w:hAnsi="Times New Roman" w:eastAsia="等线" w:cs="Times New Roman"/>
                <w:b w:val="0"/>
                <w:bCs w:val="0"/>
                <w:color w:val="auto"/>
                <w:kern w:val="0"/>
                <w:sz w:val="22"/>
                <w:lang w:bidi="ar"/>
              </w:rPr>
              <w:t>Mediator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 w:val="0"/>
                <w:bCs w:val="0"/>
                <w:color w:val="auto"/>
                <w:sz w:val="22"/>
              </w:rPr>
            </w:pPr>
            <w:r>
              <w:rPr>
                <w:rFonts w:ascii="Times New Roman" w:hAnsi="Times New Roman" w:eastAsia="等线" w:cs="Times New Roman"/>
                <w:b w:val="0"/>
                <w:bCs w:val="0"/>
                <w:color w:val="auto"/>
                <w:kern w:val="0"/>
                <w:sz w:val="22"/>
                <w:lang w:bidi="ar"/>
              </w:rPr>
              <w:t>Estimate power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 w:val="0"/>
                <w:bCs w:val="0"/>
                <w:color w:val="auto"/>
                <w:sz w:val="22"/>
              </w:rPr>
            </w:pPr>
            <w:r>
              <w:rPr>
                <w:rFonts w:ascii="Times New Roman" w:hAnsi="Times New Roman" w:eastAsia="等线" w:cs="Times New Roman"/>
                <w:b w:val="0"/>
                <w:bCs w:val="0"/>
                <w:color w:val="auto"/>
                <w:kern w:val="0"/>
                <w:sz w:val="22"/>
                <w:lang w:bidi="ar"/>
              </w:rPr>
              <w:t>HF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auto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color w:val="auto"/>
                <w:sz w:val="22"/>
                <w:lang w:val="en-US" w:eastAsia="zh-CN"/>
              </w:rPr>
              <w:t>EAT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 w:val="0"/>
                <w:bCs w:val="0"/>
                <w:color w:val="auto"/>
                <w:sz w:val="22"/>
              </w:rPr>
            </w:pPr>
            <w:r>
              <w:rPr>
                <w:rFonts w:ascii="Times New Roman" w:hAnsi="Times New Roman" w:eastAsia="等线" w:cs="Times New Roman"/>
                <w:b w:val="0"/>
                <w:bCs w:val="0"/>
                <w:color w:val="auto"/>
                <w:kern w:val="0"/>
                <w:sz w:val="22"/>
                <w:lang w:bidi="ar"/>
              </w:rPr>
              <w:t>0.98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 w:val="0"/>
                <w:bCs w:val="0"/>
                <w:color w:val="auto"/>
                <w:sz w:val="22"/>
              </w:rPr>
            </w:pPr>
            <w:r>
              <w:rPr>
                <w:rFonts w:ascii="Times New Roman" w:hAnsi="Times New Roman" w:eastAsia="等线" w:cs="Times New Roman"/>
                <w:b w:val="0"/>
                <w:bCs w:val="0"/>
                <w:color w:val="auto"/>
                <w:kern w:val="0"/>
                <w:sz w:val="22"/>
                <w:lang w:bidi="ar"/>
              </w:rPr>
              <w:t>SDNN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auto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 w:val="0"/>
                <w:bCs w:val="0"/>
                <w:color w:val="auto"/>
                <w:sz w:val="22"/>
              </w:rPr>
            </w:pPr>
            <w:r>
              <w:rPr>
                <w:rFonts w:ascii="Times New Roman" w:hAnsi="Times New Roman" w:eastAsia="等线" w:cs="Times New Roman"/>
                <w:b w:val="0"/>
                <w:bCs w:val="0"/>
                <w:color w:val="auto"/>
                <w:kern w:val="0"/>
                <w:sz w:val="22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 w:val="0"/>
                <w:bCs w:val="0"/>
                <w:color w:val="auto"/>
                <w:sz w:val="22"/>
              </w:rPr>
            </w:pPr>
            <w:r>
              <w:rPr>
                <w:rFonts w:ascii="Times New Roman" w:hAnsi="Times New Roman" w:eastAsia="等线" w:cs="Times New Roman"/>
                <w:b w:val="0"/>
                <w:bCs w:val="0"/>
                <w:color w:val="auto"/>
                <w:kern w:val="0"/>
                <w:sz w:val="22"/>
                <w:lang w:bidi="ar"/>
              </w:rPr>
              <w:t>SDANN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auto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 w:val="0"/>
                <w:bCs w:val="0"/>
                <w:color w:val="auto"/>
                <w:sz w:val="22"/>
              </w:rPr>
            </w:pPr>
            <w:r>
              <w:rPr>
                <w:rFonts w:ascii="Times New Roman" w:hAnsi="Times New Roman" w:eastAsia="等线" w:cs="Times New Roman"/>
                <w:b w:val="0"/>
                <w:bCs w:val="0"/>
                <w:color w:val="auto"/>
                <w:kern w:val="0"/>
                <w:sz w:val="22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 w:val="0"/>
                <w:bCs w:val="0"/>
                <w:color w:val="auto"/>
                <w:sz w:val="22"/>
              </w:rPr>
            </w:pPr>
            <w:r>
              <w:rPr>
                <w:rFonts w:ascii="Times New Roman" w:hAnsi="Times New Roman" w:eastAsia="等线" w:cs="Times New Roman"/>
                <w:b w:val="0"/>
                <w:bCs w:val="0"/>
                <w:color w:val="auto"/>
                <w:kern w:val="0"/>
                <w:sz w:val="22"/>
                <w:lang w:bidi="ar"/>
              </w:rPr>
              <w:t>SDNN index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auto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 w:val="0"/>
                <w:bCs w:val="0"/>
                <w:color w:val="auto"/>
                <w:sz w:val="22"/>
              </w:rPr>
            </w:pPr>
            <w:r>
              <w:rPr>
                <w:rFonts w:ascii="Times New Roman" w:hAnsi="Times New Roman" w:eastAsia="等线" w:cs="Times New Roman"/>
                <w:b w:val="0"/>
                <w:bCs w:val="0"/>
                <w:color w:val="auto"/>
                <w:kern w:val="0"/>
                <w:sz w:val="22"/>
                <w:lang w:bidi="ar"/>
              </w:rPr>
              <w:t>0.96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 w:val="0"/>
                <w:bCs w:val="0"/>
                <w:color w:val="auto"/>
                <w:sz w:val="22"/>
              </w:rPr>
            </w:pPr>
            <w:r>
              <w:rPr>
                <w:rFonts w:ascii="Times New Roman" w:hAnsi="Times New Roman" w:eastAsia="等线" w:cs="Times New Roman"/>
                <w:b w:val="0"/>
                <w:bCs w:val="0"/>
                <w:color w:val="auto"/>
                <w:kern w:val="0"/>
                <w:sz w:val="22"/>
                <w:lang w:bidi="ar"/>
              </w:rPr>
              <w:t>rMSSD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auto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 w:val="0"/>
                <w:bCs w:val="0"/>
                <w:color w:val="auto"/>
                <w:sz w:val="22"/>
              </w:rPr>
            </w:pPr>
            <w:r>
              <w:rPr>
                <w:rFonts w:ascii="Times New Roman" w:hAnsi="Times New Roman" w:eastAsia="等线" w:cs="Times New Roman"/>
                <w:b w:val="0"/>
                <w:bCs w:val="0"/>
                <w:color w:val="auto"/>
                <w:kern w:val="0"/>
                <w:sz w:val="22"/>
                <w:lang w:bidi="ar"/>
              </w:rPr>
              <w:t>0.96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 w:val="0"/>
                <w:bCs w:val="0"/>
                <w:color w:val="auto"/>
                <w:sz w:val="22"/>
              </w:rPr>
            </w:pPr>
            <w:r>
              <w:rPr>
                <w:rFonts w:ascii="Times New Roman" w:hAnsi="Times New Roman" w:eastAsia="等线" w:cs="Times New Roman"/>
                <w:b w:val="0"/>
                <w:bCs w:val="0"/>
                <w:color w:val="auto"/>
                <w:kern w:val="0"/>
                <w:sz w:val="22"/>
                <w:lang w:bidi="ar"/>
              </w:rPr>
              <w:t>pNN50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auto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 w:val="0"/>
                <w:bCs w:val="0"/>
                <w:color w:val="auto"/>
                <w:sz w:val="22"/>
              </w:rPr>
            </w:pPr>
            <w:r>
              <w:rPr>
                <w:rFonts w:ascii="Times New Roman" w:hAnsi="Times New Roman" w:eastAsia="等线" w:cs="Times New Roman"/>
                <w:b w:val="0"/>
                <w:bCs w:val="0"/>
                <w:color w:val="auto"/>
                <w:kern w:val="0"/>
                <w:sz w:val="22"/>
                <w:lang w:bidi="ar"/>
              </w:rPr>
              <w:t>0.87</w:t>
            </w:r>
          </w:p>
        </w:tc>
      </w:tr>
    </w:tbl>
    <w:p>
      <w:pPr>
        <w:rPr>
          <w:rFonts w:ascii="Times New Roman" w:hAnsi="Times New Roman" w:eastAsia="等线" w:cs="Times New Roman"/>
          <w:color w:val="auto"/>
          <w:sz w:val="24"/>
          <w:szCs w:val="24"/>
          <w:lang w:bidi="ar"/>
        </w:rPr>
      </w:pPr>
      <w:r>
        <w:rPr>
          <w:rFonts w:ascii="Times New Roman" w:hAnsi="Times New Roman" w:eastAsia="等线" w:cs="Times New Roman"/>
          <w:color w:val="auto"/>
          <w:sz w:val="24"/>
          <w:szCs w:val="24"/>
          <w:lang w:bidi="ar"/>
        </w:rPr>
        <w:t>EAT, epicardial adipose tissue</w:t>
      </w:r>
      <w:r>
        <w:rPr>
          <w:rFonts w:hint="eastAsia" w:ascii="Times New Roman" w:hAnsi="Times New Roman" w:eastAsia="等线" w:cs="Times New Roman"/>
          <w:color w:val="auto"/>
          <w:sz w:val="24"/>
          <w:szCs w:val="24"/>
          <w:lang w:bidi="ar"/>
        </w:rPr>
        <w:t>;</w:t>
      </w:r>
      <w:r>
        <w:rPr>
          <w:rFonts w:ascii="Times New Roman" w:hAnsi="Times New Roman" w:eastAsia="等线" w:cs="Times New Roman"/>
          <w:color w:val="auto"/>
          <w:sz w:val="24"/>
          <w:szCs w:val="24"/>
          <w:lang w:bidi="ar"/>
        </w:rPr>
        <w:t xml:space="preserve"> HF, high frequency; SDNN, SD of all normal to normal intervals; SDANN, SD deviation of sequential 5-minute normal to normal interval; SDNN index, the mean value of the SD of all the normal to normal intervals in every 5-minute interval within 24 hours; rMSSD, the root mean square of successive differences; pNN50, the number of pairs of adjacent normal to normal intervals differing by &gt;50 ms in the entire recording divided by the total number of normal to normal intervals</w:t>
      </w:r>
      <w:r>
        <w:rPr>
          <w:rFonts w:hint="eastAsia" w:ascii="Times New Roman" w:hAnsi="Times New Roman" w:eastAsia="等线" w:cs="Times New Roman"/>
          <w:color w:val="auto"/>
          <w:sz w:val="24"/>
          <w:szCs w:val="24"/>
          <w:lang w:bidi="ar"/>
        </w:rPr>
        <w:t>.</w:t>
      </w:r>
    </w:p>
    <w:p>
      <w:pPr>
        <w:jc w:val="lef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>
      <w:pPr>
        <w:jc w:val="lef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>
      <w:pPr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Supplemental Table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2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Structural validity of confirmatory factor analysis.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6"/>
        <w:gridCol w:w="2973"/>
        <w:gridCol w:w="32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97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Latent variable constructed by all HRV indices</w:t>
            </w:r>
          </w:p>
        </w:tc>
        <w:tc>
          <w:tcPr>
            <w:tcW w:w="321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Latent variable constructed by four HRV indices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233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χ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97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828</w:t>
            </w:r>
          </w:p>
        </w:tc>
        <w:tc>
          <w:tcPr>
            <w:tcW w:w="321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df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GFI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0.687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0.940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CFI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0.571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0.958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SRMR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0.152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0.036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RMR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0.150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0.035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AIC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6855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3314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BIC</w:t>
            </w:r>
          </w:p>
        </w:tc>
        <w:tc>
          <w:tcPr>
            <w:tcW w:w="297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6917</w:t>
            </w:r>
          </w:p>
        </w:tc>
        <w:tc>
          <w:tcPr>
            <w:tcW w:w="321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3346</w:t>
            </w:r>
          </w:p>
        </w:tc>
      </w:tr>
    </w:tbl>
    <w:p>
      <w:pPr>
        <w:rPr>
          <w:rFonts w:ascii="Times New Roman" w:hAnsi="Times New Roman" w:eastAsia="等线" w:cs="Times New Roman"/>
          <w:color w:val="auto"/>
          <w:sz w:val="24"/>
          <w:szCs w:val="24"/>
        </w:rPr>
      </w:pPr>
    </w:p>
    <w:p>
      <w:p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eastAsia="等线" w:cs="Times New Roman"/>
          <w:color w:val="auto"/>
          <w:sz w:val="24"/>
          <w:szCs w:val="24"/>
        </w:rPr>
        <w:t>χ</w:t>
      </w:r>
      <w:r>
        <w:rPr>
          <w:rFonts w:ascii="Times New Roman" w:hAnsi="Times New Roman" w:eastAsia="等线" w:cs="Times New Roman"/>
          <w:color w:val="auto"/>
          <w:sz w:val="24"/>
          <w:szCs w:val="24"/>
          <w:vertAlign w:val="superscript"/>
        </w:rPr>
        <w:t>2</w:t>
      </w:r>
      <w:r>
        <w:rPr>
          <w:rFonts w:ascii="Times New Roman" w:hAnsi="Times New Roman" w:eastAsia="等线" w:cs="Times New Roman"/>
          <w:color w:val="auto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auto"/>
          <w:sz w:val="24"/>
          <w:szCs w:val="24"/>
        </w:rPr>
        <w:t>chi-square; df, degree of freedom; GFI, goodness of fit index; CFI, comparative fit index; SRMR, standardized root mean square residual; RMR, root mean square residual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; AIC, akaike information criterion; BIC, bayesian information criterion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>
      <w:pPr>
        <w:rPr>
          <w:rFonts w:ascii="Times New Roman" w:hAnsi="Times New Roman" w:cs="Times New Roman"/>
          <w:color w:val="auto"/>
          <w:sz w:val="24"/>
          <w:szCs w:val="24"/>
        </w:rPr>
      </w:pPr>
    </w:p>
    <w:p>
      <w:p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Supplemental Table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3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. </w:t>
      </w:r>
      <w:r>
        <w:rPr>
          <w:rFonts w:ascii="Times New Roman" w:hAnsi="Times New Roman" w:eastAsia="等线" w:cs="Times New Roman"/>
          <w:color w:val="auto"/>
          <w:sz w:val="24"/>
          <w:szCs w:val="24"/>
        </w:rPr>
        <w:t>Reliability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of confirmatory factor analysis.  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4021"/>
        <w:gridCol w:w="936"/>
        <w:gridCol w:w="884"/>
        <w:gridCol w:w="98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17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Latent variable</w:t>
            </w:r>
          </w:p>
        </w:tc>
        <w:tc>
          <w:tcPr>
            <w:tcW w:w="402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Path</w:t>
            </w:r>
          </w:p>
        </w:tc>
        <w:tc>
          <w:tcPr>
            <w:tcW w:w="93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Factor loading</w:t>
            </w:r>
          </w:p>
        </w:tc>
        <w:tc>
          <w:tcPr>
            <w:tcW w:w="88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AVE</w:t>
            </w:r>
          </w:p>
        </w:tc>
        <w:tc>
          <w:tcPr>
            <w:tcW w:w="98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CR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700" w:type="dxa"/>
            <w:vMerge w:val="restart"/>
            <w:tcBorders>
              <w:top w:val="single" w:color="auto" w:sz="4" w:space="0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bookmarkStart w:id="0" w:name="OLE_LINK2"/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Constructed by all HRV indices</w:t>
            </w:r>
            <w:bookmarkEnd w:id="0"/>
          </w:p>
        </w:tc>
        <w:tc>
          <w:tcPr>
            <w:tcW w:w="4021" w:type="dxa"/>
            <w:tcBorders>
              <w:top w:val="single" w:color="auto" w:sz="4" w:space="0"/>
              <w:bottom w:val="nil"/>
            </w:tcBorders>
          </w:tcPr>
          <w:p>
            <w:pPr>
              <w:ind w:firstLine="960" w:firstLineChars="40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LF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 xml:space="preserve">    ←   HRV burden</w:t>
            </w:r>
          </w:p>
        </w:tc>
        <w:tc>
          <w:tcPr>
            <w:tcW w:w="936" w:type="dxa"/>
            <w:tcBorders>
              <w:top w:val="single" w:color="auto" w:sz="4" w:space="0"/>
              <w:bottom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0.50</w:t>
            </w:r>
          </w:p>
        </w:tc>
        <w:tc>
          <w:tcPr>
            <w:tcW w:w="884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0.419</w:t>
            </w:r>
          </w:p>
        </w:tc>
        <w:tc>
          <w:tcPr>
            <w:tcW w:w="981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0.817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700" w:type="dxa"/>
            <w:vMerge w:val="continue"/>
          </w:tcPr>
          <w:p>
            <w:pPr>
              <w:ind w:firstLine="720" w:firstLineChars="30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nil"/>
            </w:tcBorders>
          </w:tcPr>
          <w:p>
            <w:pPr>
              <w:ind w:firstLine="960" w:firstLineChars="40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HF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 xml:space="preserve">   ←   HRV burden</w:t>
            </w:r>
          </w:p>
        </w:tc>
        <w:tc>
          <w:tcPr>
            <w:tcW w:w="936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0.46</w:t>
            </w:r>
          </w:p>
        </w:tc>
        <w:tc>
          <w:tcPr>
            <w:tcW w:w="88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8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700" w:type="dxa"/>
            <w:vMerge w:val="continue"/>
          </w:tcPr>
          <w:p>
            <w:pPr>
              <w:ind w:firstLine="720" w:firstLineChars="30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nil"/>
            </w:tcBorders>
          </w:tcPr>
          <w:p>
            <w:pPr>
              <w:ind w:firstLine="720" w:firstLineChars="30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LF/HF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 xml:space="preserve">    ←   HRV burden</w:t>
            </w:r>
          </w:p>
        </w:tc>
        <w:tc>
          <w:tcPr>
            <w:tcW w:w="936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-0.06</w:t>
            </w:r>
          </w:p>
        </w:tc>
        <w:tc>
          <w:tcPr>
            <w:tcW w:w="88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8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700" w:type="dxa"/>
            <w:vMerge w:val="continue"/>
          </w:tcPr>
          <w:p>
            <w:pPr>
              <w:ind w:firstLine="480" w:firstLineChars="20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021" w:type="dxa"/>
          </w:tcPr>
          <w:p>
            <w:pPr>
              <w:ind w:firstLine="720" w:firstLineChars="30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bookmarkStart w:id="1" w:name="OLE_LINK1"/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SD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NN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 xml:space="preserve">  ←   HRV burden</w:t>
            </w:r>
            <w:bookmarkEnd w:id="1"/>
          </w:p>
        </w:tc>
        <w:tc>
          <w:tcPr>
            <w:tcW w:w="936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0.73</w:t>
            </w:r>
          </w:p>
        </w:tc>
        <w:tc>
          <w:tcPr>
            <w:tcW w:w="884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81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700" w:type="dxa"/>
            <w:vMerge w:val="continue"/>
          </w:tcPr>
          <w:p>
            <w:pPr>
              <w:ind w:firstLine="720" w:firstLineChars="30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021" w:type="dxa"/>
          </w:tcPr>
          <w:p>
            <w:pPr>
              <w:ind w:firstLine="720" w:firstLineChars="30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SDANN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 xml:space="preserve">    ←   HRV burden</w:t>
            </w:r>
          </w:p>
        </w:tc>
        <w:tc>
          <w:tcPr>
            <w:tcW w:w="936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0.34</w:t>
            </w:r>
          </w:p>
        </w:tc>
        <w:tc>
          <w:tcPr>
            <w:tcW w:w="884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81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700" w:type="dxa"/>
            <w:vMerge w:val="continue"/>
          </w:tcPr>
          <w:p>
            <w:pPr>
              <w:ind w:firstLine="720" w:firstLineChars="30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021" w:type="dxa"/>
          </w:tcPr>
          <w:p>
            <w:pPr>
              <w:ind w:firstLine="480" w:firstLineChars="20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SDNN index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 xml:space="preserve">  ←   HRV burden</w:t>
            </w:r>
          </w:p>
        </w:tc>
        <w:tc>
          <w:tcPr>
            <w:tcW w:w="936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0.91</w:t>
            </w:r>
          </w:p>
        </w:tc>
        <w:tc>
          <w:tcPr>
            <w:tcW w:w="884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81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700" w:type="dxa"/>
            <w:vMerge w:val="continue"/>
          </w:tcPr>
          <w:p>
            <w:pPr>
              <w:ind w:firstLine="720" w:firstLineChars="30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021" w:type="dxa"/>
          </w:tcPr>
          <w:p>
            <w:pPr>
              <w:ind w:firstLine="720" w:firstLineChars="30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rMSSD  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←   HRV burden</w:t>
            </w:r>
          </w:p>
        </w:tc>
        <w:tc>
          <w:tcPr>
            <w:tcW w:w="936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0.84</w:t>
            </w:r>
          </w:p>
        </w:tc>
        <w:tc>
          <w:tcPr>
            <w:tcW w:w="884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81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700" w:type="dxa"/>
            <w:vMerge w:val="continue"/>
          </w:tcPr>
          <w:p>
            <w:pPr>
              <w:ind w:firstLine="720" w:firstLineChars="30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021" w:type="dxa"/>
          </w:tcPr>
          <w:p>
            <w:pPr>
              <w:ind w:firstLine="720" w:firstLineChars="30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pNN50  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←   HRV burden</w:t>
            </w:r>
          </w:p>
        </w:tc>
        <w:tc>
          <w:tcPr>
            <w:tcW w:w="936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0.84</w:t>
            </w:r>
          </w:p>
        </w:tc>
        <w:tc>
          <w:tcPr>
            <w:tcW w:w="884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81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700" w:type="dxa"/>
            <w:vMerge w:val="restart"/>
          </w:tcPr>
          <w:p>
            <w:pPr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Constructed by four HRV indices</w:t>
            </w:r>
          </w:p>
        </w:tc>
        <w:tc>
          <w:tcPr>
            <w:tcW w:w="4021" w:type="dxa"/>
          </w:tcPr>
          <w:p>
            <w:pPr>
              <w:ind w:firstLine="720" w:firstLineChars="30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SD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NN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 xml:space="preserve">  ←   HRV burden</w:t>
            </w:r>
          </w:p>
        </w:tc>
        <w:tc>
          <w:tcPr>
            <w:tcW w:w="936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0.67</w:t>
            </w:r>
          </w:p>
        </w:tc>
        <w:tc>
          <w:tcPr>
            <w:tcW w:w="884" w:type="dxa"/>
            <w:vMerge w:val="restart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0.698</w:t>
            </w:r>
          </w:p>
        </w:tc>
        <w:tc>
          <w:tcPr>
            <w:tcW w:w="981" w:type="dxa"/>
            <w:vMerge w:val="restart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0.902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700" w:type="dxa"/>
            <w:vMerge w:val="continue"/>
          </w:tcPr>
          <w:p>
            <w:pPr>
              <w:ind w:firstLine="720" w:firstLineChars="30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021" w:type="dxa"/>
            <w:vAlign w:val="top"/>
          </w:tcPr>
          <w:p>
            <w:pPr>
              <w:ind w:firstLine="480" w:firstLineChars="20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SDNN index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 xml:space="preserve">  ←   HRV burden</w:t>
            </w:r>
          </w:p>
        </w:tc>
        <w:tc>
          <w:tcPr>
            <w:tcW w:w="936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0.92</w:t>
            </w:r>
          </w:p>
        </w:tc>
        <w:tc>
          <w:tcPr>
            <w:tcW w:w="884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81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700" w:type="dxa"/>
            <w:vMerge w:val="continue"/>
          </w:tcPr>
          <w:p>
            <w:pPr>
              <w:ind w:firstLine="720" w:firstLineChars="30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021" w:type="dxa"/>
            <w:vAlign w:val="top"/>
          </w:tcPr>
          <w:p>
            <w:pPr>
              <w:ind w:firstLine="720" w:firstLineChars="30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rMSSD  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←   HRV burden</w:t>
            </w:r>
          </w:p>
        </w:tc>
        <w:tc>
          <w:tcPr>
            <w:tcW w:w="936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0.87</w:t>
            </w:r>
          </w:p>
        </w:tc>
        <w:tc>
          <w:tcPr>
            <w:tcW w:w="884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81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700" w:type="dxa"/>
            <w:vMerge w:val="continue"/>
            <w:tcBorders>
              <w:bottom w:val="single" w:color="auto" w:sz="4" w:space="0"/>
            </w:tcBorders>
          </w:tcPr>
          <w:p>
            <w:pPr>
              <w:ind w:firstLine="720" w:firstLineChars="30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021" w:type="dxa"/>
            <w:tcBorders>
              <w:bottom w:val="single" w:color="auto" w:sz="4" w:space="0"/>
            </w:tcBorders>
            <w:vAlign w:val="top"/>
          </w:tcPr>
          <w:p>
            <w:pPr>
              <w:ind w:firstLine="720" w:firstLineChars="30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pNN50  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←   HRV burden</w:t>
            </w:r>
          </w:p>
        </w:tc>
        <w:tc>
          <w:tcPr>
            <w:tcW w:w="936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0.86</w:t>
            </w:r>
          </w:p>
        </w:tc>
        <w:tc>
          <w:tcPr>
            <w:tcW w:w="884" w:type="dxa"/>
            <w:vMerge w:val="continue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81" w:type="dxa"/>
            <w:vMerge w:val="continue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</w:tr>
    </w:tbl>
    <w:p>
      <w:pPr>
        <w:rPr>
          <w:rFonts w:ascii="Times New Roman" w:hAnsi="Times New Roman" w:eastAsia="等线" w:cs="Times New Roman"/>
          <w:color w:val="auto"/>
          <w:sz w:val="24"/>
          <w:szCs w:val="24"/>
        </w:rPr>
      </w:pPr>
      <w:r>
        <w:rPr>
          <w:rFonts w:ascii="Times New Roman" w:hAnsi="Times New Roman" w:eastAsia="等线" w:cs="Times New Roman"/>
          <w:color w:val="auto"/>
          <w:sz w:val="24"/>
          <w:szCs w:val="24"/>
        </w:rPr>
        <w:t xml:space="preserve">SDNN, SD of all </w:t>
      </w:r>
      <w:r>
        <w:rPr>
          <w:rFonts w:ascii="Times New Roman" w:hAnsi="Times New Roman" w:eastAsia="宋体" w:cs="Times New Roman"/>
          <w:color w:val="auto"/>
          <w:sz w:val="24"/>
          <w:szCs w:val="24"/>
          <w:lang w:bidi="ar"/>
        </w:rPr>
        <w:t>normal to normal</w:t>
      </w:r>
      <w:r>
        <w:rPr>
          <w:rFonts w:ascii="Times New Roman" w:hAnsi="Times New Roman" w:eastAsia="等线" w:cs="Times New Roman"/>
          <w:color w:val="auto"/>
          <w:sz w:val="24"/>
          <w:szCs w:val="24"/>
        </w:rPr>
        <w:t xml:space="preserve"> intervals; SDNN index, the mean value of the SD of all the normal </w:t>
      </w:r>
      <w:r>
        <w:rPr>
          <w:rFonts w:ascii="Times New Roman" w:hAnsi="Times New Roman" w:eastAsia="宋体" w:cs="Times New Roman"/>
          <w:color w:val="auto"/>
          <w:sz w:val="24"/>
          <w:szCs w:val="24"/>
          <w:lang w:bidi="ar"/>
        </w:rPr>
        <w:t>normal to normal</w:t>
      </w:r>
      <w:r>
        <w:rPr>
          <w:rFonts w:ascii="Times New Roman" w:hAnsi="Times New Roman" w:eastAsia="等线" w:cs="Times New Roman"/>
          <w:color w:val="auto"/>
          <w:sz w:val="24"/>
          <w:szCs w:val="24"/>
        </w:rPr>
        <w:t xml:space="preserve"> intervals in every 5-minute interval within 24 hours; rMSSD, the root mean square of successive differences; pNN50, the number of pairs of adjacent </w:t>
      </w:r>
      <w:r>
        <w:rPr>
          <w:rFonts w:ascii="Times New Roman" w:hAnsi="Times New Roman" w:eastAsia="宋体" w:cs="Times New Roman"/>
          <w:color w:val="auto"/>
          <w:sz w:val="24"/>
          <w:szCs w:val="24"/>
          <w:lang w:bidi="ar"/>
        </w:rPr>
        <w:t>normal to normal</w:t>
      </w:r>
      <w:r>
        <w:rPr>
          <w:rFonts w:ascii="Times New Roman" w:hAnsi="Times New Roman" w:eastAsia="等线" w:cs="Times New Roman"/>
          <w:color w:val="auto"/>
          <w:sz w:val="24"/>
          <w:szCs w:val="24"/>
        </w:rPr>
        <w:t xml:space="preserve"> intervals differing by &gt;50 ms in the entire recording divided by the total number of </w:t>
      </w:r>
      <w:r>
        <w:rPr>
          <w:rFonts w:ascii="Times New Roman" w:hAnsi="Times New Roman" w:eastAsia="宋体" w:cs="Times New Roman"/>
          <w:color w:val="auto"/>
          <w:sz w:val="24"/>
          <w:szCs w:val="24"/>
          <w:lang w:bidi="ar"/>
        </w:rPr>
        <w:t>normal to normal</w:t>
      </w:r>
      <w:r>
        <w:rPr>
          <w:rFonts w:ascii="Times New Roman" w:hAnsi="Times New Roman" w:eastAsia="等线" w:cs="Times New Roman"/>
          <w:color w:val="auto"/>
          <w:sz w:val="24"/>
          <w:szCs w:val="24"/>
        </w:rPr>
        <w:t xml:space="preserve"> intervals; AVE, average </w:t>
      </w:r>
      <w:r>
        <w:rPr>
          <w:rFonts w:hint="eastAsia" w:ascii="Times New Roman" w:hAnsi="Times New Roman" w:eastAsia="等线" w:cs="Times New Roman"/>
          <w:color w:val="auto"/>
          <w:sz w:val="24"/>
          <w:szCs w:val="24"/>
          <w:lang w:val="en-US" w:eastAsia="zh-CN"/>
        </w:rPr>
        <w:t>v</w:t>
      </w:r>
      <w:r>
        <w:rPr>
          <w:rFonts w:ascii="Times New Roman" w:hAnsi="Times New Roman" w:eastAsia="等线" w:cs="Times New Roman"/>
          <w:color w:val="auto"/>
          <w:sz w:val="24"/>
          <w:szCs w:val="24"/>
        </w:rPr>
        <w:t xml:space="preserve">ariance </w:t>
      </w:r>
      <w:r>
        <w:rPr>
          <w:rFonts w:hint="eastAsia" w:ascii="Times New Roman" w:hAnsi="Times New Roman" w:eastAsia="等线" w:cs="Times New Roman"/>
          <w:color w:val="auto"/>
          <w:sz w:val="24"/>
          <w:szCs w:val="24"/>
          <w:lang w:val="en-US" w:eastAsia="zh-CN"/>
        </w:rPr>
        <w:t>e</w:t>
      </w:r>
      <w:r>
        <w:rPr>
          <w:rFonts w:ascii="Times New Roman" w:hAnsi="Times New Roman" w:eastAsia="等线" w:cs="Times New Roman"/>
          <w:color w:val="auto"/>
          <w:sz w:val="24"/>
          <w:szCs w:val="24"/>
        </w:rPr>
        <w:t xml:space="preserve">xtracted; CR, composite reliability. </w:t>
      </w:r>
    </w:p>
    <w:p>
      <w:pPr>
        <w:rPr>
          <w:rFonts w:ascii="Times New Roman" w:hAnsi="Times New Roman" w:eastAsia="等线" w:cs="Times New Roman"/>
          <w:color w:val="auto"/>
          <w:sz w:val="24"/>
          <w:szCs w:val="24"/>
        </w:rPr>
      </w:pPr>
    </w:p>
    <w:p>
      <w:pPr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Supplemental Table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 xml:space="preserve"> 4.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Sensitivity analyses for adjusted direct and indirect effects of T2DM with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</w:rPr>
        <w:t xml:space="preserve">HRV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burden via epicardial adipose tissue. </w:t>
      </w:r>
    </w:p>
    <w:tbl>
      <w:tblPr>
        <w:tblStyle w:val="2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60"/>
        <w:gridCol w:w="1563"/>
        <w:gridCol w:w="2607"/>
        <w:gridCol w:w="160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536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Treatment</w:t>
            </w:r>
          </w:p>
        </w:tc>
        <w:tc>
          <w:tcPr>
            <w:tcW w:w="938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24"/>
                <w:sz w:val="24"/>
                <w:szCs w:val="24"/>
                <w:lang w:val="el" w:bidi="ar"/>
              </w:rPr>
              <w:t>β</w:t>
            </w:r>
          </w:p>
        </w:tc>
        <w:tc>
          <w:tcPr>
            <w:tcW w:w="1564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24"/>
                <w:sz w:val="24"/>
                <w:szCs w:val="24"/>
                <w:lang w:bidi="ar"/>
              </w:rPr>
              <w:t>95% CI</w:t>
            </w:r>
          </w:p>
        </w:tc>
        <w:tc>
          <w:tcPr>
            <w:tcW w:w="960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24"/>
                <w:sz w:val="24"/>
                <w:szCs w:val="24"/>
                <w:lang w:bidi="ar"/>
              </w:rPr>
              <w:t>Proportion mediated, 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536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Male</w:t>
            </w:r>
          </w:p>
        </w:tc>
        <w:tc>
          <w:tcPr>
            <w:tcW w:w="938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64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60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536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24"/>
                <w:sz w:val="24"/>
                <w:szCs w:val="24"/>
                <w:lang w:bidi="ar"/>
              </w:rPr>
              <w:t xml:space="preserve">    Total effect</w:t>
            </w:r>
          </w:p>
        </w:tc>
        <w:tc>
          <w:tcPr>
            <w:tcW w:w="938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lang w:bidi="ar"/>
              </w:rPr>
              <w:t>-0.332</w:t>
            </w:r>
          </w:p>
        </w:tc>
        <w:tc>
          <w:tcPr>
            <w:tcW w:w="1564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lang w:bidi="ar"/>
              </w:rPr>
              <w:t>(-0.763, 0.112)</w:t>
            </w:r>
          </w:p>
        </w:tc>
        <w:tc>
          <w:tcPr>
            <w:tcW w:w="960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536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24"/>
                <w:sz w:val="24"/>
                <w:szCs w:val="24"/>
                <w:lang w:bidi="ar"/>
              </w:rPr>
              <w:t xml:space="preserve">    Direct effect</w:t>
            </w:r>
          </w:p>
        </w:tc>
        <w:tc>
          <w:tcPr>
            <w:tcW w:w="938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lang w:bidi="ar"/>
              </w:rPr>
              <w:t>-0.225</w:t>
            </w:r>
          </w:p>
        </w:tc>
        <w:tc>
          <w:tcPr>
            <w:tcW w:w="1564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lang w:bidi="ar"/>
              </w:rPr>
              <w:t>(-0.640, 0.222)</w:t>
            </w:r>
          </w:p>
        </w:tc>
        <w:tc>
          <w:tcPr>
            <w:tcW w:w="960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lang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536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24"/>
                <w:sz w:val="24"/>
                <w:szCs w:val="24"/>
                <w:lang w:bidi="ar"/>
              </w:rPr>
              <w:t xml:space="preserve">    Indirect effect</w:t>
            </w:r>
          </w:p>
        </w:tc>
        <w:tc>
          <w:tcPr>
            <w:tcW w:w="938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lang w:bidi="ar"/>
              </w:rPr>
              <w:t>-0.107</w:t>
            </w:r>
          </w:p>
        </w:tc>
        <w:tc>
          <w:tcPr>
            <w:tcW w:w="1564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lang w:bidi="ar"/>
              </w:rPr>
              <w:t>(-0.271, 0.008)</w:t>
            </w:r>
          </w:p>
        </w:tc>
        <w:tc>
          <w:tcPr>
            <w:tcW w:w="960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lang w:bidi="ar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536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Female</w:t>
            </w:r>
          </w:p>
        </w:tc>
        <w:tc>
          <w:tcPr>
            <w:tcW w:w="938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64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60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536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24"/>
                <w:sz w:val="24"/>
                <w:szCs w:val="24"/>
                <w:lang w:bidi="ar"/>
              </w:rPr>
              <w:t xml:space="preserve">    Total effect</w:t>
            </w:r>
          </w:p>
        </w:tc>
        <w:tc>
          <w:tcPr>
            <w:tcW w:w="938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lang w:bidi="ar"/>
              </w:rPr>
              <w:t>-0.814</w:t>
            </w:r>
          </w:p>
        </w:tc>
        <w:tc>
          <w:tcPr>
            <w:tcW w:w="1564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lang w:bidi="ar"/>
              </w:rPr>
              <w:t>(-1.201, -0.427)</w:t>
            </w:r>
          </w:p>
        </w:tc>
        <w:tc>
          <w:tcPr>
            <w:tcW w:w="960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536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24"/>
                <w:sz w:val="24"/>
                <w:szCs w:val="24"/>
                <w:lang w:bidi="ar"/>
              </w:rPr>
              <w:t xml:space="preserve">    Direct effect</w:t>
            </w:r>
          </w:p>
        </w:tc>
        <w:tc>
          <w:tcPr>
            <w:tcW w:w="938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lang w:bidi="ar"/>
              </w:rPr>
              <w:t>-0.650</w:t>
            </w:r>
          </w:p>
        </w:tc>
        <w:tc>
          <w:tcPr>
            <w:tcW w:w="1564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lang w:bidi="ar"/>
              </w:rPr>
              <w:t>(-1.035, -0.264)</w:t>
            </w:r>
          </w:p>
        </w:tc>
        <w:tc>
          <w:tcPr>
            <w:tcW w:w="960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79.85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536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24"/>
                <w:sz w:val="24"/>
                <w:szCs w:val="24"/>
                <w:lang w:bidi="ar"/>
              </w:rPr>
              <w:t xml:space="preserve">    Indirect effect</w:t>
            </w:r>
          </w:p>
        </w:tc>
        <w:tc>
          <w:tcPr>
            <w:tcW w:w="938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lang w:bidi="ar"/>
              </w:rPr>
              <w:t>-0.164</w:t>
            </w:r>
          </w:p>
        </w:tc>
        <w:tc>
          <w:tcPr>
            <w:tcW w:w="1564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lang w:bidi="ar"/>
              </w:rPr>
              <w:t>(-0.306, -0.023)</w:t>
            </w:r>
          </w:p>
        </w:tc>
        <w:tc>
          <w:tcPr>
            <w:tcW w:w="960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20.15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536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  <w:t>Protopathic bias</w:t>
            </w:r>
          </w:p>
        </w:tc>
        <w:tc>
          <w:tcPr>
            <w:tcW w:w="938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64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60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536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24"/>
                <w:sz w:val="24"/>
                <w:szCs w:val="24"/>
                <w:lang w:bidi="ar"/>
              </w:rPr>
              <w:t xml:space="preserve">    Total effect</w:t>
            </w:r>
          </w:p>
        </w:tc>
        <w:tc>
          <w:tcPr>
            <w:tcW w:w="938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lang w:bidi="ar"/>
              </w:rPr>
              <w:t>-0.654</w:t>
            </w:r>
          </w:p>
        </w:tc>
        <w:tc>
          <w:tcPr>
            <w:tcW w:w="1564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lang w:bidi="ar"/>
              </w:rPr>
              <w:t>(-0.955, -0.340)</w:t>
            </w:r>
          </w:p>
        </w:tc>
        <w:tc>
          <w:tcPr>
            <w:tcW w:w="960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536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24"/>
                <w:sz w:val="24"/>
                <w:szCs w:val="24"/>
                <w:lang w:bidi="ar"/>
              </w:rPr>
              <w:t xml:space="preserve">    Direct effect</w:t>
            </w:r>
          </w:p>
        </w:tc>
        <w:tc>
          <w:tcPr>
            <w:tcW w:w="938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lang w:bidi="ar"/>
              </w:rPr>
              <w:t>-0.552</w:t>
            </w:r>
          </w:p>
        </w:tc>
        <w:tc>
          <w:tcPr>
            <w:tcW w:w="1564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lang w:bidi="ar"/>
              </w:rPr>
              <w:t>(-0.847, -0.259)</w:t>
            </w:r>
          </w:p>
        </w:tc>
        <w:tc>
          <w:tcPr>
            <w:tcW w:w="960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lang w:bidi="ar"/>
              </w:rPr>
              <w:t>84.40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536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24"/>
                <w:sz w:val="24"/>
                <w:szCs w:val="24"/>
                <w:lang w:bidi="ar"/>
              </w:rPr>
              <w:t xml:space="preserve">    Indirect effect</w:t>
            </w:r>
          </w:p>
        </w:tc>
        <w:tc>
          <w:tcPr>
            <w:tcW w:w="938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lang w:bidi="ar"/>
              </w:rPr>
              <w:t>-0.102</w:t>
            </w:r>
          </w:p>
        </w:tc>
        <w:tc>
          <w:tcPr>
            <w:tcW w:w="1564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lang w:bidi="ar"/>
              </w:rPr>
              <w:t>(-0.214, -0.018)</w:t>
            </w:r>
          </w:p>
        </w:tc>
        <w:tc>
          <w:tcPr>
            <w:tcW w:w="960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lang w:bidi="ar"/>
              </w:rPr>
              <w:t>15.60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536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24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24"/>
                <w:sz w:val="24"/>
                <w:szCs w:val="24"/>
                <w:lang w:bidi="ar"/>
              </w:rPr>
              <w:t>Without CAD</w:t>
            </w:r>
          </w:p>
        </w:tc>
        <w:tc>
          <w:tcPr>
            <w:tcW w:w="938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64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60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536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24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24"/>
                <w:sz w:val="24"/>
                <w:szCs w:val="24"/>
                <w:lang w:bidi="ar"/>
              </w:rPr>
              <w:t xml:space="preserve">    Total effect</w:t>
            </w:r>
          </w:p>
        </w:tc>
        <w:tc>
          <w:tcPr>
            <w:tcW w:w="938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lang w:bidi="ar"/>
              </w:rPr>
              <w:t>-0.374</w:t>
            </w:r>
          </w:p>
        </w:tc>
        <w:tc>
          <w:tcPr>
            <w:tcW w:w="1564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lang w:bidi="ar"/>
              </w:rPr>
              <w:t>(-0.722, -0.037)</w:t>
            </w:r>
          </w:p>
        </w:tc>
        <w:tc>
          <w:tcPr>
            <w:tcW w:w="960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536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24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24"/>
                <w:sz w:val="24"/>
                <w:szCs w:val="24"/>
                <w:lang w:bidi="ar"/>
              </w:rPr>
              <w:t xml:space="preserve">    Direct effect</w:t>
            </w:r>
          </w:p>
        </w:tc>
        <w:tc>
          <w:tcPr>
            <w:tcW w:w="938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lang w:bidi="ar"/>
              </w:rPr>
              <w:t>-0.188</w:t>
            </w:r>
          </w:p>
        </w:tc>
        <w:tc>
          <w:tcPr>
            <w:tcW w:w="1564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lang w:bidi="ar"/>
              </w:rPr>
              <w:t>(-0.548, 0.125)</w:t>
            </w:r>
          </w:p>
        </w:tc>
        <w:tc>
          <w:tcPr>
            <w:tcW w:w="960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lang w:bidi="ar"/>
              </w:rPr>
              <w:t>50.27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536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24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24"/>
                <w:sz w:val="24"/>
                <w:szCs w:val="24"/>
                <w:lang w:bidi="ar"/>
              </w:rPr>
              <w:t xml:space="preserve">    Indirect effect</w:t>
            </w:r>
          </w:p>
        </w:tc>
        <w:tc>
          <w:tcPr>
            <w:tcW w:w="938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lang w:bidi="ar"/>
              </w:rPr>
              <w:t>-0.186</w:t>
            </w:r>
          </w:p>
        </w:tc>
        <w:tc>
          <w:tcPr>
            <w:tcW w:w="1564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lang w:bidi="ar"/>
              </w:rPr>
              <w:t>(-0.329, -0.058)</w:t>
            </w:r>
          </w:p>
        </w:tc>
        <w:tc>
          <w:tcPr>
            <w:tcW w:w="960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lang w:bidi="ar"/>
              </w:rPr>
              <w:t>49.73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536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24"/>
                <w:sz w:val="24"/>
                <w:szCs w:val="24"/>
                <w:lang w:bidi="ar"/>
              </w:rPr>
              <w:t>Without hypertension</w:t>
            </w:r>
          </w:p>
        </w:tc>
        <w:tc>
          <w:tcPr>
            <w:tcW w:w="938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64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60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536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24"/>
                <w:sz w:val="24"/>
                <w:szCs w:val="24"/>
                <w:lang w:bidi="ar"/>
              </w:rPr>
              <w:t xml:space="preserve">    Total effect</w:t>
            </w:r>
          </w:p>
        </w:tc>
        <w:tc>
          <w:tcPr>
            <w:tcW w:w="938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lang w:bidi="ar"/>
              </w:rPr>
              <w:t>-0.525</w:t>
            </w:r>
          </w:p>
        </w:tc>
        <w:tc>
          <w:tcPr>
            <w:tcW w:w="1564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lang w:bidi="ar"/>
              </w:rPr>
              <w:t>(-0.971, -0.068)</w:t>
            </w:r>
          </w:p>
        </w:tc>
        <w:tc>
          <w:tcPr>
            <w:tcW w:w="960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536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24"/>
                <w:sz w:val="24"/>
                <w:szCs w:val="24"/>
                <w:lang w:bidi="ar"/>
              </w:rPr>
              <w:t xml:space="preserve">    Direct effect</w:t>
            </w:r>
          </w:p>
        </w:tc>
        <w:tc>
          <w:tcPr>
            <w:tcW w:w="938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lang w:bidi="ar"/>
              </w:rPr>
              <w:t>-0.281</w:t>
            </w:r>
          </w:p>
        </w:tc>
        <w:tc>
          <w:tcPr>
            <w:tcW w:w="1564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lang w:bidi="ar"/>
              </w:rPr>
              <w:t>(-0.779, 0.132)</w:t>
            </w:r>
          </w:p>
        </w:tc>
        <w:tc>
          <w:tcPr>
            <w:tcW w:w="960" w:type="pct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lang w:bidi="ar"/>
              </w:rPr>
              <w:t>53.52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24"/>
                <w:sz w:val="24"/>
                <w:szCs w:val="24"/>
                <w:lang w:bidi="ar"/>
              </w:rPr>
              <w:t xml:space="preserve">    Indirect effect</w:t>
            </w:r>
          </w:p>
        </w:tc>
        <w:tc>
          <w:tcPr>
            <w:tcW w:w="93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lang w:bidi="ar"/>
              </w:rPr>
              <w:t>-0.244</w:t>
            </w:r>
          </w:p>
        </w:tc>
        <w:tc>
          <w:tcPr>
            <w:tcW w:w="156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lang w:bidi="ar"/>
              </w:rPr>
              <w:t>-0.445, -0.048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96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lang w:bidi="ar"/>
              </w:rPr>
              <w:t>46.48</w:t>
            </w:r>
          </w:p>
        </w:tc>
      </w:tr>
    </w:tbl>
    <w:p>
      <w:p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eastAsia="等线" w:cs="Times New Roman"/>
          <w:color w:val="auto"/>
          <w:sz w:val="24"/>
          <w:szCs w:val="24"/>
          <w:lang w:bidi="ar"/>
        </w:rPr>
        <w:t xml:space="preserve">Adjusted for age, gender, HbA1c, FPG, BMI, TG, TC, smoke, alcohol, hypoglycemic therapy (OAD, Insulin, OAD+insulin), medications (ACEI/ARB, statin, antiplatelet), hypertension, CAD, diabetic peripheral neuropathy), duration of diabetes mellitus. </w:t>
      </w:r>
      <w:r>
        <w:rPr>
          <w:rFonts w:hint="eastAsia" w:ascii="Times New Roman" w:hAnsi="Times New Roman" w:eastAsia="等线" w:cs="Times New Roman"/>
          <w:color w:val="auto"/>
          <w:sz w:val="24"/>
          <w:szCs w:val="24"/>
          <w:lang w:bidi="ar"/>
        </w:rPr>
        <w:t xml:space="preserve">T2DM, type 2 diabetes mellitus; </w:t>
      </w:r>
      <w:r>
        <w:rPr>
          <w:rFonts w:ascii="Times New Roman" w:hAnsi="Times New Roman" w:eastAsia="等线" w:cs="Times New Roman"/>
          <w:color w:val="auto"/>
          <w:sz w:val="24"/>
          <w:szCs w:val="24"/>
          <w:lang w:bidi="ar"/>
        </w:rPr>
        <w:t xml:space="preserve">HRV burden, heart rate variability burden; HbA1c, glycosylated hemoglobin; FPG, fasting plasma glucose; BMI, body mass index; TG, triglyceride; TC, total cholesterol; OHA, oral antidiabetic drug; ACEI, angiotensin-converting enzyme inhibitors; ARB, angiotension receptor blocker; CAD, coronary artery disease. CI, confidence interval. </w:t>
      </w:r>
    </w:p>
    <w:p>
      <w:pPr>
        <w:rPr>
          <w:rFonts w:ascii="Times New Roman" w:hAnsi="Times New Roman" w:cs="Times New Roman"/>
          <w:color w:val="auto"/>
          <w:sz w:val="24"/>
          <w:szCs w:val="24"/>
        </w:rPr>
      </w:pPr>
    </w:p>
    <w:p>
      <w:p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Supplemental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Figure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1</w:t>
      </w:r>
      <w:bookmarkStart w:id="2" w:name="_GoBack"/>
      <w:bookmarkEnd w:id="2"/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.</w:t>
      </w:r>
      <w:r>
        <w:rPr>
          <w:rFonts w:ascii="Times New Roman" w:hAnsi="Times New Roman" w:eastAsia="等线" w:cs="Times New Roman"/>
          <w:b/>
          <w:bCs/>
          <w:color w:val="auto"/>
          <w:sz w:val="24"/>
          <w:szCs w:val="24"/>
          <w:lang w:bidi="ar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Confirmatory factor analysis model. </w:t>
      </w:r>
    </w:p>
    <w:p>
      <w:p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drawing>
          <wp:inline distT="0" distB="0" distL="0" distR="0">
            <wp:extent cx="3747135" cy="2083435"/>
            <wp:effectExtent l="9525" t="9525" r="22860" b="10160"/>
            <wp:docPr id="106674048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740480" name="图片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48160" cy="20845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等线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HRV, heart rate variability; </w:t>
      </w:r>
      <w:r>
        <w:rPr>
          <w:rFonts w:ascii="Times New Roman" w:hAnsi="Times New Roman" w:eastAsia="等线" w:cs="Times New Roman"/>
          <w:color w:val="auto"/>
          <w:sz w:val="24"/>
          <w:szCs w:val="24"/>
        </w:rPr>
        <w:t xml:space="preserve">SDNN, SD of all </w:t>
      </w:r>
      <w:r>
        <w:rPr>
          <w:rFonts w:ascii="Times New Roman" w:hAnsi="Times New Roman" w:eastAsia="宋体" w:cs="Times New Roman"/>
          <w:color w:val="auto"/>
          <w:sz w:val="24"/>
          <w:szCs w:val="24"/>
          <w:lang w:bidi="ar"/>
        </w:rPr>
        <w:t>normal to normal</w:t>
      </w:r>
      <w:r>
        <w:rPr>
          <w:rFonts w:ascii="Times New Roman" w:hAnsi="Times New Roman" w:eastAsia="等线" w:cs="Times New Roman"/>
          <w:color w:val="auto"/>
          <w:sz w:val="24"/>
          <w:szCs w:val="24"/>
        </w:rPr>
        <w:t xml:space="preserve"> intervals; SDNN index, the mean value of the SD of all the normal </w:t>
      </w:r>
      <w:r>
        <w:rPr>
          <w:rFonts w:ascii="Times New Roman" w:hAnsi="Times New Roman" w:eastAsia="宋体" w:cs="Times New Roman"/>
          <w:color w:val="auto"/>
          <w:sz w:val="24"/>
          <w:szCs w:val="24"/>
          <w:lang w:bidi="ar"/>
        </w:rPr>
        <w:t>normal to normal</w:t>
      </w:r>
      <w:r>
        <w:rPr>
          <w:rFonts w:ascii="Times New Roman" w:hAnsi="Times New Roman" w:eastAsia="等线" w:cs="Times New Roman"/>
          <w:color w:val="auto"/>
          <w:sz w:val="24"/>
          <w:szCs w:val="24"/>
        </w:rPr>
        <w:t xml:space="preserve"> intervals in every 5-minute interval within 24 hours; rMSSD, the root mean square of successive differences; pNN50, the number of pairs of adjacent </w:t>
      </w:r>
      <w:r>
        <w:rPr>
          <w:rFonts w:ascii="Times New Roman" w:hAnsi="Times New Roman" w:eastAsia="宋体" w:cs="Times New Roman"/>
          <w:color w:val="auto"/>
          <w:sz w:val="24"/>
          <w:szCs w:val="24"/>
          <w:lang w:bidi="ar"/>
        </w:rPr>
        <w:t>normal to normal</w:t>
      </w:r>
      <w:r>
        <w:rPr>
          <w:rFonts w:ascii="Times New Roman" w:hAnsi="Times New Roman" w:eastAsia="等线" w:cs="Times New Roman"/>
          <w:color w:val="auto"/>
          <w:sz w:val="24"/>
          <w:szCs w:val="24"/>
        </w:rPr>
        <w:t xml:space="preserve"> intervals differing by &gt;50 ms in the entire recording divided by the total number of </w:t>
      </w:r>
      <w:r>
        <w:rPr>
          <w:rFonts w:ascii="Times New Roman" w:hAnsi="Times New Roman" w:eastAsia="宋体" w:cs="Times New Roman"/>
          <w:color w:val="auto"/>
          <w:sz w:val="24"/>
          <w:szCs w:val="24"/>
          <w:lang w:bidi="ar"/>
        </w:rPr>
        <w:t>normal to normal</w:t>
      </w:r>
      <w:r>
        <w:rPr>
          <w:rFonts w:ascii="Times New Roman" w:hAnsi="Times New Roman" w:eastAsia="等线" w:cs="Times New Roman"/>
          <w:color w:val="auto"/>
          <w:sz w:val="24"/>
          <w:szCs w:val="24"/>
        </w:rPr>
        <w:t xml:space="preserve"> intervals.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DgxNTA3OWNhZTNkMjY1YTg2MTkwNzczODM5YzZlOTEifQ=="/>
  </w:docVars>
  <w:rsids>
    <w:rsidRoot w:val="00E47C73"/>
    <w:rsid w:val="00121BD7"/>
    <w:rsid w:val="00293F69"/>
    <w:rsid w:val="003F5E1E"/>
    <w:rsid w:val="004E2360"/>
    <w:rsid w:val="0080700A"/>
    <w:rsid w:val="0092040C"/>
    <w:rsid w:val="00BC5D40"/>
    <w:rsid w:val="00BF56BD"/>
    <w:rsid w:val="00E47C73"/>
    <w:rsid w:val="00FF7879"/>
    <w:rsid w:val="0241242E"/>
    <w:rsid w:val="07126147"/>
    <w:rsid w:val="09016792"/>
    <w:rsid w:val="0BC773CD"/>
    <w:rsid w:val="12696862"/>
    <w:rsid w:val="12E27315"/>
    <w:rsid w:val="19D84FCE"/>
    <w:rsid w:val="1AA80C49"/>
    <w:rsid w:val="1DCE22F6"/>
    <w:rsid w:val="1E3E4DEB"/>
    <w:rsid w:val="1EB22C36"/>
    <w:rsid w:val="2B922B7C"/>
    <w:rsid w:val="2C7F091E"/>
    <w:rsid w:val="302B69D3"/>
    <w:rsid w:val="30717AD3"/>
    <w:rsid w:val="32AF5B7B"/>
    <w:rsid w:val="45B12C7B"/>
    <w:rsid w:val="48212048"/>
    <w:rsid w:val="57233025"/>
    <w:rsid w:val="5A575C7A"/>
    <w:rsid w:val="5A897643"/>
    <w:rsid w:val="5E980273"/>
    <w:rsid w:val="61791804"/>
    <w:rsid w:val="61FB0E26"/>
    <w:rsid w:val="669D7237"/>
    <w:rsid w:val="66DD20EA"/>
    <w:rsid w:val="6C1256EA"/>
    <w:rsid w:val="6E2E67BF"/>
    <w:rsid w:val="73A645B5"/>
    <w:rsid w:val="74FC2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3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815</Words>
  <Characters>4486</Characters>
  <Lines>24</Lines>
  <Paragraphs>7</Paragraphs>
  <TotalTime>4</TotalTime>
  <ScaleCrop>false</ScaleCrop>
  <LinksUpToDate>false</LinksUpToDate>
  <CharactersWithSpaces>5260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2024-02-21T16:06:00Z</dcterms:created>
  <dc:creator>Ouyang xiaolan</dc:creator>
  <cp:lastModifiedBy>BLUE</cp:lastModifiedBy>
  <dcterms:modified xsi:type="dcterms:W3CDTF">2024-07-02T06:22:12Z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1E6235A9F56F40E388D2415B609DE232_12</vt:lpwstr>
  </property>
</Properties>
</file>