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7A2282" w14:textId="4A100D6B" w:rsidR="00D202B1" w:rsidRDefault="00D202B1"/>
    <w:p w14:paraId="7448258D" w14:textId="77777777" w:rsidR="00537C9F" w:rsidRDefault="00537C9F" w:rsidP="00537C9F">
      <w:pPr>
        <w:spacing w:line="48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E31FE">
        <w:rPr>
          <w:rFonts w:ascii="Arial" w:hAnsi="Arial" w:cs="Arial"/>
          <w:b/>
          <w:bCs/>
          <w:sz w:val="24"/>
          <w:szCs w:val="24"/>
          <w:lang w:val="en-GB"/>
        </w:rPr>
        <w:t xml:space="preserve">Supplemental </w:t>
      </w:r>
      <w:r w:rsidRPr="002E31FE">
        <w:rPr>
          <w:rFonts w:ascii="Arial" w:hAnsi="Arial" w:cs="Arial"/>
          <w:b/>
          <w:sz w:val="24"/>
          <w:szCs w:val="24"/>
          <w:shd w:val="clear" w:color="auto" w:fill="FFFFFF"/>
          <w:lang w:val="en-GB"/>
        </w:rPr>
        <w:t>Table S</w:t>
      </w:r>
      <w:r>
        <w:rPr>
          <w:rFonts w:ascii="Arial" w:hAnsi="Arial" w:cs="Arial"/>
          <w:b/>
          <w:sz w:val="24"/>
          <w:szCs w:val="24"/>
          <w:shd w:val="clear" w:color="auto" w:fill="FFFFFF"/>
          <w:lang w:val="en-GB"/>
        </w:rPr>
        <w:t>1</w:t>
      </w:r>
      <w:r w:rsidRPr="002E31FE">
        <w:rPr>
          <w:rFonts w:ascii="Arial" w:hAnsi="Arial" w:cs="Arial"/>
          <w:b/>
          <w:sz w:val="24"/>
          <w:szCs w:val="24"/>
          <w:shd w:val="clear" w:color="auto" w:fill="FFFFFF"/>
          <w:lang w:val="en-GB"/>
        </w:rPr>
        <w:t>.</w:t>
      </w:r>
      <w:r>
        <w:rPr>
          <w:rFonts w:ascii="Arial" w:hAnsi="Arial" w:cs="Arial"/>
          <w:b/>
          <w:sz w:val="24"/>
          <w:szCs w:val="24"/>
          <w:shd w:val="clear" w:color="auto" w:fill="FFFFFF"/>
          <w:lang w:val="en-GB"/>
        </w:rPr>
        <w:t xml:space="preserve"> </w:t>
      </w:r>
      <w:r w:rsidRPr="00062EE8">
        <w:rPr>
          <w:rFonts w:ascii="Arial" w:hAnsi="Arial" w:cs="Arial"/>
          <w:sz w:val="24"/>
          <w:szCs w:val="24"/>
          <w:lang w:val="en-GB"/>
        </w:rPr>
        <w:t xml:space="preserve">Univariate analyses with the hazard ratios (HR) for each variable regarding the incidence of cardiovascular events over time. 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3545"/>
        <w:gridCol w:w="2306"/>
        <w:gridCol w:w="1663"/>
        <w:gridCol w:w="990"/>
      </w:tblGrid>
      <w:tr w:rsidR="00537C9F" w:rsidRPr="00537C9F" w14:paraId="3828A532" w14:textId="77777777" w:rsidTr="002D7365">
        <w:tc>
          <w:tcPr>
            <w:tcW w:w="208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ED57AAD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ECFFA6B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Univariate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analysis</w:t>
            </w:r>
            <w:proofErr w:type="spellEnd"/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C69DDB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DA2C33D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37C9F" w:rsidRPr="00537C9F" w14:paraId="2EBA67B2" w14:textId="77777777" w:rsidTr="002D7365"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56452F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A8E3A2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Hazard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Ratio</w:t>
            </w:r>
            <w:r w:rsidRPr="00537C9F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crude</w:t>
            </w:r>
            <w:proofErr w:type="spellEnd"/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31833D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>95% CI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847648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>p-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value</w:t>
            </w:r>
            <w:proofErr w:type="spellEnd"/>
          </w:p>
        </w:tc>
      </w:tr>
      <w:tr w:rsidR="00537C9F" w:rsidRPr="00537C9F" w14:paraId="621E042A" w14:textId="77777777" w:rsidTr="002D7365">
        <w:tc>
          <w:tcPr>
            <w:tcW w:w="208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028F2B4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ST1RE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DF3C87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C5E7EB6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02FBACD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37C9F" w:rsidRPr="00537C9F" w14:paraId="00F31427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92BA37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 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Moderate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Low</w:t>
            </w:r>
            <w:proofErr w:type="spellEnd"/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FEAC9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8.66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300A2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2.90 – 25.80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033AC9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2F41C099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58DBA3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  High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Low</w:t>
            </w:r>
            <w:proofErr w:type="spellEnd"/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EEA9E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52.02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F9A07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18.60 – 145.51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8C8E73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4A6D0C15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8679DD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Age 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DC351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1.08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3ABE7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1.05 – 1.12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A98C02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59B4B119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755612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Age (≥40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&lt;40 years)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73E59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9.08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3B2DF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4.03 – 20.45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5F3658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4411BC0A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FAF1D7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Sex (male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female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1C6BD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1.19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6213C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0.53 – 2.64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9DE974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0.677</w:t>
            </w:r>
          </w:p>
        </w:tc>
      </w:tr>
      <w:tr w:rsidR="00537C9F" w:rsidRPr="00537C9F" w14:paraId="3BCCB8A7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67AE9C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Race (white vs non-white)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A294D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1.30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35448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0.56 – 3.03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9337B3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0.546</w:t>
            </w:r>
          </w:p>
        </w:tc>
      </w:tr>
      <w:tr w:rsidR="00537C9F" w:rsidRPr="00537C9F" w14:paraId="5578F092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D4A45A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Early onset T1D (≤10 vs &gt;10 years)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B1E7AF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0.84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12205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0.37 – 1.91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701F98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0.671</w:t>
            </w:r>
          </w:p>
        </w:tc>
      </w:tr>
      <w:tr w:rsidR="00537C9F" w:rsidRPr="00537C9F" w14:paraId="51A9C044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B1EF87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Diabetes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duration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(years)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3EC36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1.12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DAB9C1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1.07 – 1.16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150691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4E608BE8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41D780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BMI (kg/m</w:t>
            </w:r>
            <w:r w:rsidRPr="00537C9F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2</w:t>
            </w:r>
            <w:r w:rsidRPr="00537C9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F551C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1.01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FC22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0.91 – 1.12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D8DB44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0.874</w:t>
            </w:r>
          </w:p>
        </w:tc>
      </w:tr>
      <w:tr w:rsidR="00537C9F" w:rsidRPr="00537C9F" w14:paraId="0C529DB8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E412B4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Waist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circumference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(cm)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AE71EA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1.02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54CE6A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0.98 – 1.06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7F7905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0.418</w:t>
            </w:r>
          </w:p>
        </w:tc>
      </w:tr>
      <w:tr w:rsidR="00537C9F" w:rsidRPr="00537C9F" w14:paraId="5D07EEBB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795AB5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Waist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circumference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>/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height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ratio</w:t>
            </w:r>
            <w:proofErr w:type="spellEnd"/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99BAC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1.04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A03DA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0.98 – 1.11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697707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0.213</w:t>
            </w:r>
          </w:p>
        </w:tc>
      </w:tr>
      <w:tr w:rsidR="00537C9F" w:rsidRPr="00537C9F" w14:paraId="5AFA3EFB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5E55B3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Current smokers (yes vs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0A7EB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2.10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ACA971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0.62 – 7.08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ED4844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0.231</w:t>
            </w:r>
          </w:p>
        </w:tc>
      </w:tr>
      <w:tr w:rsidR="00537C9F" w:rsidRPr="00537C9F" w14:paraId="5B483D2D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4EFAB3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Alcohol intake</w:t>
            </w:r>
          </w:p>
          <w:p w14:paraId="69F484DC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  1-20 units/week vs 0 units/week</w:t>
            </w:r>
          </w:p>
          <w:p w14:paraId="6499D1F9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  &gt;20 units/week vs 0 units/week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19266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6BE4362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1.11</w:t>
            </w:r>
          </w:p>
          <w:p w14:paraId="2CFE8176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6.14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B9591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39CB826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0.24 – 5.13</w:t>
            </w:r>
          </w:p>
          <w:p w14:paraId="5E518B5B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1.30 – 28.91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5BFE24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931B458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0.896</w:t>
            </w:r>
          </w:p>
          <w:p w14:paraId="62E08B2E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0.022</w:t>
            </w:r>
          </w:p>
        </w:tc>
      </w:tr>
      <w:tr w:rsidR="00537C9F" w:rsidRPr="00537C9F" w14:paraId="25472E02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5FBC8A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Physical activity ≥ 3.5h/week (yes vs no) 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D0E82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0.15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66065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0.02 – 1.12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0E14F7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0.064</w:t>
            </w:r>
          </w:p>
        </w:tc>
      </w:tr>
      <w:tr w:rsidR="00537C9F" w:rsidRPr="00537C9F" w14:paraId="7268A3A3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BCDA3E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Systolic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blood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pressure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(mmHg)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0D5C5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1.06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9CF51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1.04 – 1.08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741C26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66F5ACF1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5A8925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Diastolic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blood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pressure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(mmHg)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4C1DB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1.08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1BF38F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1.05 – 1.12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5B69C5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3F3C2174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8757C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Hypertension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C01161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6.78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678F7B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2.96 – 15.51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821F8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0FC1D738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DC2A73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Dyslipidemia 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551FF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8.29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75A2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3.09 – 22.23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0AB4AB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321D53FC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6A43AE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color w:val="383636"/>
                <w:sz w:val="20"/>
                <w:szCs w:val="20"/>
                <w:shd w:val="clear" w:color="auto" w:fill="FFFFFF"/>
                <w:vertAlign w:val="superscript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Family history of premature CVD</w:t>
            </w:r>
            <w:r w:rsidRPr="00537C9F">
              <w:rPr>
                <w:rFonts w:ascii="Arial" w:hAnsi="Arial" w:cs="Arial"/>
                <w:bCs/>
                <w:color w:val="383636"/>
                <w:sz w:val="20"/>
                <w:szCs w:val="20"/>
                <w:shd w:val="clear" w:color="auto" w:fill="FFFFFF"/>
                <w:vertAlign w:val="superscript"/>
                <w:lang w:val="en-GB"/>
              </w:rPr>
              <w:t>§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B336D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5.25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4C8F2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1.79 – 15.37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1CC779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0.002</w:t>
            </w:r>
          </w:p>
        </w:tc>
      </w:tr>
      <w:tr w:rsidR="00537C9F" w:rsidRPr="00537C9F" w14:paraId="7A0B26C3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2BBB19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 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B56BA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F08B2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179064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37C9F" w:rsidRPr="00537C9F" w14:paraId="2FBA9679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DB1043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CSII therapy, (yes vs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0B92EA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2.07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0FD3CF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0.71 – 6.07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3D538A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0.183</w:t>
            </w:r>
          </w:p>
        </w:tc>
      </w:tr>
      <w:tr w:rsidR="00537C9F" w:rsidRPr="00537C9F" w14:paraId="442F9D66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2B796C" w14:textId="1952BEC6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Insulin dose (I</w:t>
            </w:r>
            <w:r w:rsidR="00EF5926">
              <w:rPr>
                <w:rFonts w:ascii="Arial" w:hAnsi="Arial" w:cs="Arial"/>
                <w:bCs/>
                <w:sz w:val="20"/>
                <w:szCs w:val="20"/>
                <w:lang w:val="en-GB"/>
              </w:rPr>
              <w:t>U</w:t>
            </w: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/kg/day)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DDF96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0.60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B6B89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0.12 – 3.00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D46B92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0.532</w:t>
            </w:r>
          </w:p>
        </w:tc>
      </w:tr>
      <w:tr w:rsidR="00537C9F" w:rsidRPr="00537C9F" w14:paraId="7525CEC7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63854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Diabetic kidney disease (yes vs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9BEC6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2.22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C8BE86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1.00 – 4.95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4200CE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0.051</w:t>
            </w:r>
          </w:p>
        </w:tc>
      </w:tr>
      <w:tr w:rsidR="00537C9F" w:rsidRPr="00537C9F" w14:paraId="75E21181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7A9085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Retinopathy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070B4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7.37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481E7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2.94 – 18.48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C4E716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06F30A74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C66BE2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Peripheral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neuropathy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25BE3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9.98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FEA98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4.18 – 23.81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BA9BAC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58A9EC58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E4A616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Autonomic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neuropathy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C4585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3.88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7D938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1.70 – 8.87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90F23D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0.001</w:t>
            </w:r>
          </w:p>
        </w:tc>
      </w:tr>
      <w:tr w:rsidR="00537C9F" w:rsidRPr="00537C9F" w14:paraId="46567CE8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CDDA3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Orthostatic hypotension, (yes vs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2F7EB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3.17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1E38A2" w14:textId="77777777" w:rsidR="00537C9F" w:rsidRPr="00537C9F" w:rsidRDefault="00537C9F" w:rsidP="002D7365">
            <w:pPr>
              <w:tabs>
                <w:tab w:val="left" w:pos="1367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1.22 – 8.24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6F7132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0.031</w:t>
            </w:r>
          </w:p>
        </w:tc>
      </w:tr>
      <w:tr w:rsidR="00537C9F" w:rsidRPr="00537C9F" w14:paraId="0C9F9217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029FC7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HbA1c (%)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B88AC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1.14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B0ED4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0.93 – 1.40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8C8A39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0.210</w:t>
            </w:r>
          </w:p>
        </w:tc>
      </w:tr>
      <w:tr w:rsidR="00537C9F" w:rsidRPr="00537C9F" w14:paraId="78F84961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7D577C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Total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(mg/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dL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92117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1.01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B46E1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1.00 – 1.02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EFAE24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272D3E20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24182E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LDL-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(mg/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dL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C085F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1.02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E0F641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1.01 – 1.03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53F00E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0.001</w:t>
            </w:r>
          </w:p>
        </w:tc>
      </w:tr>
      <w:tr w:rsidR="00537C9F" w:rsidRPr="00537C9F" w14:paraId="5AE51566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B520D4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HDL-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(mg/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dL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B9184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1.03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E4CBD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1.01 – 1.05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6C9035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0.017</w:t>
            </w:r>
          </w:p>
        </w:tc>
      </w:tr>
      <w:tr w:rsidR="00537C9F" w:rsidRPr="00537C9F" w14:paraId="474FCD55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72C339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Triglycerides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(mg/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dL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B81B0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1.01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F1B3A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1.01 – 1.02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862540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3854C35D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8521D9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eGFR-CKD-EPI (ml/min/1.73m</w:t>
            </w:r>
            <w:r w:rsidRPr="00537C9F">
              <w:rPr>
                <w:rFonts w:ascii="Arial" w:hAnsi="Arial" w:cs="Arial"/>
                <w:bCs/>
                <w:sz w:val="20"/>
                <w:szCs w:val="20"/>
                <w:vertAlign w:val="superscript"/>
                <w:lang w:val="en-GB"/>
              </w:rPr>
              <w:t>2</w:t>
            </w: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70783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0.96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C0D5E1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0.95 – 0.98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DA1B43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0ECBA8D4" w14:textId="77777777" w:rsidTr="002D7365">
        <w:tc>
          <w:tcPr>
            <w:tcW w:w="2084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26D7A173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Albuminuria category</w:t>
            </w:r>
          </w:p>
          <w:p w14:paraId="39598A60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  A2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A1 </w:t>
            </w:r>
          </w:p>
        </w:tc>
        <w:tc>
          <w:tcPr>
            <w:tcW w:w="1356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3B1E574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607D0F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1.27</w:t>
            </w:r>
          </w:p>
        </w:tc>
        <w:tc>
          <w:tcPr>
            <w:tcW w:w="978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44E8126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616091A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0.36 – 4.47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6667F991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DDE28AF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0.706</w:t>
            </w:r>
          </w:p>
        </w:tc>
      </w:tr>
      <w:tr w:rsidR="00537C9F" w:rsidRPr="00537C9F" w14:paraId="41897664" w14:textId="77777777" w:rsidTr="002D7365">
        <w:tc>
          <w:tcPr>
            <w:tcW w:w="2084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36188C08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  A3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A1</w:t>
            </w:r>
          </w:p>
        </w:tc>
        <w:tc>
          <w:tcPr>
            <w:tcW w:w="1356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66C0DF8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8.55</w:t>
            </w:r>
          </w:p>
        </w:tc>
        <w:tc>
          <w:tcPr>
            <w:tcW w:w="978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  <w:vAlign w:val="center"/>
          </w:tcPr>
          <w:p w14:paraId="104C28F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3.52 – 20.79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54CC6D49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2882E37D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8FB13F" w14:textId="48213EFF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Antidiabetic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drugs</w:t>
            </w:r>
            <w:proofErr w:type="spellEnd"/>
            <w:r w:rsidR="00BE76C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37C9F">
              <w:rPr>
                <w:rFonts w:ascii="Arial" w:hAnsi="Arial" w:cs="Arial"/>
                <w:bCs/>
                <w:sz w:val="20"/>
                <w:szCs w:val="20"/>
              </w:rPr>
              <w:t>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8F8C5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0.84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079FE6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0.25 – 2.81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8E2088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0.776</w:t>
            </w:r>
          </w:p>
        </w:tc>
      </w:tr>
      <w:tr w:rsidR="00537C9F" w:rsidRPr="00537C9F" w14:paraId="174BB1DB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5E0355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Statins 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2B44F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3.57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BC322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1.58 – 8.04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DC30DF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0.002</w:t>
            </w:r>
          </w:p>
        </w:tc>
      </w:tr>
      <w:tr w:rsidR="00537C9F" w:rsidRPr="00537C9F" w14:paraId="7D740690" w14:textId="77777777" w:rsidTr="002D7365"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F2E60A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Antihypertensive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yes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Cs/>
                <w:sz w:val="20"/>
                <w:szCs w:val="20"/>
              </w:rPr>
              <w:t>vs</w:t>
            </w:r>
            <w:proofErr w:type="spellEnd"/>
            <w:r w:rsidRPr="00537C9F">
              <w:rPr>
                <w:rFonts w:ascii="Arial" w:hAnsi="Arial" w:cs="Arial"/>
                <w:bCs/>
                <w:sz w:val="20"/>
                <w:szCs w:val="20"/>
              </w:rPr>
              <w:t xml:space="preserve"> no)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6FF26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5.80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38BC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2.30 – 14.64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0503EB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&lt;0.001</w:t>
            </w:r>
          </w:p>
        </w:tc>
      </w:tr>
      <w:tr w:rsidR="00537C9F" w:rsidRPr="00537C9F" w14:paraId="6211CE48" w14:textId="77777777" w:rsidTr="002D7365"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2CCB5B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  <w:lang w:val="en-GB"/>
              </w:rPr>
              <w:t>Aspirin use (yes vs no)</w:t>
            </w: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824471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3.76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88697B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1.49 – 9.50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4389FF" w14:textId="77777777" w:rsidR="00537C9F" w:rsidRPr="00537C9F" w:rsidRDefault="00537C9F" w:rsidP="002D7365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Cs/>
                <w:sz w:val="20"/>
                <w:szCs w:val="20"/>
              </w:rPr>
              <w:t>0.005</w:t>
            </w:r>
          </w:p>
        </w:tc>
      </w:tr>
    </w:tbl>
    <w:p w14:paraId="60238768" w14:textId="23B94CC8" w:rsidR="00537C9F" w:rsidRPr="00537C9F" w:rsidRDefault="00537C9F" w:rsidP="00537C9F">
      <w:pPr>
        <w:spacing w:line="480" w:lineRule="auto"/>
        <w:jc w:val="both"/>
        <w:rPr>
          <w:sz w:val="24"/>
          <w:szCs w:val="24"/>
          <w:lang w:val="en-GB"/>
        </w:rPr>
      </w:pPr>
      <w:r w:rsidRPr="00537C9F">
        <w:rPr>
          <w:rFonts w:ascii="Arial" w:hAnsi="Arial" w:cs="Arial"/>
          <w:sz w:val="24"/>
          <w:szCs w:val="24"/>
          <w:lang w:val="en-GB"/>
        </w:rPr>
        <w:lastRenderedPageBreak/>
        <w:t>ST1RE: Steno Type 1 Risk Engine; T1D: type 1 diabetes; BMI: body mass index; CVD: cardiovascular disease (ischemic heart disease, ischemic stroke, heart failure, and peripheral artery disease); T1D: type 1 diabetes; BMI: body mass index; CSII: continuous subcutaneous insulin infusion; eGFR: estimated glomerular filtration rate</w:t>
      </w:r>
      <w:r>
        <w:rPr>
          <w:rFonts w:ascii="Arial" w:hAnsi="Arial" w:cs="Arial"/>
          <w:sz w:val="24"/>
          <w:szCs w:val="24"/>
          <w:lang w:val="en-GB"/>
        </w:rPr>
        <w:t xml:space="preserve">; </w:t>
      </w:r>
      <w:r w:rsidRPr="00537C9F">
        <w:rPr>
          <w:rFonts w:ascii="Arial" w:hAnsi="Arial" w:cs="Arial"/>
          <w:sz w:val="24"/>
          <w:szCs w:val="24"/>
          <w:lang w:val="en-GB"/>
        </w:rPr>
        <w:t xml:space="preserve">CKD-EPI: Chronic </w:t>
      </w:r>
      <w:r w:rsidRPr="00537C9F">
        <w:rPr>
          <w:rFonts w:ascii="Arial" w:hAnsi="Arial" w:cs="Arial"/>
          <w:color w:val="202124"/>
          <w:sz w:val="24"/>
          <w:szCs w:val="24"/>
          <w:lang w:val="en-GB"/>
        </w:rPr>
        <w:t>Kidney Disease Epidemiology Collaboration</w:t>
      </w:r>
      <w:r>
        <w:rPr>
          <w:rFonts w:ascii="Arial" w:hAnsi="Arial" w:cs="Arial"/>
          <w:color w:val="202124"/>
          <w:sz w:val="24"/>
          <w:szCs w:val="24"/>
          <w:lang w:val="en-GB"/>
        </w:rPr>
        <w:t xml:space="preserve">. </w:t>
      </w:r>
    </w:p>
    <w:p w14:paraId="4E0E8629" w14:textId="0F0FDB41" w:rsidR="00537C9F" w:rsidRDefault="00537C9F" w:rsidP="00537C9F">
      <w:pPr>
        <w:pStyle w:val="SemEspaamento"/>
        <w:spacing w:line="480" w:lineRule="auto"/>
        <w:contextualSpacing/>
        <w:rPr>
          <w:rFonts w:ascii="Arial" w:eastAsia="Times New Roman" w:hAnsi="Arial" w:cs="Arial"/>
          <w:sz w:val="24"/>
          <w:szCs w:val="24"/>
          <w:lang w:val="en-GB" w:eastAsia="pt-BR"/>
        </w:rPr>
      </w:pPr>
    </w:p>
    <w:p w14:paraId="6E5B064E" w14:textId="27567742" w:rsidR="002D7365" w:rsidRDefault="002D7365" w:rsidP="00537C9F">
      <w:pPr>
        <w:pStyle w:val="SemEspaamento"/>
        <w:spacing w:line="480" w:lineRule="auto"/>
        <w:contextualSpacing/>
        <w:rPr>
          <w:rFonts w:ascii="Arial" w:eastAsia="Times New Roman" w:hAnsi="Arial" w:cs="Arial"/>
          <w:sz w:val="24"/>
          <w:szCs w:val="24"/>
          <w:lang w:val="en-GB" w:eastAsia="pt-BR"/>
        </w:rPr>
      </w:pPr>
      <w:r>
        <w:rPr>
          <w:rFonts w:ascii="Arial" w:eastAsia="Times New Roman" w:hAnsi="Arial" w:cs="Arial"/>
          <w:noProof/>
          <w:sz w:val="24"/>
          <w:szCs w:val="24"/>
          <w:lang w:val="en-GB" w:eastAsia="pt-BR"/>
        </w:rPr>
        <w:drawing>
          <wp:inline distT="0" distB="0" distL="0" distR="0" wp14:anchorId="55699BD1" wp14:editId="7F348277">
            <wp:extent cx="5391150" cy="1961149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0" t="15468" r="3803" b="24958"/>
                    <a:stretch/>
                  </pic:blipFill>
                  <pic:spPr bwMode="auto">
                    <a:xfrm>
                      <a:off x="0" y="0"/>
                      <a:ext cx="5425924" cy="1973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BFD464" w14:textId="77777777" w:rsidR="002D7365" w:rsidRPr="0022217D" w:rsidRDefault="002D7365" w:rsidP="002D7365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2217D">
        <w:rPr>
          <w:rFonts w:ascii="Arial" w:eastAsia="Times New Roman" w:hAnsi="Arial" w:cs="Arial"/>
          <w:b/>
          <w:sz w:val="24"/>
          <w:szCs w:val="24"/>
          <w:lang w:val="en-GB" w:eastAsia="pt-BR"/>
        </w:rPr>
        <w:t>Supplemental Fig. S1.</w:t>
      </w:r>
      <w:r w:rsidRPr="0022217D">
        <w:rPr>
          <w:rFonts w:ascii="Arial" w:hAnsi="Arial" w:cs="Arial"/>
          <w:sz w:val="24"/>
          <w:szCs w:val="24"/>
          <w:lang w:val="en-US"/>
        </w:rPr>
        <w:t xml:space="preserve"> Receiver operating characteristic (ROC) curves are presented as the area under the curve (AUC) at 5 years (A) and 10 years (B) of follow-up according to the Steno Type 1 Risk Engine (ST1RE) </w:t>
      </w:r>
      <w:r w:rsidRPr="0022217D">
        <w:rPr>
          <w:rFonts w:ascii="Arial" w:eastAsia="Times New Roman" w:hAnsi="Arial" w:cs="Arial"/>
          <w:sz w:val="24"/>
          <w:szCs w:val="24"/>
          <w:lang w:val="en-GB" w:eastAsia="pt-BR"/>
        </w:rPr>
        <w:t xml:space="preserve">for individuals under &lt; 40 years of age. </w:t>
      </w:r>
    </w:p>
    <w:p w14:paraId="2074DFFF" w14:textId="77777777" w:rsidR="002D7365" w:rsidRPr="00537C9F" w:rsidRDefault="002D7365" w:rsidP="00537C9F">
      <w:pPr>
        <w:pStyle w:val="SemEspaamento"/>
        <w:spacing w:line="480" w:lineRule="auto"/>
        <w:contextualSpacing/>
        <w:rPr>
          <w:rFonts w:ascii="Arial" w:eastAsia="Times New Roman" w:hAnsi="Arial" w:cs="Arial"/>
          <w:sz w:val="24"/>
          <w:szCs w:val="24"/>
          <w:lang w:val="en-GB" w:eastAsia="pt-BR"/>
        </w:rPr>
      </w:pPr>
    </w:p>
    <w:p w14:paraId="1E3DA385" w14:textId="77777777" w:rsidR="00537C9F" w:rsidRPr="002E31FE" w:rsidRDefault="00537C9F" w:rsidP="00537C9F">
      <w:pPr>
        <w:autoSpaceDE w:val="0"/>
        <w:autoSpaceDN w:val="0"/>
        <w:adjustRightInd w:val="0"/>
        <w:spacing w:after="0" w:line="480" w:lineRule="auto"/>
        <w:contextualSpacing/>
        <w:jc w:val="both"/>
        <w:rPr>
          <w:rFonts w:ascii="Arial" w:hAnsi="Arial" w:cs="Arial"/>
          <w:sz w:val="24"/>
          <w:szCs w:val="24"/>
          <w:shd w:val="clear" w:color="auto" w:fill="FFFFFF"/>
          <w:lang w:val="en-GB"/>
        </w:rPr>
      </w:pPr>
      <w:r w:rsidRPr="00537C9F">
        <w:rPr>
          <w:rFonts w:ascii="Arial" w:hAnsi="Arial" w:cs="Arial"/>
          <w:b/>
          <w:bCs/>
          <w:sz w:val="24"/>
          <w:szCs w:val="24"/>
          <w:lang w:val="en-GB"/>
        </w:rPr>
        <w:t xml:space="preserve">Supplemental </w:t>
      </w:r>
      <w:r w:rsidRPr="00537C9F">
        <w:rPr>
          <w:rFonts w:ascii="Arial" w:hAnsi="Arial" w:cs="Arial"/>
          <w:b/>
          <w:sz w:val="24"/>
          <w:szCs w:val="24"/>
          <w:shd w:val="clear" w:color="auto" w:fill="FFFFFF"/>
          <w:lang w:val="en-GB"/>
        </w:rPr>
        <w:t>Table S2.</w:t>
      </w:r>
      <w:r w:rsidRPr="00537C9F">
        <w:rPr>
          <w:rFonts w:ascii="Arial" w:hAnsi="Arial" w:cs="Arial"/>
          <w:sz w:val="24"/>
          <w:szCs w:val="24"/>
          <w:shd w:val="clear" w:color="auto" w:fill="FFFFFF"/>
          <w:lang w:val="en-GB"/>
        </w:rPr>
        <w:t xml:space="preserve"> Baseline </w:t>
      </w:r>
      <w:r w:rsidRPr="00537C9F">
        <w:rPr>
          <w:rFonts w:ascii="Arial" w:hAnsi="Arial" w:cs="Arial"/>
          <w:sz w:val="24"/>
          <w:szCs w:val="24"/>
          <w:lang w:val="en-GB"/>
        </w:rPr>
        <w:t>characteristics of patients in the</w:t>
      </w:r>
      <w:r w:rsidRPr="00537C9F">
        <w:rPr>
          <w:rFonts w:ascii="Arial" w:hAnsi="Arial" w:cs="Arial"/>
          <w:sz w:val="24"/>
          <w:szCs w:val="24"/>
          <w:shd w:val="clear" w:color="auto" w:fill="FFFFFF"/>
          <w:lang w:val="en-GB"/>
        </w:rPr>
        <w:t xml:space="preserve"> Brazilian T1D cohort, Steno Derivation </w:t>
      </w:r>
      <w:r w:rsidRPr="00537C9F">
        <w:rPr>
          <w:rFonts w:ascii="Arial" w:hAnsi="Arial" w:cs="Arial"/>
          <w:sz w:val="24"/>
          <w:szCs w:val="24"/>
          <w:lang w:val="en-GB"/>
        </w:rPr>
        <w:t xml:space="preserve">cohort </w:t>
      </w:r>
      <w:r w:rsidRPr="00537C9F">
        <w:rPr>
          <w:rFonts w:ascii="Arial" w:hAnsi="Arial" w:cs="Arial"/>
          <w:sz w:val="24"/>
          <w:szCs w:val="24"/>
          <w:shd w:val="clear" w:color="auto" w:fill="FFFFFF"/>
          <w:lang w:val="en-GB"/>
        </w:rPr>
        <w:t xml:space="preserve">and Validation </w:t>
      </w:r>
      <w:r w:rsidRPr="00537C9F">
        <w:rPr>
          <w:rFonts w:ascii="Arial" w:hAnsi="Arial" w:cs="Arial"/>
          <w:sz w:val="24"/>
          <w:szCs w:val="24"/>
          <w:lang w:val="en-GB"/>
        </w:rPr>
        <w:t>cohort</w:t>
      </w:r>
      <w:r w:rsidRPr="00537C9F">
        <w:rPr>
          <w:rFonts w:ascii="Arial" w:hAnsi="Arial" w:cs="Arial"/>
          <w:sz w:val="24"/>
          <w:szCs w:val="24"/>
          <w:shd w:val="clear" w:color="auto" w:fill="FFFFFF"/>
          <w:lang w:val="en-GB"/>
        </w:rPr>
        <w:t>.</w:t>
      </w:r>
      <w:r w:rsidRPr="002E31FE">
        <w:rPr>
          <w:rFonts w:ascii="Arial" w:hAnsi="Arial" w:cs="Arial"/>
          <w:sz w:val="24"/>
          <w:szCs w:val="24"/>
          <w:shd w:val="clear" w:color="auto" w:fill="FFFFFF"/>
          <w:lang w:val="en-GB"/>
        </w:rPr>
        <w:t xml:space="preserve"> </w:t>
      </w:r>
    </w:p>
    <w:tbl>
      <w:tblPr>
        <w:tblStyle w:val="Tabelacomgrade"/>
        <w:tblW w:w="9001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161"/>
        <w:gridCol w:w="2161"/>
        <w:gridCol w:w="2161"/>
      </w:tblGrid>
      <w:tr w:rsidR="00537C9F" w:rsidRPr="00A91A1C" w14:paraId="01F4C990" w14:textId="77777777" w:rsidTr="002D7365">
        <w:tc>
          <w:tcPr>
            <w:tcW w:w="251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14:paraId="3DB6E9E0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61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14:paraId="2D3717EF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Brazilian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Cohort</w:t>
            </w:r>
            <w:proofErr w:type="spellEnd"/>
          </w:p>
        </w:tc>
        <w:tc>
          <w:tcPr>
            <w:tcW w:w="2161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14:paraId="359DF25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The Steno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Derivation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Cohort</w:t>
            </w:r>
            <w:proofErr w:type="spellEnd"/>
          </w:p>
        </w:tc>
        <w:tc>
          <w:tcPr>
            <w:tcW w:w="2161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14:paraId="07667DCD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Funen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Validation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Cohort</w:t>
            </w:r>
            <w:proofErr w:type="spellEnd"/>
          </w:p>
        </w:tc>
      </w:tr>
      <w:tr w:rsidR="00537C9F" w:rsidRPr="00A91A1C" w14:paraId="2B4AD0A0" w14:textId="77777777" w:rsidTr="002D7365">
        <w:trPr>
          <w:trHeight w:val="272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14:paraId="26E5539C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2161" w:type="dxa"/>
            <w:tcBorders>
              <w:top w:val="single" w:sz="4" w:space="0" w:color="auto"/>
            </w:tcBorders>
            <w:shd w:val="clear" w:color="auto" w:fill="auto"/>
          </w:tcPr>
          <w:p w14:paraId="46C5474A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>435</w:t>
            </w:r>
          </w:p>
        </w:tc>
        <w:tc>
          <w:tcPr>
            <w:tcW w:w="2161" w:type="dxa"/>
            <w:tcBorders>
              <w:top w:val="single" w:sz="4" w:space="0" w:color="auto"/>
            </w:tcBorders>
            <w:shd w:val="clear" w:color="auto" w:fill="auto"/>
          </w:tcPr>
          <w:p w14:paraId="194CB48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>4306</w:t>
            </w:r>
          </w:p>
        </w:tc>
        <w:tc>
          <w:tcPr>
            <w:tcW w:w="2161" w:type="dxa"/>
            <w:tcBorders>
              <w:top w:val="single" w:sz="4" w:space="0" w:color="auto"/>
            </w:tcBorders>
            <w:shd w:val="clear" w:color="auto" w:fill="auto"/>
          </w:tcPr>
          <w:p w14:paraId="2EB6864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>2118</w:t>
            </w:r>
          </w:p>
        </w:tc>
      </w:tr>
      <w:tr w:rsidR="00537C9F" w:rsidRPr="00A91A1C" w14:paraId="610F3BDA" w14:textId="77777777" w:rsidTr="002D7365">
        <w:trPr>
          <w:trHeight w:val="244"/>
        </w:trPr>
        <w:tc>
          <w:tcPr>
            <w:tcW w:w="2518" w:type="dxa"/>
            <w:shd w:val="clear" w:color="auto" w:fill="auto"/>
          </w:tcPr>
          <w:p w14:paraId="70325ABF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Follow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up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years</w:t>
            </w:r>
          </w:p>
        </w:tc>
        <w:tc>
          <w:tcPr>
            <w:tcW w:w="2161" w:type="dxa"/>
            <w:shd w:val="clear" w:color="auto" w:fill="auto"/>
          </w:tcPr>
          <w:p w14:paraId="56D03C4F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9.2 (6.0-10.7) </w:t>
            </w:r>
          </w:p>
        </w:tc>
        <w:tc>
          <w:tcPr>
            <w:tcW w:w="2161" w:type="dxa"/>
            <w:shd w:val="clear" w:color="auto" w:fill="auto"/>
          </w:tcPr>
          <w:p w14:paraId="0DA68456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6.8 (2.9-10.9)</w:t>
            </w:r>
          </w:p>
        </w:tc>
        <w:tc>
          <w:tcPr>
            <w:tcW w:w="2161" w:type="dxa"/>
            <w:shd w:val="clear" w:color="auto" w:fill="auto"/>
          </w:tcPr>
          <w:p w14:paraId="482F7E5B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6.6 (4.9-9.1)</w:t>
            </w:r>
          </w:p>
        </w:tc>
      </w:tr>
      <w:tr w:rsidR="00537C9F" w:rsidRPr="00A91A1C" w14:paraId="36653ABB" w14:textId="77777777" w:rsidTr="002D7365">
        <w:tc>
          <w:tcPr>
            <w:tcW w:w="2518" w:type="dxa"/>
            <w:shd w:val="clear" w:color="auto" w:fill="auto"/>
          </w:tcPr>
          <w:p w14:paraId="20780F63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CVD rate (per 1000 person-years)</w:t>
            </w:r>
          </w:p>
        </w:tc>
        <w:tc>
          <w:tcPr>
            <w:tcW w:w="2161" w:type="dxa"/>
            <w:shd w:val="clear" w:color="auto" w:fill="auto"/>
          </w:tcPr>
          <w:p w14:paraId="38F2FFBD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6.7 (</w:t>
            </w:r>
            <w:r w:rsidRPr="00537C9F">
              <w:rPr>
                <w:rFonts w:ascii="Arial" w:hAnsi="Arial" w:cs="Arial"/>
                <w:sz w:val="20"/>
                <w:szCs w:val="20"/>
                <w:lang w:val="en-US"/>
              </w:rPr>
              <w:t>4.5-10.0</w:t>
            </w:r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61" w:type="dxa"/>
            <w:shd w:val="clear" w:color="auto" w:fill="auto"/>
          </w:tcPr>
          <w:p w14:paraId="5D49C70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27.2 (2</w:t>
            </w:r>
            <w:r w:rsidRPr="00537C9F">
              <w:rPr>
                <w:rFonts w:ascii="Arial" w:eastAsiaTheme="minorHAnsi" w:hAnsi="Arial" w:cs="Arial"/>
                <w:sz w:val="20"/>
                <w:szCs w:val="20"/>
                <w:lang w:val="en-GB"/>
              </w:rPr>
              <w:t>5.4–29.2)</w:t>
            </w:r>
          </w:p>
        </w:tc>
        <w:tc>
          <w:tcPr>
            <w:tcW w:w="2161" w:type="dxa"/>
            <w:shd w:val="clear" w:color="auto" w:fill="auto"/>
          </w:tcPr>
          <w:p w14:paraId="726561C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17.8 (1</w:t>
            </w:r>
            <w:r w:rsidRPr="00537C9F">
              <w:rPr>
                <w:rFonts w:ascii="Arial" w:eastAsiaTheme="minorHAnsi" w:hAnsi="Arial" w:cs="Arial"/>
                <w:sz w:val="20"/>
                <w:szCs w:val="20"/>
                <w:lang w:val="en-GB"/>
              </w:rPr>
              <w:t>5.7–20.2)</w:t>
            </w:r>
          </w:p>
        </w:tc>
      </w:tr>
      <w:tr w:rsidR="00537C9F" w:rsidRPr="00A91A1C" w14:paraId="661B5E98" w14:textId="77777777" w:rsidTr="002D7365">
        <w:tc>
          <w:tcPr>
            <w:tcW w:w="2518" w:type="dxa"/>
            <w:shd w:val="clear" w:color="auto" w:fill="auto"/>
          </w:tcPr>
          <w:p w14:paraId="648AE230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Age, years</w:t>
            </w:r>
          </w:p>
        </w:tc>
        <w:tc>
          <w:tcPr>
            <w:tcW w:w="2161" w:type="dxa"/>
            <w:shd w:val="clear" w:color="auto" w:fill="auto"/>
          </w:tcPr>
          <w:p w14:paraId="3F14258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28 (9.8)</w:t>
            </w:r>
          </w:p>
        </w:tc>
        <w:tc>
          <w:tcPr>
            <w:tcW w:w="2161" w:type="dxa"/>
            <w:shd w:val="clear" w:color="auto" w:fill="auto"/>
          </w:tcPr>
          <w:p w14:paraId="02EF861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42.2 (15.3)</w:t>
            </w:r>
          </w:p>
        </w:tc>
        <w:tc>
          <w:tcPr>
            <w:tcW w:w="2161" w:type="dxa"/>
            <w:shd w:val="clear" w:color="auto" w:fill="auto"/>
          </w:tcPr>
          <w:p w14:paraId="39F77A4B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44.2 (15.4)</w:t>
            </w:r>
          </w:p>
        </w:tc>
      </w:tr>
      <w:tr w:rsidR="00537C9F" w:rsidRPr="00A91A1C" w14:paraId="63D215C0" w14:textId="77777777" w:rsidTr="002D7365">
        <w:tc>
          <w:tcPr>
            <w:tcW w:w="2518" w:type="dxa"/>
            <w:shd w:val="clear" w:color="auto" w:fill="auto"/>
          </w:tcPr>
          <w:p w14:paraId="4308EBC6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Males, %</w:t>
            </w:r>
          </w:p>
        </w:tc>
        <w:tc>
          <w:tcPr>
            <w:tcW w:w="2161" w:type="dxa"/>
            <w:shd w:val="clear" w:color="auto" w:fill="auto"/>
          </w:tcPr>
          <w:p w14:paraId="4849DCC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46.7 (42.0-51.4)</w:t>
            </w:r>
          </w:p>
        </w:tc>
        <w:tc>
          <w:tcPr>
            <w:tcW w:w="2161" w:type="dxa"/>
            <w:shd w:val="clear" w:color="auto" w:fill="auto"/>
          </w:tcPr>
          <w:p w14:paraId="54A6991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54.2 (52.7-55.7)</w:t>
            </w:r>
          </w:p>
        </w:tc>
        <w:tc>
          <w:tcPr>
            <w:tcW w:w="2161" w:type="dxa"/>
            <w:shd w:val="clear" w:color="auto" w:fill="auto"/>
          </w:tcPr>
          <w:p w14:paraId="164B5A4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57.7 (55.6-59.8)</w:t>
            </w:r>
          </w:p>
        </w:tc>
      </w:tr>
      <w:tr w:rsidR="00537C9F" w:rsidRPr="00A91A1C" w14:paraId="7232CFF3" w14:textId="77777777" w:rsidTr="002D7365">
        <w:tc>
          <w:tcPr>
            <w:tcW w:w="2518" w:type="dxa"/>
            <w:shd w:val="clear" w:color="auto" w:fill="auto"/>
          </w:tcPr>
          <w:p w14:paraId="0D99520D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Age at T1D diagnosis, years</w:t>
            </w:r>
          </w:p>
        </w:tc>
        <w:tc>
          <w:tcPr>
            <w:tcW w:w="2161" w:type="dxa"/>
            <w:shd w:val="clear" w:color="auto" w:fill="auto"/>
          </w:tcPr>
          <w:p w14:paraId="4DED7465" w14:textId="2C125998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11 (8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-17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61" w:type="dxa"/>
            <w:shd w:val="clear" w:color="auto" w:fill="auto"/>
          </w:tcPr>
          <w:p w14:paraId="29971EF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20.8 (11.8–33.1)</w:t>
            </w:r>
          </w:p>
        </w:tc>
        <w:tc>
          <w:tcPr>
            <w:tcW w:w="2161" w:type="dxa"/>
            <w:shd w:val="clear" w:color="auto" w:fill="auto"/>
          </w:tcPr>
          <w:p w14:paraId="258B75C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26.0 (14.4–39.4)</w:t>
            </w:r>
          </w:p>
        </w:tc>
      </w:tr>
      <w:tr w:rsidR="00537C9F" w:rsidRPr="00A91A1C" w14:paraId="4D68B11F" w14:textId="77777777" w:rsidTr="002D7365">
        <w:tc>
          <w:tcPr>
            <w:tcW w:w="2518" w:type="dxa"/>
            <w:shd w:val="clear" w:color="auto" w:fill="auto"/>
          </w:tcPr>
          <w:p w14:paraId="22608A00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lastRenderedPageBreak/>
              <w:t xml:space="preserve">Diabetes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duration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years</w:t>
            </w:r>
          </w:p>
        </w:tc>
        <w:tc>
          <w:tcPr>
            <w:tcW w:w="2161" w:type="dxa"/>
            <w:shd w:val="clear" w:color="auto" w:fill="auto"/>
          </w:tcPr>
          <w:p w14:paraId="6C9AEB0D" w14:textId="4F1045DB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13 (9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-18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61" w:type="dxa"/>
            <w:shd w:val="clear" w:color="auto" w:fill="auto"/>
          </w:tcPr>
          <w:p w14:paraId="0E3855C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16.6 (7.4–27.7)</w:t>
            </w:r>
          </w:p>
        </w:tc>
        <w:tc>
          <w:tcPr>
            <w:tcW w:w="2161" w:type="dxa"/>
            <w:shd w:val="clear" w:color="auto" w:fill="auto"/>
          </w:tcPr>
          <w:p w14:paraId="223E5C53" w14:textId="3E0F9B8F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13.6</w:t>
            </w:r>
            <w:r w:rsidR="002D736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37C9F">
              <w:rPr>
                <w:rFonts w:ascii="Arial" w:hAnsi="Arial" w:cs="Arial"/>
                <w:sz w:val="20"/>
                <w:szCs w:val="20"/>
              </w:rPr>
              <w:t>(5.1–24.2)</w:t>
            </w:r>
          </w:p>
        </w:tc>
      </w:tr>
      <w:tr w:rsidR="00537C9F" w:rsidRPr="00A91A1C" w14:paraId="3B9FFC3C" w14:textId="77777777" w:rsidTr="002D7365">
        <w:tc>
          <w:tcPr>
            <w:tcW w:w="2518" w:type="dxa"/>
            <w:shd w:val="clear" w:color="auto" w:fill="auto"/>
          </w:tcPr>
          <w:p w14:paraId="445FCB5A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BMI, kg/m</w:t>
            </w:r>
            <w:r w:rsidRPr="00537C9F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61" w:type="dxa"/>
            <w:shd w:val="clear" w:color="auto" w:fill="auto"/>
          </w:tcPr>
          <w:p w14:paraId="2A09146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24.0 (3.7)</w:t>
            </w:r>
          </w:p>
        </w:tc>
        <w:tc>
          <w:tcPr>
            <w:tcW w:w="2161" w:type="dxa"/>
            <w:shd w:val="clear" w:color="auto" w:fill="auto"/>
          </w:tcPr>
          <w:p w14:paraId="3960DC6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24.8 (3.6)</w:t>
            </w:r>
          </w:p>
        </w:tc>
        <w:tc>
          <w:tcPr>
            <w:tcW w:w="2161" w:type="dxa"/>
            <w:shd w:val="clear" w:color="auto" w:fill="auto"/>
          </w:tcPr>
          <w:p w14:paraId="53F3661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25.5 (4.2)</w:t>
            </w:r>
          </w:p>
        </w:tc>
      </w:tr>
      <w:tr w:rsidR="00537C9F" w:rsidRPr="00A91A1C" w14:paraId="2E1C709E" w14:textId="77777777" w:rsidTr="002D7365">
        <w:tc>
          <w:tcPr>
            <w:tcW w:w="2518" w:type="dxa"/>
            <w:shd w:val="clear" w:color="auto" w:fill="auto"/>
          </w:tcPr>
          <w:p w14:paraId="039C6404" w14:textId="77777777" w:rsidR="00537C9F" w:rsidRPr="00537C9F" w:rsidRDefault="00537C9F" w:rsidP="002D7365">
            <w:pPr>
              <w:spacing w:line="276" w:lineRule="auto"/>
              <w:rPr>
                <w:rFonts w:ascii="Arial" w:eastAsiaTheme="minorHAnsi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Insulin dose, IU/kg/day</w:t>
            </w:r>
          </w:p>
        </w:tc>
        <w:tc>
          <w:tcPr>
            <w:tcW w:w="2161" w:type="dxa"/>
            <w:shd w:val="clear" w:color="auto" w:fill="auto"/>
          </w:tcPr>
          <w:p w14:paraId="21B5953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0.85 (0.66-1.03)</w:t>
            </w:r>
          </w:p>
        </w:tc>
        <w:tc>
          <w:tcPr>
            <w:tcW w:w="2161" w:type="dxa"/>
            <w:shd w:val="clear" w:color="auto" w:fill="auto"/>
          </w:tcPr>
          <w:p w14:paraId="4E2B304F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0.29 (0.16–0.40)</w:t>
            </w:r>
          </w:p>
        </w:tc>
        <w:tc>
          <w:tcPr>
            <w:tcW w:w="2161" w:type="dxa"/>
            <w:shd w:val="clear" w:color="auto" w:fill="auto"/>
          </w:tcPr>
          <w:p w14:paraId="69E916C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37C9F" w:rsidRPr="00A91A1C" w14:paraId="4D2FC1A4" w14:textId="77777777" w:rsidTr="002D7365">
        <w:tc>
          <w:tcPr>
            <w:tcW w:w="2518" w:type="dxa"/>
            <w:shd w:val="clear" w:color="auto" w:fill="auto"/>
          </w:tcPr>
          <w:p w14:paraId="14193571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Systolic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blood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pressure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mmHg</w:t>
            </w:r>
          </w:p>
        </w:tc>
        <w:tc>
          <w:tcPr>
            <w:tcW w:w="2161" w:type="dxa"/>
            <w:shd w:val="clear" w:color="auto" w:fill="auto"/>
          </w:tcPr>
          <w:p w14:paraId="2623F3F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119.7 (15.0)</w:t>
            </w:r>
          </w:p>
        </w:tc>
        <w:tc>
          <w:tcPr>
            <w:tcW w:w="2161" w:type="dxa"/>
            <w:shd w:val="clear" w:color="auto" w:fill="auto"/>
          </w:tcPr>
          <w:p w14:paraId="4C52076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132.2 (19.0)</w:t>
            </w:r>
          </w:p>
        </w:tc>
        <w:tc>
          <w:tcPr>
            <w:tcW w:w="2161" w:type="dxa"/>
            <w:shd w:val="clear" w:color="auto" w:fill="auto"/>
          </w:tcPr>
          <w:p w14:paraId="01F272E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130.1 (17.2)</w:t>
            </w:r>
          </w:p>
        </w:tc>
      </w:tr>
      <w:tr w:rsidR="00537C9F" w:rsidRPr="00A91A1C" w14:paraId="7182884C" w14:textId="77777777" w:rsidTr="002D7365">
        <w:tc>
          <w:tcPr>
            <w:tcW w:w="2518" w:type="dxa"/>
            <w:shd w:val="clear" w:color="auto" w:fill="auto"/>
          </w:tcPr>
          <w:p w14:paraId="3C249EBA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Diastolic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blood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pressure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mmHg</w:t>
            </w:r>
          </w:p>
        </w:tc>
        <w:tc>
          <w:tcPr>
            <w:tcW w:w="2161" w:type="dxa"/>
            <w:shd w:val="clear" w:color="auto" w:fill="auto"/>
          </w:tcPr>
          <w:p w14:paraId="63EA107F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76.7 (10.1)</w:t>
            </w:r>
          </w:p>
        </w:tc>
        <w:tc>
          <w:tcPr>
            <w:tcW w:w="2161" w:type="dxa"/>
            <w:shd w:val="clear" w:color="auto" w:fill="auto"/>
          </w:tcPr>
          <w:p w14:paraId="2587CA8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78.5 (10.0)</w:t>
            </w:r>
          </w:p>
        </w:tc>
        <w:tc>
          <w:tcPr>
            <w:tcW w:w="2161" w:type="dxa"/>
            <w:shd w:val="clear" w:color="auto" w:fill="auto"/>
          </w:tcPr>
          <w:p w14:paraId="65726B1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77.9 (9.9)</w:t>
            </w:r>
          </w:p>
        </w:tc>
      </w:tr>
      <w:tr w:rsidR="00537C9F" w:rsidRPr="00A91A1C" w14:paraId="01137BC5" w14:textId="77777777" w:rsidTr="002D7365">
        <w:tc>
          <w:tcPr>
            <w:tcW w:w="2518" w:type="dxa"/>
            <w:shd w:val="clear" w:color="auto" w:fill="auto"/>
          </w:tcPr>
          <w:p w14:paraId="37B3C7FE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Statins, %</w:t>
            </w:r>
          </w:p>
        </w:tc>
        <w:tc>
          <w:tcPr>
            <w:tcW w:w="2161" w:type="dxa"/>
            <w:shd w:val="clear" w:color="auto" w:fill="auto"/>
          </w:tcPr>
          <w:p w14:paraId="070C22D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16.1 (12.9-19.8)</w:t>
            </w:r>
          </w:p>
        </w:tc>
        <w:tc>
          <w:tcPr>
            <w:tcW w:w="2161" w:type="dxa"/>
            <w:shd w:val="clear" w:color="auto" w:fill="auto"/>
          </w:tcPr>
          <w:p w14:paraId="77A10AC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9.8 (8.9–10.7)</w:t>
            </w:r>
          </w:p>
        </w:tc>
        <w:tc>
          <w:tcPr>
            <w:tcW w:w="2161" w:type="dxa"/>
            <w:shd w:val="clear" w:color="auto" w:fill="auto"/>
          </w:tcPr>
          <w:p w14:paraId="7826BC5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41.0 (38.9–43.1)</w:t>
            </w:r>
          </w:p>
        </w:tc>
      </w:tr>
      <w:tr w:rsidR="00537C9F" w:rsidRPr="00A91A1C" w14:paraId="222F008B" w14:textId="77777777" w:rsidTr="002D7365">
        <w:tc>
          <w:tcPr>
            <w:tcW w:w="2518" w:type="dxa"/>
            <w:shd w:val="clear" w:color="auto" w:fill="auto"/>
          </w:tcPr>
          <w:p w14:paraId="637FF048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Antihypertensive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%</w:t>
            </w:r>
          </w:p>
        </w:tc>
        <w:tc>
          <w:tcPr>
            <w:tcW w:w="2161" w:type="dxa"/>
            <w:shd w:val="clear" w:color="auto" w:fill="auto"/>
          </w:tcPr>
          <w:p w14:paraId="3E31F17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31.6 (27.4-36.1)</w:t>
            </w:r>
          </w:p>
        </w:tc>
        <w:tc>
          <w:tcPr>
            <w:tcW w:w="2161" w:type="dxa"/>
            <w:shd w:val="clear" w:color="auto" w:fill="auto"/>
          </w:tcPr>
          <w:p w14:paraId="1D0867F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28.8 (27.4–30.2)</w:t>
            </w:r>
          </w:p>
        </w:tc>
        <w:tc>
          <w:tcPr>
            <w:tcW w:w="2161" w:type="dxa"/>
            <w:shd w:val="clear" w:color="auto" w:fill="auto"/>
          </w:tcPr>
          <w:p w14:paraId="66889E5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40.4 (38.3–42.5)</w:t>
            </w:r>
          </w:p>
        </w:tc>
      </w:tr>
      <w:tr w:rsidR="00537C9F" w:rsidRPr="00A91A1C" w14:paraId="700D269D" w14:textId="77777777" w:rsidTr="002D7365">
        <w:tc>
          <w:tcPr>
            <w:tcW w:w="2518" w:type="dxa"/>
            <w:shd w:val="clear" w:color="auto" w:fill="auto"/>
          </w:tcPr>
          <w:p w14:paraId="003489ED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Current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smokers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%</w:t>
            </w:r>
          </w:p>
        </w:tc>
        <w:tc>
          <w:tcPr>
            <w:tcW w:w="2161" w:type="dxa"/>
            <w:shd w:val="clear" w:color="auto" w:fill="auto"/>
          </w:tcPr>
          <w:p w14:paraId="7A9BE9C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6.7 (4.6-9.4)</w:t>
            </w:r>
          </w:p>
        </w:tc>
        <w:tc>
          <w:tcPr>
            <w:tcW w:w="2161" w:type="dxa"/>
            <w:shd w:val="clear" w:color="auto" w:fill="auto"/>
          </w:tcPr>
          <w:p w14:paraId="4A63E58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64.1 (62.6–65.6)</w:t>
            </w:r>
          </w:p>
        </w:tc>
        <w:tc>
          <w:tcPr>
            <w:tcW w:w="2161" w:type="dxa"/>
            <w:shd w:val="clear" w:color="auto" w:fill="auto"/>
          </w:tcPr>
          <w:p w14:paraId="75699F3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29.4 (27.4–31.4)</w:t>
            </w:r>
          </w:p>
        </w:tc>
      </w:tr>
      <w:tr w:rsidR="00537C9F" w:rsidRPr="00A91A1C" w14:paraId="3B7EF230" w14:textId="77777777" w:rsidTr="002D7365">
        <w:tc>
          <w:tcPr>
            <w:tcW w:w="2518" w:type="dxa"/>
            <w:shd w:val="clear" w:color="auto" w:fill="auto"/>
          </w:tcPr>
          <w:p w14:paraId="438F5324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Regular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exercise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%</w:t>
            </w:r>
          </w:p>
        </w:tc>
        <w:tc>
          <w:tcPr>
            <w:tcW w:w="2161" w:type="dxa"/>
            <w:shd w:val="clear" w:color="auto" w:fill="auto"/>
          </w:tcPr>
          <w:p w14:paraId="6C755A8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22.3 (18.6-26.4)</w:t>
            </w:r>
          </w:p>
        </w:tc>
        <w:tc>
          <w:tcPr>
            <w:tcW w:w="2161" w:type="dxa"/>
            <w:shd w:val="clear" w:color="auto" w:fill="auto"/>
          </w:tcPr>
          <w:p w14:paraId="6D1ECDB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68.2 (66.7–69.6)</w:t>
            </w:r>
          </w:p>
        </w:tc>
        <w:tc>
          <w:tcPr>
            <w:tcW w:w="2161" w:type="dxa"/>
            <w:shd w:val="clear" w:color="auto" w:fill="auto"/>
          </w:tcPr>
          <w:p w14:paraId="51C6322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59.3 (57.1–61.5)</w:t>
            </w:r>
          </w:p>
        </w:tc>
      </w:tr>
      <w:tr w:rsidR="00537C9F" w:rsidRPr="00A91A1C" w14:paraId="5CF87729" w14:textId="77777777" w:rsidTr="002D7365">
        <w:tc>
          <w:tcPr>
            <w:tcW w:w="2518" w:type="dxa"/>
            <w:shd w:val="clear" w:color="auto" w:fill="auto"/>
          </w:tcPr>
          <w:p w14:paraId="101DE41F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HbA1c, %</w:t>
            </w:r>
          </w:p>
        </w:tc>
        <w:tc>
          <w:tcPr>
            <w:tcW w:w="2161" w:type="dxa"/>
            <w:shd w:val="clear" w:color="auto" w:fill="auto"/>
          </w:tcPr>
          <w:p w14:paraId="65C5341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8.9 (1.8)</w:t>
            </w:r>
          </w:p>
        </w:tc>
        <w:tc>
          <w:tcPr>
            <w:tcW w:w="2161" w:type="dxa"/>
            <w:shd w:val="clear" w:color="auto" w:fill="auto"/>
          </w:tcPr>
          <w:p w14:paraId="596BD3A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8.4 (1.5)</w:t>
            </w:r>
          </w:p>
        </w:tc>
        <w:tc>
          <w:tcPr>
            <w:tcW w:w="2161" w:type="dxa"/>
            <w:shd w:val="clear" w:color="auto" w:fill="auto"/>
          </w:tcPr>
          <w:p w14:paraId="18A3BF8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8.1 (1.5)</w:t>
            </w:r>
          </w:p>
        </w:tc>
      </w:tr>
      <w:tr w:rsidR="00537C9F" w:rsidRPr="00A91A1C" w14:paraId="11133759" w14:textId="77777777" w:rsidTr="002D7365">
        <w:tc>
          <w:tcPr>
            <w:tcW w:w="2518" w:type="dxa"/>
            <w:shd w:val="clear" w:color="auto" w:fill="auto"/>
          </w:tcPr>
          <w:p w14:paraId="43005229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HbA1c, mmol/mol</w:t>
            </w:r>
          </w:p>
        </w:tc>
        <w:tc>
          <w:tcPr>
            <w:tcW w:w="2161" w:type="dxa"/>
            <w:shd w:val="clear" w:color="auto" w:fill="auto"/>
          </w:tcPr>
          <w:p w14:paraId="7E5CC8C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73.8 (19.0)</w:t>
            </w:r>
          </w:p>
        </w:tc>
        <w:tc>
          <w:tcPr>
            <w:tcW w:w="2161" w:type="dxa"/>
            <w:shd w:val="clear" w:color="auto" w:fill="auto"/>
          </w:tcPr>
          <w:p w14:paraId="489085D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68.8 (16.2)</w:t>
            </w:r>
          </w:p>
        </w:tc>
        <w:tc>
          <w:tcPr>
            <w:tcW w:w="2161" w:type="dxa"/>
            <w:shd w:val="clear" w:color="auto" w:fill="auto"/>
          </w:tcPr>
          <w:p w14:paraId="6B6B5E7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64.8 (16.0)</w:t>
            </w:r>
          </w:p>
        </w:tc>
      </w:tr>
      <w:tr w:rsidR="00537C9F" w:rsidRPr="00A91A1C" w14:paraId="5DD5D738" w14:textId="77777777" w:rsidTr="002D7365">
        <w:tc>
          <w:tcPr>
            <w:tcW w:w="2518" w:type="dxa"/>
            <w:shd w:val="clear" w:color="auto" w:fill="auto"/>
          </w:tcPr>
          <w:p w14:paraId="293F1598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Total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mg/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dL</w:t>
            </w:r>
            <w:proofErr w:type="spellEnd"/>
          </w:p>
        </w:tc>
        <w:tc>
          <w:tcPr>
            <w:tcW w:w="2161" w:type="dxa"/>
            <w:shd w:val="clear" w:color="auto" w:fill="auto"/>
          </w:tcPr>
          <w:p w14:paraId="742C2DE6" w14:textId="3407FFAD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175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 xml:space="preserve"> (42.7)</w:t>
            </w:r>
          </w:p>
        </w:tc>
        <w:tc>
          <w:tcPr>
            <w:tcW w:w="2161" w:type="dxa"/>
            <w:shd w:val="clear" w:color="auto" w:fill="auto"/>
          </w:tcPr>
          <w:p w14:paraId="5DE9CDE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189.5 (38.7)</w:t>
            </w:r>
          </w:p>
        </w:tc>
        <w:tc>
          <w:tcPr>
            <w:tcW w:w="2161" w:type="dxa"/>
            <w:shd w:val="clear" w:color="auto" w:fill="auto"/>
          </w:tcPr>
          <w:p w14:paraId="6D8D392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185.6 (38.7)</w:t>
            </w:r>
          </w:p>
        </w:tc>
      </w:tr>
      <w:tr w:rsidR="00537C9F" w:rsidRPr="00A91A1C" w14:paraId="5BD81454" w14:textId="77777777" w:rsidTr="002D7365">
        <w:tc>
          <w:tcPr>
            <w:tcW w:w="2518" w:type="dxa"/>
            <w:shd w:val="clear" w:color="auto" w:fill="auto"/>
          </w:tcPr>
          <w:p w14:paraId="6FAE6192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LDL-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mg/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dL</w:t>
            </w:r>
            <w:proofErr w:type="spellEnd"/>
          </w:p>
        </w:tc>
        <w:tc>
          <w:tcPr>
            <w:tcW w:w="2161" w:type="dxa"/>
            <w:shd w:val="clear" w:color="auto" w:fill="auto"/>
          </w:tcPr>
          <w:p w14:paraId="0FE22344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100.6 (33.6)</w:t>
            </w:r>
          </w:p>
        </w:tc>
        <w:tc>
          <w:tcPr>
            <w:tcW w:w="2161" w:type="dxa"/>
            <w:shd w:val="clear" w:color="auto" w:fill="auto"/>
          </w:tcPr>
          <w:p w14:paraId="716F99AD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104.4 (30.9)</w:t>
            </w:r>
          </w:p>
        </w:tc>
        <w:tc>
          <w:tcPr>
            <w:tcW w:w="2161" w:type="dxa"/>
            <w:shd w:val="clear" w:color="auto" w:fill="auto"/>
          </w:tcPr>
          <w:p w14:paraId="616787F8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100.5 (30.9)</w:t>
            </w:r>
          </w:p>
        </w:tc>
      </w:tr>
      <w:tr w:rsidR="00537C9F" w:rsidRPr="00A91A1C" w14:paraId="418E1D88" w14:textId="77777777" w:rsidTr="002D7365">
        <w:tc>
          <w:tcPr>
            <w:tcW w:w="2518" w:type="dxa"/>
            <w:shd w:val="clear" w:color="auto" w:fill="auto"/>
          </w:tcPr>
          <w:p w14:paraId="0B90AF30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HDL-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mg/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dL</w:t>
            </w:r>
            <w:proofErr w:type="spellEnd"/>
          </w:p>
        </w:tc>
        <w:tc>
          <w:tcPr>
            <w:tcW w:w="2161" w:type="dxa"/>
            <w:shd w:val="clear" w:color="auto" w:fill="auto"/>
          </w:tcPr>
          <w:p w14:paraId="489D81A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56.4 (15.7)</w:t>
            </w:r>
          </w:p>
        </w:tc>
        <w:tc>
          <w:tcPr>
            <w:tcW w:w="2161" w:type="dxa"/>
            <w:shd w:val="clear" w:color="auto" w:fill="auto"/>
          </w:tcPr>
          <w:p w14:paraId="5D83CCD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65.7 (19.3)</w:t>
            </w:r>
          </w:p>
        </w:tc>
        <w:tc>
          <w:tcPr>
            <w:tcW w:w="2161" w:type="dxa"/>
            <w:shd w:val="clear" w:color="auto" w:fill="auto"/>
          </w:tcPr>
          <w:p w14:paraId="24573B63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65.7 (19.3)</w:t>
            </w:r>
          </w:p>
        </w:tc>
      </w:tr>
      <w:tr w:rsidR="00537C9F" w:rsidRPr="00A91A1C" w14:paraId="5BC75074" w14:textId="77777777" w:rsidTr="002D7365">
        <w:tc>
          <w:tcPr>
            <w:tcW w:w="2518" w:type="dxa"/>
            <w:shd w:val="clear" w:color="auto" w:fill="auto"/>
          </w:tcPr>
          <w:p w14:paraId="040FB8B6" w14:textId="1BF349F0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Triglycerides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mg/</w:t>
            </w:r>
            <w:proofErr w:type="spellStart"/>
            <w:r w:rsidR="00EF5926">
              <w:rPr>
                <w:rFonts w:ascii="Arial" w:hAnsi="Arial" w:cs="Arial"/>
                <w:sz w:val="20"/>
                <w:szCs w:val="20"/>
              </w:rPr>
              <w:t>dL</w:t>
            </w:r>
            <w:proofErr w:type="spellEnd"/>
          </w:p>
        </w:tc>
        <w:tc>
          <w:tcPr>
            <w:tcW w:w="2161" w:type="dxa"/>
            <w:shd w:val="clear" w:color="auto" w:fill="auto"/>
          </w:tcPr>
          <w:p w14:paraId="6A2DCA79" w14:textId="3BFED8D1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76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 xml:space="preserve"> (57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-105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61" w:type="dxa"/>
            <w:shd w:val="clear" w:color="auto" w:fill="auto"/>
          </w:tcPr>
          <w:p w14:paraId="79BD722C" w14:textId="614FC1A8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88.6 (62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-124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61" w:type="dxa"/>
            <w:shd w:val="clear" w:color="auto" w:fill="auto"/>
          </w:tcPr>
          <w:p w14:paraId="73D2099A" w14:textId="1C70A2EC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88.6 (62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–124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37C9F" w:rsidRPr="00A91A1C" w14:paraId="307FEB68" w14:textId="77777777" w:rsidTr="002D7365">
        <w:tc>
          <w:tcPr>
            <w:tcW w:w="2518" w:type="dxa"/>
            <w:shd w:val="clear" w:color="auto" w:fill="auto"/>
          </w:tcPr>
          <w:p w14:paraId="0866678F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eGFR-CKD-EPI, ml/min/1.73m</w:t>
            </w:r>
            <w:r w:rsidRPr="00537C9F"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  <w:t>2</w:t>
            </w:r>
          </w:p>
        </w:tc>
        <w:tc>
          <w:tcPr>
            <w:tcW w:w="2161" w:type="dxa"/>
            <w:shd w:val="clear" w:color="auto" w:fill="auto"/>
          </w:tcPr>
          <w:p w14:paraId="5B9F7E43" w14:textId="172D407C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116.8 (100.8-127</w:t>
            </w:r>
            <w:r w:rsidR="002D7365">
              <w:rPr>
                <w:rFonts w:ascii="Arial" w:hAnsi="Arial" w:cs="Arial"/>
                <w:sz w:val="20"/>
                <w:szCs w:val="20"/>
              </w:rPr>
              <w:t>.0</w:t>
            </w:r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61" w:type="dxa"/>
            <w:shd w:val="clear" w:color="auto" w:fill="auto"/>
          </w:tcPr>
          <w:p w14:paraId="10BBBBB7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99.6 (85.7–113.0)</w:t>
            </w:r>
          </w:p>
        </w:tc>
        <w:tc>
          <w:tcPr>
            <w:tcW w:w="2161" w:type="dxa"/>
            <w:shd w:val="clear" w:color="auto" w:fill="auto"/>
          </w:tcPr>
          <w:p w14:paraId="0D1D1A2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94.2 (79.4–107.7)</w:t>
            </w:r>
          </w:p>
        </w:tc>
      </w:tr>
      <w:tr w:rsidR="00537C9F" w:rsidRPr="00A91A1C" w14:paraId="07C57253" w14:textId="77777777" w:rsidTr="002D7365">
        <w:tc>
          <w:tcPr>
            <w:tcW w:w="2518" w:type="dxa"/>
            <w:shd w:val="clear" w:color="auto" w:fill="auto"/>
          </w:tcPr>
          <w:p w14:paraId="3676CDF2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Albuminuria category, %</w:t>
            </w:r>
          </w:p>
          <w:p w14:paraId="06C79C9A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A1</w:t>
            </w:r>
          </w:p>
          <w:p w14:paraId="32CF71B3" w14:textId="77777777" w:rsidR="00537C9F" w:rsidRPr="00537C9F" w:rsidRDefault="00537C9F" w:rsidP="002D736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A2</w:t>
            </w:r>
          </w:p>
          <w:p w14:paraId="5B49AAE1" w14:textId="77777777" w:rsidR="00537C9F" w:rsidRPr="00537C9F" w:rsidRDefault="00537C9F" w:rsidP="002D736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A3</w:t>
            </w:r>
          </w:p>
        </w:tc>
        <w:tc>
          <w:tcPr>
            <w:tcW w:w="2161" w:type="dxa"/>
            <w:shd w:val="clear" w:color="auto" w:fill="auto"/>
          </w:tcPr>
          <w:p w14:paraId="342D653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8FA80C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77.9 (73.8-81.6)</w:t>
            </w:r>
          </w:p>
          <w:p w14:paraId="3E2EA462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14.9 (11.9-18.6)</w:t>
            </w:r>
          </w:p>
          <w:p w14:paraId="1E651D25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7.1 (5.0-10.0)</w:t>
            </w:r>
          </w:p>
        </w:tc>
        <w:tc>
          <w:tcPr>
            <w:tcW w:w="2161" w:type="dxa"/>
            <w:shd w:val="clear" w:color="auto" w:fill="auto"/>
          </w:tcPr>
          <w:p w14:paraId="281BCA3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2A700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71.6 (70.2–72.9)</w:t>
            </w:r>
          </w:p>
          <w:p w14:paraId="7018D5FE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12.3 (11.3–13.3)</w:t>
            </w:r>
          </w:p>
          <w:p w14:paraId="03D6717B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5.2 (4.5–5.9)</w:t>
            </w:r>
          </w:p>
        </w:tc>
        <w:tc>
          <w:tcPr>
            <w:tcW w:w="2161" w:type="dxa"/>
            <w:shd w:val="clear" w:color="auto" w:fill="auto"/>
          </w:tcPr>
          <w:p w14:paraId="54CC2711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039789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84.4 (82.8–85.9)</w:t>
            </w:r>
          </w:p>
          <w:p w14:paraId="1FD92CE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14.7 (13.2–16.3)</w:t>
            </w:r>
          </w:p>
          <w:p w14:paraId="699B5980" w14:textId="77777777" w:rsidR="00537C9F" w:rsidRPr="00537C9F" w:rsidRDefault="00537C9F" w:rsidP="002D736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0.9 (0.6–1.5)</w:t>
            </w:r>
          </w:p>
        </w:tc>
      </w:tr>
    </w:tbl>
    <w:p w14:paraId="3CBF8011" w14:textId="04D43E36" w:rsidR="00537C9F" w:rsidRPr="00537C9F" w:rsidRDefault="00537C9F" w:rsidP="00537C9F">
      <w:pPr>
        <w:autoSpaceDE w:val="0"/>
        <w:autoSpaceDN w:val="0"/>
        <w:adjustRightInd w:val="0"/>
        <w:spacing w:after="0" w:line="480" w:lineRule="auto"/>
        <w:contextualSpacing/>
        <w:jc w:val="both"/>
        <w:rPr>
          <w:rFonts w:ascii="Arial" w:hAnsi="Arial" w:cs="Arial"/>
          <w:sz w:val="24"/>
          <w:szCs w:val="24"/>
          <w:shd w:val="clear" w:color="auto" w:fill="FFFFFF"/>
          <w:lang w:val="en-GB"/>
        </w:rPr>
      </w:pPr>
      <w:r w:rsidRPr="00537C9F">
        <w:rPr>
          <w:rFonts w:ascii="Arial" w:hAnsi="Arial" w:cs="Arial"/>
          <w:sz w:val="24"/>
          <w:szCs w:val="24"/>
          <w:lang w:val="en-GB"/>
        </w:rPr>
        <w:t>The data</w:t>
      </w:r>
      <w:r w:rsidRPr="00537C9F">
        <w:rPr>
          <w:rFonts w:ascii="Arial" w:eastAsiaTheme="minorHAnsi" w:hAnsi="Arial" w:cs="Arial"/>
          <w:sz w:val="24"/>
          <w:szCs w:val="24"/>
          <w:lang w:val="en-GB"/>
        </w:rPr>
        <w:t xml:space="preserve"> are </w:t>
      </w:r>
      <w:r w:rsidRPr="00537C9F">
        <w:rPr>
          <w:rFonts w:ascii="Arial" w:hAnsi="Arial" w:cs="Arial"/>
          <w:sz w:val="24"/>
          <w:szCs w:val="24"/>
          <w:lang w:val="en-GB"/>
        </w:rPr>
        <w:t xml:space="preserve">presented as the </w:t>
      </w:r>
      <w:r w:rsidRPr="00537C9F">
        <w:rPr>
          <w:rFonts w:ascii="Arial" w:eastAsiaTheme="minorHAnsi" w:hAnsi="Arial" w:cs="Arial"/>
          <w:sz w:val="24"/>
          <w:szCs w:val="24"/>
          <w:lang w:val="en-GB"/>
        </w:rPr>
        <w:t>means (</w:t>
      </w:r>
      <w:r w:rsidRPr="00537C9F">
        <w:rPr>
          <w:rFonts w:ascii="Arial" w:hAnsi="Arial" w:cs="Arial"/>
          <w:sz w:val="24"/>
          <w:szCs w:val="24"/>
          <w:lang w:val="en-GB"/>
        </w:rPr>
        <w:t>SDs</w:t>
      </w:r>
      <w:r w:rsidRPr="00537C9F">
        <w:rPr>
          <w:rFonts w:ascii="Arial" w:eastAsiaTheme="minorHAnsi" w:hAnsi="Arial" w:cs="Arial"/>
          <w:sz w:val="24"/>
          <w:szCs w:val="24"/>
          <w:lang w:val="en-GB"/>
        </w:rPr>
        <w:t xml:space="preserve">), medians (IQRs), or </w:t>
      </w:r>
      <w:r w:rsidRPr="00537C9F">
        <w:rPr>
          <w:rFonts w:ascii="Arial" w:hAnsi="Arial" w:cs="Arial"/>
          <w:sz w:val="24"/>
          <w:szCs w:val="24"/>
          <w:lang w:val="en-GB"/>
        </w:rPr>
        <w:t>proportions</w:t>
      </w:r>
      <w:r w:rsidRPr="00537C9F">
        <w:rPr>
          <w:rFonts w:ascii="Arial" w:eastAsiaTheme="minorHAnsi" w:hAnsi="Arial" w:cs="Arial"/>
          <w:sz w:val="24"/>
          <w:szCs w:val="24"/>
          <w:lang w:val="en-GB"/>
        </w:rPr>
        <w:t xml:space="preserve"> (95% </w:t>
      </w:r>
      <w:r w:rsidRPr="00537C9F">
        <w:rPr>
          <w:rFonts w:ascii="Arial" w:hAnsi="Arial" w:cs="Arial"/>
          <w:sz w:val="24"/>
          <w:szCs w:val="24"/>
          <w:lang w:val="en-GB"/>
        </w:rPr>
        <w:t>CIs</w:t>
      </w:r>
      <w:r w:rsidRPr="00537C9F">
        <w:rPr>
          <w:rFonts w:ascii="Arial" w:eastAsiaTheme="minorHAnsi" w:hAnsi="Arial" w:cs="Arial"/>
          <w:sz w:val="24"/>
          <w:szCs w:val="24"/>
          <w:lang w:val="en-GB"/>
        </w:rPr>
        <w:t xml:space="preserve">). </w:t>
      </w:r>
      <w:bookmarkStart w:id="0" w:name="_Hlk176198890"/>
      <w:r w:rsidRPr="00537C9F">
        <w:rPr>
          <w:rFonts w:ascii="Arial" w:eastAsiaTheme="minorHAnsi" w:hAnsi="Arial" w:cs="Arial"/>
          <w:sz w:val="24"/>
          <w:szCs w:val="24"/>
          <w:lang w:val="en-GB"/>
        </w:rPr>
        <w:t xml:space="preserve">CVD: cardiovascular disease (ischemic heart disease, ischemic stroke, heart failure, and peripheral artery disease); T1D: </w:t>
      </w:r>
      <w:r w:rsidRPr="00537C9F">
        <w:rPr>
          <w:rFonts w:ascii="Arial" w:hAnsi="Arial" w:cs="Arial"/>
          <w:sz w:val="24"/>
          <w:szCs w:val="24"/>
          <w:lang w:val="en-GB"/>
        </w:rPr>
        <w:t>type</w:t>
      </w:r>
      <w:r w:rsidRPr="00537C9F">
        <w:rPr>
          <w:rFonts w:ascii="Arial" w:eastAsiaTheme="minorHAnsi" w:hAnsi="Arial" w:cs="Arial"/>
          <w:sz w:val="24"/>
          <w:szCs w:val="24"/>
          <w:lang w:val="en-GB"/>
        </w:rPr>
        <w:t xml:space="preserve"> 1 diabetes; BMI: body mass index; eGFR: estimated glomerular filtration rate</w:t>
      </w:r>
      <w:r>
        <w:rPr>
          <w:rFonts w:ascii="Arial" w:eastAsiaTheme="minorHAnsi" w:hAnsi="Arial" w:cs="Arial"/>
          <w:sz w:val="24"/>
          <w:szCs w:val="24"/>
          <w:lang w:val="en-GB"/>
        </w:rPr>
        <w:t xml:space="preserve">; </w:t>
      </w:r>
      <w:r w:rsidRPr="00537C9F">
        <w:rPr>
          <w:rFonts w:ascii="Arial" w:hAnsi="Arial" w:cs="Arial"/>
          <w:sz w:val="24"/>
          <w:szCs w:val="24"/>
          <w:lang w:val="en-GB"/>
        </w:rPr>
        <w:t xml:space="preserve">CKD-EPI: Chronic </w:t>
      </w:r>
      <w:r w:rsidRPr="00537C9F">
        <w:rPr>
          <w:rFonts w:ascii="Arial" w:hAnsi="Arial" w:cs="Arial"/>
          <w:color w:val="202124"/>
          <w:sz w:val="24"/>
          <w:szCs w:val="24"/>
          <w:lang w:val="en-GB"/>
        </w:rPr>
        <w:t>Kidney Disease Epidemiology Collaboration</w:t>
      </w:r>
      <w:r w:rsidRPr="00537C9F">
        <w:rPr>
          <w:rFonts w:ascii="Arial" w:eastAsiaTheme="minorHAnsi" w:hAnsi="Arial" w:cs="Arial"/>
          <w:sz w:val="24"/>
          <w:szCs w:val="24"/>
          <w:lang w:val="en-GB"/>
        </w:rPr>
        <w:t>.</w:t>
      </w:r>
      <w:bookmarkEnd w:id="0"/>
    </w:p>
    <w:p w14:paraId="19A0E292" w14:textId="77777777" w:rsidR="00537C9F" w:rsidRDefault="00537C9F" w:rsidP="00537C9F">
      <w:pPr>
        <w:pStyle w:val="SemEspaamento"/>
        <w:spacing w:line="480" w:lineRule="auto"/>
        <w:contextualSpacing/>
        <w:rPr>
          <w:rFonts w:ascii="Arial" w:hAnsi="Arial" w:cs="Arial"/>
          <w:sz w:val="24"/>
          <w:szCs w:val="24"/>
          <w:shd w:val="clear" w:color="auto" w:fill="FFFFFF"/>
          <w:lang w:val="en-GB"/>
        </w:rPr>
      </w:pPr>
    </w:p>
    <w:p w14:paraId="4C20BF13" w14:textId="2B2764CE" w:rsidR="00537C9F" w:rsidRPr="00537C9F" w:rsidRDefault="00537C9F" w:rsidP="00537C9F">
      <w:pPr>
        <w:spacing w:after="0" w:line="480" w:lineRule="auto"/>
        <w:contextualSpacing/>
        <w:rPr>
          <w:rFonts w:ascii="Arial" w:hAnsi="Arial" w:cs="Arial"/>
          <w:sz w:val="24"/>
          <w:szCs w:val="24"/>
          <w:lang w:val="en-GB"/>
        </w:rPr>
      </w:pPr>
      <w:bookmarkStart w:id="1" w:name="_Hlk176198842"/>
      <w:r w:rsidRPr="00537C9F">
        <w:rPr>
          <w:rFonts w:ascii="Arial" w:hAnsi="Arial" w:cs="Arial"/>
          <w:b/>
          <w:bCs/>
          <w:sz w:val="24"/>
          <w:szCs w:val="24"/>
          <w:lang w:val="en-GB"/>
        </w:rPr>
        <w:t xml:space="preserve">Supplemental </w:t>
      </w:r>
      <w:r w:rsidRPr="00537C9F">
        <w:rPr>
          <w:rFonts w:ascii="Arial" w:hAnsi="Arial" w:cs="Arial"/>
          <w:b/>
          <w:sz w:val="24"/>
          <w:szCs w:val="24"/>
          <w:shd w:val="clear" w:color="auto" w:fill="FFFFFF"/>
          <w:lang w:val="en-GB"/>
        </w:rPr>
        <w:t>Table S3</w:t>
      </w:r>
      <w:r w:rsidRPr="00537C9F">
        <w:rPr>
          <w:rFonts w:ascii="Arial" w:hAnsi="Arial" w:cs="Arial"/>
          <w:b/>
          <w:sz w:val="24"/>
          <w:szCs w:val="24"/>
          <w:lang w:val="en-GB"/>
        </w:rPr>
        <w:t xml:space="preserve">. </w:t>
      </w:r>
      <w:bookmarkEnd w:id="1"/>
      <w:r w:rsidRPr="00537C9F">
        <w:rPr>
          <w:rFonts w:ascii="Arial" w:hAnsi="Arial" w:cs="Arial"/>
          <w:sz w:val="24"/>
          <w:szCs w:val="24"/>
          <w:lang w:val="en-GB"/>
        </w:rPr>
        <w:t>Characteristics of T1D patients included in the 10-year follow-up (223) evaluation versus those not included (21</w:t>
      </w:r>
      <w:r w:rsidR="00225B5D">
        <w:rPr>
          <w:rFonts w:ascii="Arial" w:hAnsi="Arial" w:cs="Arial"/>
          <w:sz w:val="24"/>
          <w:szCs w:val="24"/>
          <w:lang w:val="en-GB"/>
        </w:rPr>
        <w:t>2</w:t>
      </w:r>
      <w:r w:rsidRPr="00537C9F">
        <w:rPr>
          <w:rFonts w:ascii="Arial" w:hAnsi="Arial" w:cs="Arial"/>
          <w:sz w:val="24"/>
          <w:szCs w:val="24"/>
          <w:lang w:val="en-GB"/>
        </w:rPr>
        <w:t xml:space="preserve">). 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3399"/>
        <w:gridCol w:w="1987"/>
        <w:gridCol w:w="1985"/>
        <w:gridCol w:w="1133"/>
      </w:tblGrid>
      <w:tr w:rsidR="00537C9F" w:rsidRPr="00537C9F" w14:paraId="79C63787" w14:textId="77777777" w:rsidTr="002D7365">
        <w:tc>
          <w:tcPr>
            <w:tcW w:w="1999" w:type="pct"/>
            <w:tcBorders>
              <w:top w:val="sing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1F4F130C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nil"/>
              <w:bottom w:val="single" w:sz="8" w:space="0" w:color="auto"/>
              <w:right w:val="nil"/>
            </w:tcBorders>
          </w:tcPr>
          <w:p w14:paraId="379A705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  <w:lang w:val="en-GB"/>
              </w:rPr>
              <w:t>Included at          10-year follow-up</w:t>
            </w:r>
          </w:p>
        </w:tc>
        <w:tc>
          <w:tcPr>
            <w:tcW w:w="1167" w:type="pct"/>
            <w:tcBorders>
              <w:top w:val="sing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3AD500F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  <w:lang w:val="en-GB"/>
              </w:rPr>
              <w:t>Not included at 10-year follow-up</w:t>
            </w:r>
          </w:p>
        </w:tc>
        <w:tc>
          <w:tcPr>
            <w:tcW w:w="666" w:type="pct"/>
            <w:tcBorders>
              <w:top w:val="sing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1893D104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537C9F">
              <w:rPr>
                <w:rFonts w:ascii="Arial" w:hAnsi="Arial" w:cs="Arial"/>
                <w:b/>
                <w:sz w:val="20"/>
                <w:szCs w:val="20"/>
              </w:rPr>
              <w:t>p-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value</w:t>
            </w:r>
            <w:proofErr w:type="spellEnd"/>
          </w:p>
        </w:tc>
      </w:tr>
      <w:tr w:rsidR="00537C9F" w:rsidRPr="00537C9F" w14:paraId="73FEA1BD" w14:textId="77777777" w:rsidTr="002D7365">
        <w:tc>
          <w:tcPr>
            <w:tcW w:w="1999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4D3545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1168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1018263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223</w:t>
            </w:r>
          </w:p>
        </w:tc>
        <w:tc>
          <w:tcPr>
            <w:tcW w:w="116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1F40681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212</w:t>
            </w:r>
          </w:p>
        </w:tc>
        <w:tc>
          <w:tcPr>
            <w:tcW w:w="66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9AA43FA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C9F" w:rsidRPr="00537C9F" w14:paraId="4CD8F30E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8FBA49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Clinical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characteristics</w:t>
            </w:r>
            <w:proofErr w:type="spellEnd"/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6EA4847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E3A9C1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F42269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C9F" w:rsidRPr="00537C9F" w14:paraId="041AC86A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F142EB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Age (years)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77A0FB3F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27.0 (22.0-34.0)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D3A3D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23.0 (20.0-28.5)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411DA3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537C9F" w:rsidRPr="00537C9F" w14:paraId="79C3F13F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8747F4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Male,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6AE00D04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108 (48.4)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604731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95 (44.8)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97FCA3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0.449</w:t>
            </w:r>
          </w:p>
        </w:tc>
      </w:tr>
      <w:tr w:rsidR="00537C9F" w:rsidRPr="00537C9F" w14:paraId="5FF85D17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0AFDC9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White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race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59B70A9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131 (59.0)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1F405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133 (63.0)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F332FF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0.391</w:t>
            </w:r>
          </w:p>
        </w:tc>
      </w:tr>
      <w:tr w:rsidR="00537C9F" w:rsidRPr="00537C9F" w14:paraId="6938260A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83051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Age at T1D diagnosis (years)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79028204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11.0 (7.0-18.0)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42D78D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11.5 (8.0-16.0)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541F0D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0.934</w:t>
            </w:r>
          </w:p>
        </w:tc>
      </w:tr>
      <w:tr w:rsidR="00537C9F" w:rsidRPr="00537C9F" w14:paraId="6D66853F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183230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 xml:space="preserve">Early onset T1D (1-10 years of age),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7D4A2C22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97 (43.5)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8C063F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89 (42.0)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D855F6" w14:textId="77777777" w:rsidR="00537C9F" w:rsidRPr="00537C9F" w:rsidRDefault="00537C9F" w:rsidP="002D7365">
            <w:pPr>
              <w:tabs>
                <w:tab w:val="right" w:pos="770"/>
              </w:tabs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ab/>
              <w:t>0.749</w:t>
            </w:r>
          </w:p>
        </w:tc>
      </w:tr>
      <w:tr w:rsidR="00537C9F" w:rsidRPr="00537C9F" w14:paraId="5C5FFAF1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12BBA6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Diabetes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duration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(years)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16B5893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14.0 (9.0-20.0)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5E393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12.0 (8.0-16.0)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57681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</w:tr>
      <w:tr w:rsidR="00537C9F" w:rsidRPr="00537C9F" w14:paraId="3B47F6D2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2AE5B6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BMI (kg/m</w:t>
            </w:r>
            <w:r w:rsidRPr="00537C9F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2DBB621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23.6 (21.4-25.9)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AFDB1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23.4 (21.4-26.2)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3B733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0.959</w:t>
            </w:r>
          </w:p>
        </w:tc>
      </w:tr>
      <w:tr w:rsidR="00537C9F" w:rsidRPr="00537C9F" w14:paraId="586DF635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D4A137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Waist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circumference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(cm)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239AD6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87.0 (83.0-94.0)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BDE38B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84.0 (79.0-89.0)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CF1BE5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0.015</w:t>
            </w:r>
          </w:p>
        </w:tc>
      </w:tr>
      <w:tr w:rsidR="00537C9F" w:rsidRPr="00537C9F" w14:paraId="0BDAFA30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B3D2D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Waist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circumference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height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ratio</w:t>
            </w:r>
            <w:proofErr w:type="spellEnd"/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31B6ACBC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0.53 (0.49-0.57)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0D636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0.51 (0.48-0.55)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BBF69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0.028</w:t>
            </w:r>
          </w:p>
        </w:tc>
      </w:tr>
      <w:tr w:rsidR="00537C9F" w:rsidRPr="00537C9F" w14:paraId="6399B4CD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BCAB26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Current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smokers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62FEB4FB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17 (7.6)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71FBC4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12 (5.7)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D46E57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0.412</w:t>
            </w:r>
          </w:p>
        </w:tc>
      </w:tr>
      <w:tr w:rsidR="00537C9F" w:rsidRPr="00537C9F" w14:paraId="41A5628D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BA1B54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 xml:space="preserve">Alcohol intake,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%)</w:t>
            </w:r>
          </w:p>
          <w:p w14:paraId="70B72CD8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0 units/week</w:t>
            </w:r>
          </w:p>
          <w:p w14:paraId="3E4057AD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1-20 units/week</w:t>
            </w:r>
          </w:p>
          <w:p w14:paraId="45704F67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&gt;20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units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week</w:t>
            </w:r>
            <w:proofErr w:type="spellEnd"/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00A30E2B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6342B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80 (80.8)</w:t>
            </w:r>
          </w:p>
          <w:p w14:paraId="1D043291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15 (15.2)</w:t>
            </w:r>
          </w:p>
          <w:p w14:paraId="4514A4D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 (4.0)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051BEB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0CEAE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56 (80.0)</w:t>
            </w:r>
          </w:p>
          <w:p w14:paraId="719D56CB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12 (17.1)</w:t>
            </w:r>
          </w:p>
          <w:p w14:paraId="3C179BA3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 (2.9)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BA99A6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0.875</w:t>
            </w:r>
          </w:p>
        </w:tc>
      </w:tr>
      <w:tr w:rsidR="00537C9F" w:rsidRPr="00537C9F" w14:paraId="081A920E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C28EC6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Physical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activity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(≥ 3.5 h/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week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2EBE359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48 (21.5)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7DA79F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49 (23.1)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945F58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0.691</w:t>
            </w:r>
          </w:p>
        </w:tc>
      </w:tr>
      <w:tr w:rsidR="00537C9F" w:rsidRPr="00537C9F" w14:paraId="5B4709FB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61E9D1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Systolic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blood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pressure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(mmHg)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0D53E2C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120.0 (110.0-130.0)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2EA1E9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120.0 (110.0-130.0)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065065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0.437</w:t>
            </w:r>
          </w:p>
        </w:tc>
      </w:tr>
      <w:tr w:rsidR="00537C9F" w:rsidRPr="00537C9F" w14:paraId="7A318C17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56D379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Diastolic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blood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pressure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(mmHg)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50FBBB5F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80.0 (70.0-80.0)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50135C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80.0 (70.0-80.0)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03A72E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0.507</w:t>
            </w:r>
          </w:p>
        </w:tc>
      </w:tr>
      <w:tr w:rsidR="00537C9F" w:rsidRPr="00537C9F" w14:paraId="34E7049D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D83C46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Hypertension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578D354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54 (24.2)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40C0B3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32.0 (15.1)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2D74CF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0.017</w:t>
            </w:r>
          </w:p>
        </w:tc>
      </w:tr>
      <w:tr w:rsidR="00537C9F" w:rsidRPr="00537C9F" w14:paraId="08A77A2C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A8C597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Dyslipidemia,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6EB1016D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83 (37.2)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90AF0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56 (24.4)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987AB0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0.016</w:t>
            </w:r>
          </w:p>
        </w:tc>
      </w:tr>
      <w:tr w:rsidR="00537C9F" w:rsidRPr="00537C9F" w14:paraId="7D811538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06A15C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 xml:space="preserve">Family history of premature CVD,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%)</w:t>
            </w:r>
            <w:r w:rsidRPr="00537C9F">
              <w:rPr>
                <w:rFonts w:ascii="Arial" w:hAnsi="Arial" w:cs="Arial"/>
                <w:color w:val="383636"/>
                <w:sz w:val="20"/>
                <w:szCs w:val="20"/>
                <w:shd w:val="clear" w:color="auto" w:fill="FFFFFF"/>
                <w:vertAlign w:val="superscript"/>
                <w:lang w:val="en-GB"/>
              </w:rPr>
              <w:t>§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56902D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14 (9.2)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9DCED6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12 (9.6)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14C974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0.898</w:t>
            </w:r>
          </w:p>
        </w:tc>
      </w:tr>
      <w:tr w:rsidR="00537C9F" w:rsidRPr="00537C9F" w14:paraId="3CA7706C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17FA61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CSII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therapy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1EED50F4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22 (9.9)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4761D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15 (7.1)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80DCE7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0.297</w:t>
            </w:r>
          </w:p>
        </w:tc>
      </w:tr>
      <w:tr w:rsidR="00537C9F" w:rsidRPr="00537C9F" w14:paraId="2980C694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90A54A" w14:textId="4FC4156D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 xml:space="preserve">    Insulin dose </w:t>
            </w:r>
            <w:r w:rsidR="00EF5926">
              <w:rPr>
                <w:rFonts w:ascii="Arial" w:hAnsi="Arial" w:cs="Arial"/>
                <w:sz w:val="20"/>
                <w:szCs w:val="20"/>
                <w:lang w:val="en-GB"/>
              </w:rPr>
              <w:t>(IU</w:t>
            </w: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/kg/day)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0E2201B8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0.84 (0.65-1.00)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8B0C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0.87 (0.69-1.06)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93BB2E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0.338</w:t>
            </w:r>
          </w:p>
        </w:tc>
      </w:tr>
      <w:tr w:rsidR="00537C9F" w:rsidRPr="00537C9F" w14:paraId="0131774C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4EE0B3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Diabetic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kidney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disease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090F1111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79 (35.4)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0E6B1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52 (24.5)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2EB70F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0.013</w:t>
            </w:r>
          </w:p>
        </w:tc>
      </w:tr>
      <w:tr w:rsidR="00537C9F" w:rsidRPr="00537C9F" w14:paraId="6AF2B9FD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BA3E9A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Retinopathy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100894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45 (21.4)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9FBE0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38 (20.8)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4A5D87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0.872</w:t>
            </w:r>
          </w:p>
        </w:tc>
      </w:tr>
      <w:tr w:rsidR="00537C9F" w:rsidRPr="00537C9F" w14:paraId="66FCE14A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D616B8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Peripheral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neuropathy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3C327BC4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37 (17.3)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C2EFD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31 (15.9)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77B239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0.706</w:t>
            </w:r>
          </w:p>
        </w:tc>
      </w:tr>
      <w:tr w:rsidR="00537C9F" w:rsidRPr="00537C9F" w14:paraId="2A336120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5BB0A6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Autonomic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neuropathy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6E947ED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66 (30.3)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D2A9DD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37 (18.9)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CB6020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0.007</w:t>
            </w:r>
          </w:p>
        </w:tc>
      </w:tr>
      <w:tr w:rsidR="00537C9F" w:rsidRPr="00537C9F" w14:paraId="093A066C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21D6A1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Orthostatic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hypotension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, n (%)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7D33955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25 (14.8)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F4DC9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10 (8.6)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BF1FF6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0.119</w:t>
            </w:r>
          </w:p>
        </w:tc>
      </w:tr>
      <w:tr w:rsidR="00537C9F" w:rsidRPr="00537C9F" w14:paraId="19EA1DD3" w14:textId="77777777" w:rsidTr="002D7365">
        <w:tc>
          <w:tcPr>
            <w:tcW w:w="1999" w:type="pct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12151FD9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Laboratory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characteristics</w:t>
            </w:r>
            <w:proofErr w:type="spellEnd"/>
          </w:p>
        </w:tc>
        <w:tc>
          <w:tcPr>
            <w:tcW w:w="1168" w:type="pct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</w:tcPr>
          <w:p w14:paraId="4F738DA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1F0E97B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0DDE081E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C9F" w:rsidRPr="00537C9F" w14:paraId="1614E594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86E099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HbA1c (%)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62632938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8.5 (7.7-9.8)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3128C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8.8 (7.7-10.1)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F72A0C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0.131</w:t>
            </w:r>
          </w:p>
        </w:tc>
      </w:tr>
      <w:tr w:rsidR="00537C9F" w:rsidRPr="00537C9F" w14:paraId="08EB3A7F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B822BA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HbA1c (mmol/mol)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51909B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69.4 (60.6-83.4)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97A57F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72.6 (60.6-87.0)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B4F36C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0.131</w:t>
            </w:r>
          </w:p>
        </w:tc>
      </w:tr>
      <w:tr w:rsidR="00537C9F" w:rsidRPr="00537C9F" w14:paraId="3AE1C58A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2FDFD2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Total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(mg/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1EAA5248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167.5 (148.0-198.0)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236994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167.5 (147.0-200.0)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9608F0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0.517</w:t>
            </w:r>
          </w:p>
        </w:tc>
      </w:tr>
      <w:tr w:rsidR="00537C9F" w:rsidRPr="00537C9F" w14:paraId="796130E4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641DC5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LDL-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(mg/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55D6D1D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98.0 (81.0-116.0)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3D7662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94.0 (78.0-120.0)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36472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0.682</w:t>
            </w:r>
          </w:p>
        </w:tc>
      </w:tr>
      <w:tr w:rsidR="00537C9F" w:rsidRPr="00537C9F" w14:paraId="1A673C4F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9DA5F9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HDL-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cholesterol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(mg/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5AF500C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54.0 (44.0-63.0)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2B7211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54.0 (47.0-65.5)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C3AA41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0.244</w:t>
            </w:r>
          </w:p>
        </w:tc>
      </w:tr>
      <w:tr w:rsidR="00537C9F" w:rsidRPr="00537C9F" w14:paraId="722F4AC9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815B20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Triglycerides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(mg/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dL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E91857C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72.0 (54.0-100.0)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BABBFD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81.0 (61.0-113.0)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CABFDC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0.016</w:t>
            </w:r>
          </w:p>
        </w:tc>
      </w:tr>
      <w:tr w:rsidR="00537C9F" w:rsidRPr="00537C9F" w14:paraId="4CB6FF99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550891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eGFR-CKD-EPI (ml/min/1.73m</w:t>
            </w:r>
            <w:r w:rsidRPr="00537C9F"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  <w:t>2</w:t>
            </w:r>
            <w:r w:rsidRPr="00537C9F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28366CC8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115.3 (100.2-126.1)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F800C8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119.2 (101.5-127.8)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42E77A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0.349</w:t>
            </w:r>
          </w:p>
        </w:tc>
      </w:tr>
      <w:tr w:rsidR="00537C9F" w:rsidRPr="00537C9F" w14:paraId="178DFB0B" w14:textId="77777777" w:rsidTr="002D7365">
        <w:tc>
          <w:tcPr>
            <w:tcW w:w="1999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237866FA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Albuminuria category,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  <w:p w14:paraId="5D1348DB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A1</w:t>
            </w:r>
          </w:p>
          <w:p w14:paraId="47DED0B3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    A2</w:t>
            </w:r>
          </w:p>
          <w:p w14:paraId="49F94662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    A3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</w:tcPr>
          <w:p w14:paraId="7B0DF1E5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05C54B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177 (79.4)</w:t>
            </w:r>
          </w:p>
          <w:p w14:paraId="356EA5B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32 (14.4)</w:t>
            </w:r>
          </w:p>
          <w:p w14:paraId="70D729CD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14 (6.3)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096B87A6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3FAD9D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161 (75.9)</w:t>
            </w:r>
          </w:p>
          <w:p w14:paraId="0EF456B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34 (16.0)</w:t>
            </w:r>
          </w:p>
          <w:p w14:paraId="4EAFC641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17 (8.0)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auto"/>
          </w:tcPr>
          <w:p w14:paraId="48559DA7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0.660</w:t>
            </w:r>
          </w:p>
        </w:tc>
      </w:tr>
      <w:tr w:rsidR="00537C9F" w:rsidRPr="00537C9F" w14:paraId="490DC277" w14:textId="77777777" w:rsidTr="002D7365">
        <w:tc>
          <w:tcPr>
            <w:tcW w:w="1999" w:type="pct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3CE493A3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Pharmacological</w:t>
            </w:r>
            <w:proofErr w:type="spellEnd"/>
            <w:r w:rsidRPr="00537C9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b/>
                <w:sz w:val="20"/>
                <w:szCs w:val="20"/>
              </w:rPr>
              <w:t>treatment</w:t>
            </w:r>
            <w:proofErr w:type="spellEnd"/>
          </w:p>
        </w:tc>
        <w:tc>
          <w:tcPr>
            <w:tcW w:w="1168" w:type="pct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</w:tcPr>
          <w:p w14:paraId="2800A85C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3C47AA96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24681C2D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C9F" w:rsidRPr="00537C9F" w14:paraId="229DD299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EA1A16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Antidiabetic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drugs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2F78314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34 (15.3)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6C5BE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26 (12.3)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0D7066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0.367</w:t>
            </w:r>
          </w:p>
        </w:tc>
      </w:tr>
      <w:tr w:rsidR="00537C9F" w:rsidRPr="00537C9F" w14:paraId="2B655362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A4ED62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Statins,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21338C1D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44 (19.7)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930143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27 (12.7)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A4412F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0.048</w:t>
            </w:r>
          </w:p>
        </w:tc>
      </w:tr>
      <w:tr w:rsidR="00537C9F" w:rsidRPr="00537C9F" w14:paraId="2CB8C5BD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3CAFFD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Antihypertensive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5838717F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98 (44.0)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670742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40 (19.0)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E1496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537C9F" w:rsidRPr="00537C9F" w14:paraId="5B98A05E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86B841" w14:textId="77777777" w:rsidR="00537C9F" w:rsidRPr="00537C9F" w:rsidRDefault="00537C9F" w:rsidP="002D7365">
            <w:pPr>
              <w:spacing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Aspirin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 use,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1657723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24 (10.8)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C5E207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9 (4.3)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7D00E8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0.010</w:t>
            </w:r>
          </w:p>
        </w:tc>
      </w:tr>
      <w:tr w:rsidR="00537C9F" w:rsidRPr="00537C9F" w14:paraId="11D8B2A4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4D190F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ST1RE </w:t>
            </w:r>
            <w:proofErr w:type="spellStart"/>
            <w:r w:rsidRPr="00537C9F">
              <w:rPr>
                <w:rFonts w:ascii="Arial" w:hAnsi="Arial" w:cs="Arial"/>
                <w:b/>
                <w:bCs/>
                <w:sz w:val="20"/>
                <w:szCs w:val="20"/>
              </w:rPr>
              <w:t>categories</w:t>
            </w:r>
            <w:proofErr w:type="spellEnd"/>
            <w:r w:rsidRPr="00537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6DC6FEEE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2EF04B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C51C3A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       0.288</w:t>
            </w:r>
          </w:p>
        </w:tc>
      </w:tr>
      <w:tr w:rsidR="00537C9F" w:rsidRPr="00537C9F" w14:paraId="65E98131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A01B0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Low-risk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4F2F9B0C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182 (81.6)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5BFA97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184 (86.8)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A96DE4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C9F" w:rsidRPr="00537C9F" w14:paraId="63DB2FDD" w14:textId="77777777" w:rsidTr="002D7365">
        <w:tc>
          <w:tcPr>
            <w:tcW w:w="19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E2BF0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Moderate-risk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nil"/>
              <w:right w:val="nil"/>
            </w:tcBorders>
          </w:tcPr>
          <w:p w14:paraId="1CB868B0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29 (13.0)</w:t>
            </w:r>
          </w:p>
        </w:tc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94DAE3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18 (8.5)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9E2417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C9F" w:rsidRPr="00537C9F" w14:paraId="146E28CB" w14:textId="77777777" w:rsidTr="002D7365"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C82340" w14:textId="77777777" w:rsidR="00537C9F" w:rsidRPr="00537C9F" w:rsidRDefault="00537C9F" w:rsidP="002D736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   High-</w:t>
            </w:r>
            <w:proofErr w:type="spellStart"/>
            <w:r w:rsidRPr="00537C9F">
              <w:rPr>
                <w:rFonts w:ascii="Arial" w:hAnsi="Arial" w:cs="Arial"/>
                <w:sz w:val="20"/>
                <w:szCs w:val="20"/>
              </w:rPr>
              <w:t>risk</w:t>
            </w:r>
            <w:proofErr w:type="spellEnd"/>
            <w:r w:rsidRPr="00537C9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537C9F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537C9F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FD32A8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>12 (5.4)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8D19CA" w14:textId="77777777" w:rsidR="00537C9F" w:rsidRPr="00537C9F" w:rsidRDefault="00537C9F" w:rsidP="002D736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C9F">
              <w:rPr>
                <w:rFonts w:ascii="Arial" w:hAnsi="Arial" w:cs="Arial"/>
                <w:sz w:val="20"/>
                <w:szCs w:val="20"/>
              </w:rPr>
              <w:t xml:space="preserve">10 (4.7) 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235485" w14:textId="77777777" w:rsidR="00537C9F" w:rsidRPr="00537C9F" w:rsidRDefault="00537C9F" w:rsidP="002D7365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1FA93E" w14:textId="77777777" w:rsidR="00537C9F" w:rsidRPr="00537C9F" w:rsidRDefault="00537C9F" w:rsidP="00537C9F">
      <w:pPr>
        <w:pStyle w:val="SemEspaamento"/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37C9F">
        <w:rPr>
          <w:rFonts w:ascii="Arial" w:hAnsi="Arial" w:cs="Arial"/>
          <w:sz w:val="24"/>
          <w:szCs w:val="24"/>
          <w:lang w:val="en-GB"/>
        </w:rPr>
        <w:t xml:space="preserve">Categorical variables are shown as n (%), and numeric variables are shown as medians (IQRs) or means (SDs). T1D: Type 1 diabetes; BMI: body mass index; CVD: cardiovascular disease; CSII: </w:t>
      </w:r>
      <w:bookmarkStart w:id="2" w:name="_Hlk176198974"/>
      <w:r w:rsidRPr="00537C9F">
        <w:rPr>
          <w:rFonts w:ascii="Arial" w:hAnsi="Arial" w:cs="Arial"/>
          <w:sz w:val="24"/>
          <w:szCs w:val="24"/>
          <w:lang w:val="en-GB"/>
        </w:rPr>
        <w:t>continuous subcutaneous insulin infusion;</w:t>
      </w:r>
      <w:bookmarkEnd w:id="2"/>
      <w:r w:rsidRPr="00537C9F">
        <w:rPr>
          <w:rFonts w:ascii="Arial" w:hAnsi="Arial" w:cs="Arial"/>
          <w:sz w:val="24"/>
          <w:szCs w:val="24"/>
          <w:lang w:val="en-GB"/>
        </w:rPr>
        <w:t xml:space="preserve"> eGFR: estimated glomerular filtration rate; CKD-EPI: Chronic </w:t>
      </w:r>
      <w:r w:rsidRPr="00537C9F">
        <w:rPr>
          <w:rFonts w:ascii="Arial" w:hAnsi="Arial" w:cs="Arial"/>
          <w:color w:val="202124"/>
          <w:sz w:val="24"/>
          <w:szCs w:val="24"/>
          <w:lang w:val="en-GB"/>
        </w:rPr>
        <w:t xml:space="preserve">Kidney Disease Epidemiology Collaboration; ST1RE: Steno Type 1 Risk Engine. </w:t>
      </w:r>
      <w:r w:rsidRPr="00537C9F">
        <w:rPr>
          <w:rFonts w:ascii="Arial" w:hAnsi="Arial" w:cs="Arial"/>
          <w:color w:val="383636"/>
          <w:sz w:val="24"/>
          <w:szCs w:val="24"/>
          <w:shd w:val="clear" w:color="auto" w:fill="FFFFFF"/>
        </w:rPr>
        <w:t>§</w:t>
      </w:r>
      <w:proofErr w:type="spellStart"/>
      <w:r w:rsidRPr="00537C9F">
        <w:rPr>
          <w:rFonts w:ascii="Arial" w:hAnsi="Arial" w:cs="Arial"/>
          <w:sz w:val="24"/>
          <w:szCs w:val="24"/>
        </w:rPr>
        <w:t>Defined</w:t>
      </w:r>
      <w:proofErr w:type="spellEnd"/>
      <w:r w:rsidRPr="00537C9F">
        <w:rPr>
          <w:rFonts w:ascii="Arial" w:hAnsi="Arial" w:cs="Arial"/>
          <w:sz w:val="24"/>
          <w:szCs w:val="24"/>
        </w:rPr>
        <w:t xml:space="preserve"> as &lt; 55 years in </w:t>
      </w:r>
      <w:proofErr w:type="spellStart"/>
      <w:r w:rsidRPr="00537C9F">
        <w:rPr>
          <w:rFonts w:ascii="Arial" w:hAnsi="Arial" w:cs="Arial"/>
          <w:sz w:val="24"/>
          <w:szCs w:val="24"/>
        </w:rPr>
        <w:t>men</w:t>
      </w:r>
      <w:proofErr w:type="spellEnd"/>
      <w:r w:rsidRPr="00537C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7C9F">
        <w:rPr>
          <w:rFonts w:ascii="Arial" w:hAnsi="Arial" w:cs="Arial"/>
          <w:sz w:val="24"/>
          <w:szCs w:val="24"/>
        </w:rPr>
        <w:t>and</w:t>
      </w:r>
      <w:proofErr w:type="spellEnd"/>
      <w:r w:rsidRPr="00537C9F">
        <w:rPr>
          <w:rFonts w:ascii="Arial" w:hAnsi="Arial" w:cs="Arial"/>
          <w:sz w:val="24"/>
          <w:szCs w:val="24"/>
        </w:rPr>
        <w:t xml:space="preserve"> &lt; 65 years in </w:t>
      </w:r>
      <w:proofErr w:type="spellStart"/>
      <w:r w:rsidRPr="00537C9F">
        <w:rPr>
          <w:rFonts w:ascii="Arial" w:hAnsi="Arial" w:cs="Arial"/>
          <w:sz w:val="24"/>
          <w:szCs w:val="24"/>
        </w:rPr>
        <w:t>women</w:t>
      </w:r>
      <w:proofErr w:type="spellEnd"/>
      <w:r w:rsidRPr="00537C9F">
        <w:rPr>
          <w:rFonts w:ascii="Arial" w:hAnsi="Arial" w:cs="Arial"/>
          <w:sz w:val="24"/>
          <w:szCs w:val="24"/>
        </w:rPr>
        <w:t>.</w:t>
      </w:r>
    </w:p>
    <w:p w14:paraId="64DFAEF7" w14:textId="77777777" w:rsidR="00537C9F" w:rsidRDefault="00537C9F"/>
    <w:sectPr w:rsidR="00537C9F" w:rsidSect="00042B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C9F"/>
    <w:rsid w:val="00042BC8"/>
    <w:rsid w:val="00225B5D"/>
    <w:rsid w:val="002D7365"/>
    <w:rsid w:val="00537C9F"/>
    <w:rsid w:val="00BE76CF"/>
    <w:rsid w:val="00D202B1"/>
    <w:rsid w:val="00E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E8929"/>
  <w15:chartTrackingRefBased/>
  <w15:docId w15:val="{1E5652CA-F9BA-4CCA-A095-4AFEF027A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C9F"/>
    <w:pPr>
      <w:spacing w:line="256" w:lineRule="auto"/>
    </w:pPr>
    <w:rPr>
      <w:rFonts w:ascii="Calibri" w:eastAsia="Calibri" w:hAnsi="Calibri" w:cs="Times New Roman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537C9F"/>
    <w:pPr>
      <w:spacing w:after="0" w:line="240" w:lineRule="auto"/>
    </w:pPr>
    <w:rPr>
      <w:lang w:val="pt-BR"/>
    </w:rPr>
  </w:style>
  <w:style w:type="table" w:styleId="Tabelacomgrade">
    <w:name w:val="Table Grid"/>
    <w:basedOn w:val="Tabelanormal"/>
    <w:uiPriority w:val="59"/>
    <w:rsid w:val="00537C9F"/>
    <w:pPr>
      <w:spacing w:after="0" w:line="240" w:lineRule="auto"/>
    </w:pPr>
    <w:rPr>
      <w:lang w:val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emEspaamentoChar">
    <w:name w:val="Sem Espaçamento Char"/>
    <w:basedOn w:val="Fontepargpadro"/>
    <w:link w:val="SemEspaamento"/>
    <w:uiPriority w:val="1"/>
    <w:rsid w:val="00537C9F"/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</dc:creator>
  <cp:keywords/>
  <dc:description/>
  <cp:lastModifiedBy>Isabella</cp:lastModifiedBy>
  <cp:revision>2</cp:revision>
  <dcterms:created xsi:type="dcterms:W3CDTF">2024-10-20T03:16:00Z</dcterms:created>
  <dcterms:modified xsi:type="dcterms:W3CDTF">2024-10-20T03:16:00Z</dcterms:modified>
</cp:coreProperties>
</file>