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A591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left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eastAsia="宋体" w:cs="宋体"/>
          <w:sz w:val="24"/>
          <w:lang w:val="en-US"/>
        </w:rPr>
        <w:t>The triglyceride glucose‒high</w:t>
      </w:r>
      <w:r>
        <w:rPr>
          <w:rFonts w:hint="default" w:ascii="Times New Roman" w:hAnsi="Times New Roman" w:eastAsia="宋体" w:cs="宋体"/>
          <w:b/>
          <w:bCs/>
          <w:kern w:val="44"/>
          <w:sz w:val="24"/>
          <w:szCs w:val="48"/>
          <w:rtl w:val="0"/>
          <w:lang w:val="en-US" w:eastAsia="zh-CN" w:bidi="ar"/>
        </w:rPr>
        <w:t>-density lipoprotein cholesterol</w:t>
      </w:r>
      <w:r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  <w:t xml:space="preserve"> ratio is associated with </w:t>
      </w:r>
      <w:r>
        <w:rPr>
          <w:rFonts w:hint="default" w:ascii="Times New Roman" w:hAnsi="Times New Roman" w:eastAsia="宋体" w:cs="宋体"/>
          <w:b/>
          <w:bCs/>
          <w:sz w:val="24"/>
          <w:lang w:val="en-US" w:eastAsia="zh-CN"/>
        </w:rPr>
        <w:t>coronary artery calcification</w:t>
      </w:r>
      <w:r>
        <w:rPr>
          <w:rFonts w:hint="eastAsia" w:ascii="Times New Roman" w:hAnsi="Times New Roman" w:cs="宋体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  <w:t xml:space="preserve">evaluated </w:t>
      </w:r>
      <w:r>
        <w:rPr>
          <w:rFonts w:ascii="Times New Roman" w:hAnsi="Times New Roman" w:eastAsia="宋体" w:cs="宋体"/>
          <w:sz w:val="24"/>
          <w:lang w:val="en-US"/>
        </w:rPr>
        <w:t>via</w:t>
      </w:r>
      <w:r>
        <w:rPr>
          <w:rFonts w:hint="default" w:ascii="Times New Roman" w:hAnsi="Times New Roman" w:eastAsia="宋体" w:cs="宋体"/>
          <w:b/>
          <w:bCs/>
          <w:sz w:val="24"/>
          <w:lang w:val="en-US" w:eastAsia="zh-CN"/>
        </w:rPr>
        <w:t xml:space="preserve"> non-gated</w:t>
      </w:r>
      <w:r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  <w:t xml:space="preserve"> chest </w:t>
      </w:r>
      <w:r>
        <w:rPr>
          <w:rFonts w:hint="default" w:ascii="Times New Roman" w:hAnsi="Times New Roman" w:eastAsia="宋体" w:cs="宋体"/>
          <w:b/>
          <w:bCs/>
          <w:sz w:val="24"/>
          <w:lang w:val="en-US" w:eastAsia="zh-CN"/>
        </w:rPr>
        <w:t>CT</w:t>
      </w:r>
    </w:p>
    <w:p w14:paraId="6845F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3"/>
        <w:jc w:val="both"/>
        <w:textAlignment w:val="auto"/>
        <w:rPr>
          <w:rFonts w:ascii="Times New Roman" w:hAnsi="Times New Roman"/>
          <w:b/>
          <w:bCs/>
          <w:sz w:val="24"/>
          <w:lang w:val="en-US"/>
        </w:rPr>
      </w:pPr>
    </w:p>
    <w:p w14:paraId="2C9E4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3"/>
        <w:jc w:val="both"/>
        <w:textAlignment w:val="auto"/>
        <w:rPr>
          <w:rFonts w:hint="default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Supplemental </w:t>
      </w:r>
      <w:r>
        <w:rPr>
          <w:rFonts w:ascii="Times New Roman" w:hAnsi="Times New Roman"/>
          <w:b/>
          <w:bCs/>
          <w:sz w:val="24"/>
          <w:lang w:val="en-US"/>
        </w:rPr>
        <w:t xml:space="preserve">Table 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1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lang w:val="en-US"/>
        </w:rPr>
        <w:t>Association</w:t>
      </w:r>
      <w:r>
        <w:rPr>
          <w:rFonts w:ascii="Times New Roman" w:hAnsi="Times New Roman"/>
          <w:sz w:val="24"/>
          <w:lang w:val="en-US"/>
        </w:rPr>
        <w:t xml:space="preserve"> between </w:t>
      </w:r>
      <w:r>
        <w:rPr>
          <w:rFonts w:hint="eastAsia" w:ascii="Times New Roman" w:hAnsi="Times New Roman" w:eastAsia="宋体"/>
          <w:sz w:val="24"/>
          <w:lang w:val="en-US" w:eastAsia="zh-CN"/>
        </w:rPr>
        <w:t>HDL-c</w:t>
      </w:r>
      <w:r>
        <w:rPr>
          <w:rFonts w:ascii="Times New Roman" w:hAnsi="Times New Roman"/>
          <w:sz w:val="24"/>
          <w:lang w:val="en-US"/>
        </w:rPr>
        <w:t xml:space="preserve"> and </w:t>
      </w:r>
      <w:r>
        <w:rPr>
          <w:rFonts w:ascii="Times New Roman" w:hAnsi="Times New Roman" w:eastAsia="Times New Roman" w:cs="Times New Roman"/>
          <w:sz w:val="24"/>
          <w:lang w:val="en-US"/>
        </w:rPr>
        <w:t xml:space="preserve">the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risk of coronary artery calcification </w:t>
      </w:r>
    </w:p>
    <w:tbl>
      <w:tblPr>
        <w:tblStyle w:val="4"/>
        <w:tblW w:w="10085" w:type="dxa"/>
        <w:tblInd w:w="-911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905"/>
        <w:gridCol w:w="990"/>
        <w:gridCol w:w="1785"/>
        <w:gridCol w:w="960"/>
        <w:gridCol w:w="1845"/>
        <w:gridCol w:w="1040"/>
      </w:tblGrid>
      <w:tr w14:paraId="004F0DB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top"/>
          </w:tcPr>
          <w:p w14:paraId="45236B59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05" w:type="dxa"/>
            <w:tcBorders>
              <w:bottom w:val="single" w:color="auto" w:sz="4" w:space="0"/>
            </w:tcBorders>
            <w:vAlign w:val="top"/>
          </w:tcPr>
          <w:p w14:paraId="066E4BB3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1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top"/>
          </w:tcPr>
          <w:p w14:paraId="195341C0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785" w:type="dxa"/>
            <w:tcBorders>
              <w:bottom w:val="single" w:color="auto" w:sz="4" w:space="0"/>
            </w:tcBorders>
            <w:vAlign w:val="top"/>
          </w:tcPr>
          <w:p w14:paraId="77BBD46A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2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top"/>
          </w:tcPr>
          <w:p w14:paraId="2C706E31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18784F66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top"/>
          </w:tcPr>
          <w:p w14:paraId="08701598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</w:tr>
      <w:tr w14:paraId="6E883A2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bottom w:val="single" w:color="auto" w:sz="4" w:space="0"/>
            </w:tcBorders>
            <w:vAlign w:val="top"/>
          </w:tcPr>
          <w:p w14:paraId="0DF5465A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05" w:type="dxa"/>
            <w:tcBorders>
              <w:bottom w:val="single" w:color="auto" w:sz="4" w:space="0"/>
            </w:tcBorders>
            <w:vAlign w:val="top"/>
          </w:tcPr>
          <w:p w14:paraId="208206C9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top"/>
          </w:tcPr>
          <w:p w14:paraId="7D4DF0DF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785" w:type="dxa"/>
            <w:tcBorders>
              <w:bottom w:val="single" w:color="auto" w:sz="4" w:space="0"/>
            </w:tcBorders>
            <w:vAlign w:val="top"/>
          </w:tcPr>
          <w:p w14:paraId="0F89D41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top"/>
          </w:tcPr>
          <w:p w14:paraId="3F3AEFA8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50DB4FF9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top"/>
          </w:tcPr>
          <w:p w14:paraId="0F8B6A5E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67629D2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auto" w:sz="4" w:space="0"/>
              <w:bottom w:val="nil"/>
            </w:tcBorders>
            <w:vAlign w:val="top"/>
          </w:tcPr>
          <w:p w14:paraId="106C185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HDL-c 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(continuous)</w:t>
            </w:r>
          </w:p>
        </w:tc>
        <w:tc>
          <w:tcPr>
            <w:tcW w:w="1905" w:type="dxa"/>
            <w:tcBorders>
              <w:top w:val="single" w:color="auto" w:sz="4" w:space="0"/>
              <w:bottom w:val="nil"/>
            </w:tcBorders>
            <w:vAlign w:val="top"/>
          </w:tcPr>
          <w:p w14:paraId="1FDDF1E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0.70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0.58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0.86)</w:t>
            </w:r>
          </w:p>
        </w:tc>
        <w:tc>
          <w:tcPr>
            <w:tcW w:w="990" w:type="dxa"/>
            <w:tcBorders>
              <w:top w:val="single" w:color="auto" w:sz="4" w:space="0"/>
              <w:bottom w:val="nil"/>
            </w:tcBorders>
            <w:vAlign w:val="top"/>
          </w:tcPr>
          <w:p w14:paraId="61C629E3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785" w:type="dxa"/>
            <w:tcBorders>
              <w:top w:val="single" w:color="auto" w:sz="4" w:space="0"/>
              <w:bottom w:val="nil"/>
            </w:tcBorders>
            <w:vAlign w:val="top"/>
          </w:tcPr>
          <w:p w14:paraId="6F5FF9B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0.61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0.47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0.81)</w:t>
            </w:r>
          </w:p>
        </w:tc>
        <w:tc>
          <w:tcPr>
            <w:tcW w:w="960" w:type="dxa"/>
            <w:tcBorders>
              <w:top w:val="single" w:color="auto" w:sz="4" w:space="0"/>
              <w:bottom w:val="nil"/>
            </w:tcBorders>
            <w:vAlign w:val="top"/>
          </w:tcPr>
          <w:p w14:paraId="6353D85C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&lt;0.001</w:t>
            </w:r>
          </w:p>
        </w:tc>
        <w:tc>
          <w:tcPr>
            <w:tcW w:w="1845" w:type="dxa"/>
            <w:tcBorders>
              <w:top w:val="single" w:color="auto" w:sz="4" w:space="0"/>
              <w:bottom w:val="nil"/>
            </w:tcBorders>
            <w:vAlign w:val="top"/>
          </w:tcPr>
          <w:p w14:paraId="5A83B5D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0.24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0.14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0.39)</w:t>
            </w:r>
          </w:p>
        </w:tc>
        <w:tc>
          <w:tcPr>
            <w:tcW w:w="1040" w:type="dxa"/>
            <w:tcBorders>
              <w:top w:val="single" w:color="auto" w:sz="4" w:space="0"/>
              <w:bottom w:val="nil"/>
            </w:tcBorders>
            <w:vAlign w:val="top"/>
          </w:tcPr>
          <w:p w14:paraId="32A5CE9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</w:tr>
      <w:tr w14:paraId="5E8E5F4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nil"/>
            </w:tcBorders>
            <w:vAlign w:val="top"/>
          </w:tcPr>
          <w:p w14:paraId="4A5A803D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HDL-c 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(categorical)</w:t>
            </w:r>
          </w:p>
        </w:tc>
        <w:tc>
          <w:tcPr>
            <w:tcW w:w="1905" w:type="dxa"/>
            <w:tcBorders>
              <w:top w:val="nil"/>
            </w:tcBorders>
            <w:vAlign w:val="top"/>
          </w:tcPr>
          <w:p w14:paraId="27D55668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990" w:type="dxa"/>
            <w:tcBorders>
              <w:top w:val="nil"/>
            </w:tcBorders>
            <w:vAlign w:val="top"/>
          </w:tcPr>
          <w:p w14:paraId="061119D8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</w:tcBorders>
            <w:vAlign w:val="top"/>
          </w:tcPr>
          <w:p w14:paraId="3753F0A0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</w:tcBorders>
            <w:vAlign w:val="top"/>
          </w:tcPr>
          <w:p w14:paraId="10D5323E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</w:tcBorders>
            <w:vAlign w:val="top"/>
          </w:tcPr>
          <w:p w14:paraId="7BCE97A2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</w:tcBorders>
            <w:vAlign w:val="top"/>
          </w:tcPr>
          <w:p w14:paraId="2D2178CE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</w:tr>
      <w:tr w14:paraId="0D5E515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top"/>
          </w:tcPr>
          <w:p w14:paraId="3C9CE66E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1.5</w:t>
            </w:r>
          </w:p>
        </w:tc>
        <w:tc>
          <w:tcPr>
            <w:tcW w:w="1905" w:type="dxa"/>
            <w:vAlign w:val="top"/>
          </w:tcPr>
          <w:p w14:paraId="53163FC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90" w:type="dxa"/>
            <w:vAlign w:val="top"/>
          </w:tcPr>
          <w:p w14:paraId="3D505CC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785" w:type="dxa"/>
            <w:vAlign w:val="top"/>
          </w:tcPr>
          <w:p w14:paraId="059AB2E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60" w:type="dxa"/>
            <w:vAlign w:val="top"/>
          </w:tcPr>
          <w:p w14:paraId="110B876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vAlign w:val="top"/>
          </w:tcPr>
          <w:p w14:paraId="13E0014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1040" w:type="dxa"/>
            <w:vAlign w:val="top"/>
          </w:tcPr>
          <w:p w14:paraId="5F93E62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48CD3D9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top"/>
          </w:tcPr>
          <w:p w14:paraId="405787F8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1.5-2.0</w:t>
            </w:r>
          </w:p>
        </w:tc>
        <w:tc>
          <w:tcPr>
            <w:tcW w:w="1905" w:type="dxa"/>
            <w:vAlign w:val="top"/>
          </w:tcPr>
          <w:p w14:paraId="336E8EB6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0.85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0.75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0.97)</w:t>
            </w:r>
          </w:p>
        </w:tc>
        <w:tc>
          <w:tcPr>
            <w:tcW w:w="990" w:type="dxa"/>
            <w:vAlign w:val="top"/>
          </w:tcPr>
          <w:p w14:paraId="68BEB85A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0.02</w:t>
            </w:r>
          </w:p>
        </w:tc>
        <w:tc>
          <w:tcPr>
            <w:tcW w:w="1785" w:type="dxa"/>
            <w:vAlign w:val="top"/>
          </w:tcPr>
          <w:p w14:paraId="4108A3C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0.84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0.73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0.95)</w:t>
            </w:r>
          </w:p>
        </w:tc>
        <w:tc>
          <w:tcPr>
            <w:tcW w:w="960" w:type="dxa"/>
            <w:vAlign w:val="top"/>
          </w:tcPr>
          <w:p w14:paraId="4F6A498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0.02</w:t>
            </w:r>
          </w:p>
        </w:tc>
        <w:tc>
          <w:tcPr>
            <w:tcW w:w="1845" w:type="dxa"/>
            <w:vAlign w:val="top"/>
          </w:tcPr>
          <w:p w14:paraId="2E67375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0.79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0.67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0.94)</w:t>
            </w:r>
          </w:p>
        </w:tc>
        <w:tc>
          <w:tcPr>
            <w:tcW w:w="1040" w:type="dxa"/>
            <w:vAlign w:val="top"/>
          </w:tcPr>
          <w:p w14:paraId="037D230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0.009</w:t>
            </w:r>
          </w:p>
        </w:tc>
      </w:tr>
      <w:tr w14:paraId="725C779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top"/>
          </w:tcPr>
          <w:p w14:paraId="2A8541E4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&gt;2.0</w:t>
            </w:r>
          </w:p>
        </w:tc>
        <w:tc>
          <w:tcPr>
            <w:tcW w:w="1905" w:type="dxa"/>
            <w:vAlign w:val="top"/>
          </w:tcPr>
          <w:p w14:paraId="786C6BC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0.74 (0.58-0.94)</w:t>
            </w:r>
          </w:p>
        </w:tc>
        <w:tc>
          <w:tcPr>
            <w:tcW w:w="990" w:type="dxa"/>
            <w:vAlign w:val="top"/>
          </w:tcPr>
          <w:p w14:paraId="2E96B509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0.01</w:t>
            </w:r>
          </w:p>
        </w:tc>
        <w:tc>
          <w:tcPr>
            <w:tcW w:w="1785" w:type="dxa"/>
            <w:vAlign w:val="top"/>
          </w:tcPr>
          <w:p w14:paraId="487A092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0.69 (0.52-0.93)</w:t>
            </w:r>
          </w:p>
        </w:tc>
        <w:tc>
          <w:tcPr>
            <w:tcW w:w="960" w:type="dxa"/>
            <w:vAlign w:val="top"/>
          </w:tcPr>
          <w:p w14:paraId="136BE912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0.01</w:t>
            </w:r>
          </w:p>
        </w:tc>
        <w:tc>
          <w:tcPr>
            <w:tcW w:w="1845" w:type="dxa"/>
            <w:vAlign w:val="top"/>
          </w:tcPr>
          <w:p w14:paraId="3E214E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0.62 (0.44-0.87)</w:t>
            </w:r>
          </w:p>
        </w:tc>
        <w:tc>
          <w:tcPr>
            <w:tcW w:w="1040" w:type="dxa"/>
            <w:vAlign w:val="top"/>
          </w:tcPr>
          <w:p w14:paraId="4C6077CC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0.006</w:t>
            </w:r>
          </w:p>
        </w:tc>
      </w:tr>
    </w:tbl>
    <w:p w14:paraId="3452C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/>
          <w:sz w:val="24"/>
          <w:lang w:eastAsia="zh-CN"/>
        </w:rPr>
      </w:pPr>
      <w:r>
        <w:rPr>
          <w:rFonts w:ascii="Times New Roman" w:hAnsi="Times New Roman"/>
          <w:sz w:val="24"/>
          <w:lang w:val="en-US"/>
        </w:rPr>
        <w:t xml:space="preserve">Model 1 was </w:t>
      </w:r>
      <w:r>
        <w:rPr>
          <w:rFonts w:hint="eastAsia" w:ascii="Times New Roman" w:hAnsi="Times New Roman" w:eastAsia="宋体"/>
          <w:sz w:val="24"/>
          <w:lang w:val="en-US" w:eastAsia="zh-CN"/>
        </w:rPr>
        <w:t>adjusted for age, sex and body mass index</w:t>
      </w:r>
      <w:r>
        <w:rPr>
          <w:rFonts w:ascii="Times New Roman" w:hAnsi="Times New Roman" w:eastAsia="宋体"/>
          <w:sz w:val="24"/>
          <w:lang w:val="en-US" w:eastAsia="zh-CN"/>
        </w:rPr>
        <w:t xml:space="preserve">; </w:t>
      </w:r>
      <w:r>
        <w:rPr>
          <w:rFonts w:ascii="Times New Roman" w:hAnsi="Times New Roman"/>
          <w:sz w:val="24"/>
          <w:lang w:val="en-US"/>
        </w:rPr>
        <w:t xml:space="preserve">Model 2 was further adjusted for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liver function, renal function, diabetes, albumin, uric acid, blood pressure, </w:t>
      </w:r>
      <w:r>
        <w:rPr>
          <w:rFonts w:ascii="Times New Roman" w:hAnsi="Times New Roman" w:eastAsia="宋体" w:cs="Times New Roman"/>
          <w:sz w:val="24"/>
          <w:lang w:val="en-US" w:eastAsia="zh-CN"/>
        </w:rPr>
        <w:t xml:space="preserve">and </w:t>
      </w:r>
      <w:r>
        <w:rPr>
          <w:rFonts w:hint="eastAsia" w:ascii="Times New Roman" w:hAnsi="Times New Roman" w:eastAsia="宋体"/>
          <w:sz w:val="24"/>
          <w:lang w:val="en-US" w:eastAsia="zh-CN"/>
        </w:rPr>
        <w:t>liver CT attenuation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Model 3 was further adjusted </w:t>
      </w:r>
      <w:r>
        <w:rPr>
          <w:rFonts w:ascii="Times New Roman" w:hAnsi="Times New Roman" w:eastAsia="宋体" w:cs="Times New Roman"/>
          <w:sz w:val="24"/>
          <w:lang w:val="en-US" w:eastAsia="zh-CN"/>
        </w:rPr>
        <w:t>for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sz w:val="24"/>
          <w:lang w:val="en-US"/>
        </w:rPr>
        <w:t>low-density lipoprotein cholesterol</w:t>
      </w:r>
      <w:r>
        <w:rPr>
          <w:rFonts w:hint="eastAsia" w:ascii="Times New Roman" w:hAnsi="Times New Roman" w:eastAsia="宋体"/>
          <w:sz w:val="24"/>
          <w:lang w:val="en-US" w:eastAsia="zh-CN"/>
        </w:rPr>
        <w:t>, and total cholesterol.</w:t>
      </w:r>
    </w:p>
    <w:p w14:paraId="541CB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 xml:space="preserve">CI: confidence interval; </w:t>
      </w:r>
      <w:r>
        <w:rPr>
          <w:rFonts w:hint="eastAsia" w:ascii="Times New Roman" w:hAnsi="Times New Roman" w:eastAsia="宋体"/>
          <w:sz w:val="24"/>
          <w:lang w:val="en-US"/>
        </w:rPr>
        <w:t xml:space="preserve">HDL: </w:t>
      </w:r>
      <w:r>
        <w:rPr>
          <w:rFonts w:ascii="Times New Roman" w:hAnsi="Times New Roman" w:eastAsia="宋体"/>
          <w:sz w:val="24"/>
          <w:lang w:val="en-US"/>
        </w:rPr>
        <w:t>high</w:t>
      </w:r>
      <w:r>
        <w:rPr>
          <w:rFonts w:hint="eastAsia" w:ascii="Times New Roman" w:hAnsi="Times New Roman" w:eastAsia="宋体"/>
          <w:sz w:val="24"/>
          <w:lang w:val="en-US"/>
        </w:rPr>
        <w:t>-density lipoprotein cholesterol;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 xml:space="preserve">OR: odds ratio; TYG: </w:t>
      </w:r>
      <w:r>
        <w:rPr>
          <w:rFonts w:ascii="Times New Roman" w:hAnsi="Times New Roman" w:eastAsia="Times New Roman" w:cs="Times New Roman"/>
          <w:sz w:val="24"/>
          <w:lang w:val="en-US" w:eastAsia="zh-CN"/>
        </w:rPr>
        <w:t>triglyceride</w:t>
      </w:r>
      <w:r>
        <w:rPr>
          <w:rFonts w:hint="default" w:ascii="Times New Roman" w:hAnsi="Times New Roman"/>
          <w:sz w:val="24"/>
          <w:lang w:val="en-US" w:eastAsia="zh-CN"/>
        </w:rPr>
        <w:t> glucose</w:t>
      </w:r>
    </w:p>
    <w:p w14:paraId="725BCF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25E00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51D1BF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26D95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6D9556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5EFC28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4220C1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361858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07A06A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</w:p>
    <w:p w14:paraId="640CC5E4"/>
    <w:p w14:paraId="7F48F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Supplemental </w:t>
      </w:r>
      <w:r>
        <w:rPr>
          <w:rFonts w:ascii="Times New Roman" w:hAnsi="Times New Roman"/>
          <w:b/>
          <w:bCs/>
          <w:sz w:val="24"/>
          <w:lang w:val="en-US"/>
        </w:rPr>
        <w:t xml:space="preserve">Table 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2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lang w:val="en-US"/>
        </w:rPr>
        <w:t>Association</w:t>
      </w:r>
      <w:r>
        <w:rPr>
          <w:rFonts w:ascii="Times New Roman" w:hAnsi="Times New Roman"/>
          <w:sz w:val="24"/>
          <w:lang w:val="en-US"/>
        </w:rPr>
        <w:t xml:space="preserve"> between </w:t>
      </w:r>
      <w:r>
        <w:rPr>
          <w:rFonts w:hint="eastAsia" w:ascii="Times New Roman" w:hAnsi="Times New Roman" w:eastAsia="宋体"/>
          <w:sz w:val="24"/>
          <w:lang w:val="en-US" w:eastAsia="zh-CN"/>
        </w:rPr>
        <w:t>TYG/HDL-c ratio</w:t>
      </w:r>
      <w:r>
        <w:rPr>
          <w:rFonts w:ascii="Times New Roman" w:hAnsi="Times New Roman"/>
          <w:sz w:val="24"/>
          <w:lang w:val="en-US"/>
        </w:rPr>
        <w:t xml:space="preserve"> and </w:t>
      </w:r>
      <w:r>
        <w:rPr>
          <w:rFonts w:ascii="Times New Roman" w:hAnsi="Times New Roman" w:eastAsia="Times New Roman" w:cs="Times New Roman"/>
          <w:sz w:val="24"/>
          <w:lang w:val="en-US"/>
        </w:rPr>
        <w:t xml:space="preserve">the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risk of coronary artery calcification divided by </w:t>
      </w:r>
      <w:r>
        <w:rPr>
          <w:rFonts w:hint="default" w:ascii="Times New Roman" w:hAnsi="Times New Roman" w:eastAsia="宋体"/>
          <w:sz w:val="24"/>
          <w:lang w:val="en-US" w:eastAsia="zh-CN"/>
        </w:rPr>
        <w:t xml:space="preserve">single vessel </w:t>
      </w:r>
      <w:r>
        <w:rPr>
          <w:rFonts w:hint="eastAsia" w:ascii="Times New Roman" w:hAnsi="Times New Roman" w:eastAsia="宋体"/>
          <w:sz w:val="24"/>
          <w:lang w:val="en-US" w:eastAsia="zh-CN"/>
        </w:rPr>
        <w:t>or</w:t>
      </w:r>
      <w:r>
        <w:rPr>
          <w:rFonts w:hint="default" w:ascii="Times New Roman" w:hAnsi="Times New Roman" w:eastAsia="宋体"/>
          <w:sz w:val="24"/>
          <w:lang w:val="en-US" w:eastAsia="zh-CN"/>
        </w:rPr>
        <w:t xml:space="preserve"> multivessel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involvement</w:t>
      </w:r>
    </w:p>
    <w:tbl>
      <w:tblPr>
        <w:tblStyle w:val="4"/>
        <w:tblW w:w="11415" w:type="dxa"/>
        <w:tblInd w:w="-1311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80"/>
        <w:gridCol w:w="1815"/>
        <w:gridCol w:w="960"/>
        <w:gridCol w:w="1875"/>
        <w:gridCol w:w="975"/>
        <w:gridCol w:w="1920"/>
        <w:gridCol w:w="1005"/>
      </w:tblGrid>
      <w:tr w14:paraId="5AFA2AF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94ADE96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80" w:type="dxa"/>
            <w:vMerge w:val="restart"/>
            <w:vAlign w:val="top"/>
          </w:tcPr>
          <w:p w14:paraId="0468C3CC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15" w:type="dxa"/>
            <w:tcBorders>
              <w:bottom w:val="single" w:color="auto" w:sz="4" w:space="0"/>
            </w:tcBorders>
            <w:vAlign w:val="top"/>
          </w:tcPr>
          <w:p w14:paraId="39D6A396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1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top"/>
          </w:tcPr>
          <w:p w14:paraId="733F1E82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875" w:type="dxa"/>
            <w:tcBorders>
              <w:bottom w:val="single" w:color="auto" w:sz="4" w:space="0"/>
            </w:tcBorders>
            <w:vAlign w:val="top"/>
          </w:tcPr>
          <w:p w14:paraId="6E53002F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2</w:t>
            </w:r>
          </w:p>
        </w:tc>
        <w:tc>
          <w:tcPr>
            <w:tcW w:w="975" w:type="dxa"/>
            <w:tcBorders>
              <w:bottom w:val="single" w:color="auto" w:sz="4" w:space="0"/>
            </w:tcBorders>
            <w:vAlign w:val="top"/>
          </w:tcPr>
          <w:p w14:paraId="24C42B52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920" w:type="dxa"/>
            <w:tcBorders>
              <w:bottom w:val="single" w:color="auto" w:sz="4" w:space="0"/>
            </w:tcBorders>
            <w:vAlign w:val="top"/>
          </w:tcPr>
          <w:p w14:paraId="6632229F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005" w:type="dxa"/>
            <w:tcBorders>
              <w:bottom w:val="single" w:color="auto" w:sz="4" w:space="0"/>
            </w:tcBorders>
            <w:vAlign w:val="top"/>
          </w:tcPr>
          <w:p w14:paraId="0E4C6AAD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</w:tr>
      <w:tr w14:paraId="5CBA3BC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tcBorders>
              <w:bottom w:val="single" w:color="auto" w:sz="4" w:space="0"/>
            </w:tcBorders>
            <w:vAlign w:val="top"/>
          </w:tcPr>
          <w:p w14:paraId="011819BF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80" w:type="dxa"/>
            <w:vMerge w:val="continue"/>
            <w:tcBorders>
              <w:bottom w:val="single" w:color="auto" w:sz="4" w:space="0"/>
            </w:tcBorders>
            <w:vAlign w:val="top"/>
          </w:tcPr>
          <w:p w14:paraId="74974D11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15" w:type="dxa"/>
            <w:tcBorders>
              <w:bottom w:val="single" w:color="auto" w:sz="4" w:space="0"/>
            </w:tcBorders>
            <w:vAlign w:val="top"/>
          </w:tcPr>
          <w:p w14:paraId="0F5AA824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vAlign w:val="top"/>
          </w:tcPr>
          <w:p w14:paraId="4E65E492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75" w:type="dxa"/>
            <w:tcBorders>
              <w:bottom w:val="single" w:color="auto" w:sz="4" w:space="0"/>
            </w:tcBorders>
            <w:vAlign w:val="top"/>
          </w:tcPr>
          <w:p w14:paraId="62E00BC1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975" w:type="dxa"/>
            <w:tcBorders>
              <w:bottom w:val="single" w:color="auto" w:sz="4" w:space="0"/>
            </w:tcBorders>
            <w:vAlign w:val="top"/>
          </w:tcPr>
          <w:p w14:paraId="64A11905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20" w:type="dxa"/>
            <w:tcBorders>
              <w:bottom w:val="single" w:color="auto" w:sz="4" w:space="0"/>
            </w:tcBorders>
            <w:vAlign w:val="top"/>
          </w:tcPr>
          <w:p w14:paraId="60A9F542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1005" w:type="dxa"/>
            <w:tcBorders>
              <w:bottom w:val="single" w:color="auto" w:sz="4" w:space="0"/>
            </w:tcBorders>
            <w:vAlign w:val="top"/>
          </w:tcPr>
          <w:p w14:paraId="1F3FD467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0C2947D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tcBorders>
              <w:top w:val="single" w:color="auto" w:sz="4" w:space="0"/>
            </w:tcBorders>
            <w:vAlign w:val="top"/>
          </w:tcPr>
          <w:p w14:paraId="10F1838C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Single 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vessel</w:t>
            </w:r>
          </w:p>
        </w:tc>
        <w:tc>
          <w:tcPr>
            <w:tcW w:w="1980" w:type="dxa"/>
            <w:tcBorders>
              <w:top w:val="single" w:color="auto" w:sz="4" w:space="0"/>
            </w:tcBorders>
            <w:vAlign w:val="top"/>
          </w:tcPr>
          <w:p w14:paraId="68B00E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TYG/HDL-c ratio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(continuous)</w:t>
            </w:r>
          </w:p>
        </w:tc>
        <w:tc>
          <w:tcPr>
            <w:tcW w:w="1815" w:type="dxa"/>
            <w:tcBorders>
              <w:top w:val="single" w:color="auto" w:sz="4" w:space="0"/>
            </w:tcBorders>
            <w:vAlign w:val="top"/>
          </w:tcPr>
          <w:p w14:paraId="1DA2824D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1.09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1.17)</w:t>
            </w:r>
          </w:p>
        </w:tc>
        <w:tc>
          <w:tcPr>
            <w:tcW w:w="960" w:type="dxa"/>
            <w:tcBorders>
              <w:top w:val="single" w:color="auto" w:sz="4" w:space="0"/>
            </w:tcBorders>
            <w:vAlign w:val="top"/>
          </w:tcPr>
          <w:p w14:paraId="5442A0AF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0.004</w:t>
            </w:r>
          </w:p>
        </w:tc>
        <w:tc>
          <w:tcPr>
            <w:tcW w:w="1875" w:type="dxa"/>
            <w:tcBorders>
              <w:top w:val="single" w:color="auto" w:sz="4" w:space="0"/>
            </w:tcBorders>
            <w:vAlign w:val="top"/>
          </w:tcPr>
          <w:p w14:paraId="1D2FF7A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1.08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1.14)</w:t>
            </w:r>
          </w:p>
        </w:tc>
        <w:tc>
          <w:tcPr>
            <w:tcW w:w="975" w:type="dxa"/>
            <w:tcBorders>
              <w:top w:val="single" w:color="auto" w:sz="4" w:space="0"/>
            </w:tcBorders>
            <w:vAlign w:val="top"/>
          </w:tcPr>
          <w:p w14:paraId="20BE063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0.009</w:t>
            </w:r>
          </w:p>
        </w:tc>
        <w:tc>
          <w:tcPr>
            <w:tcW w:w="1920" w:type="dxa"/>
            <w:tcBorders>
              <w:top w:val="single" w:color="auto" w:sz="4" w:space="0"/>
            </w:tcBorders>
            <w:vAlign w:val="top"/>
          </w:tcPr>
          <w:p w14:paraId="1B1B8E5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1.14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1.05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1.23)</w:t>
            </w:r>
          </w:p>
        </w:tc>
        <w:tc>
          <w:tcPr>
            <w:tcW w:w="1005" w:type="dxa"/>
            <w:tcBorders>
              <w:top w:val="single" w:color="auto" w:sz="4" w:space="0"/>
            </w:tcBorders>
            <w:vAlign w:val="top"/>
          </w:tcPr>
          <w:p w14:paraId="1E33F36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0.003</w:t>
            </w:r>
          </w:p>
        </w:tc>
      </w:tr>
      <w:tr w14:paraId="37E109D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6B3C2F9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23AD3063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Q1 (&lt;5.23)</w:t>
            </w:r>
          </w:p>
        </w:tc>
        <w:tc>
          <w:tcPr>
            <w:tcW w:w="1815" w:type="dxa"/>
            <w:vAlign w:val="top"/>
          </w:tcPr>
          <w:p w14:paraId="4306C80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60" w:type="dxa"/>
            <w:vAlign w:val="top"/>
          </w:tcPr>
          <w:p w14:paraId="68F1EE9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75" w:type="dxa"/>
            <w:vAlign w:val="top"/>
          </w:tcPr>
          <w:p w14:paraId="404ADAB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75" w:type="dxa"/>
            <w:vAlign w:val="top"/>
          </w:tcPr>
          <w:p w14:paraId="7C45F0E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20" w:type="dxa"/>
            <w:vAlign w:val="top"/>
          </w:tcPr>
          <w:p w14:paraId="221949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1005" w:type="dxa"/>
            <w:vAlign w:val="top"/>
          </w:tcPr>
          <w:p w14:paraId="5CC0B16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477496D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D64F30F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2B7738B1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Q2 (5.23-6.30)</w:t>
            </w:r>
          </w:p>
        </w:tc>
        <w:tc>
          <w:tcPr>
            <w:tcW w:w="1815" w:type="dxa"/>
            <w:vAlign w:val="top"/>
          </w:tcPr>
          <w:p w14:paraId="3915CA0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1.19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0.97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1.46)</w:t>
            </w:r>
          </w:p>
        </w:tc>
        <w:tc>
          <w:tcPr>
            <w:tcW w:w="960" w:type="dxa"/>
            <w:vAlign w:val="top"/>
          </w:tcPr>
          <w:p w14:paraId="5F81742B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0.09</w:t>
            </w:r>
          </w:p>
        </w:tc>
        <w:tc>
          <w:tcPr>
            <w:tcW w:w="1875" w:type="dxa"/>
            <w:vAlign w:val="top"/>
          </w:tcPr>
          <w:p w14:paraId="5F6E93E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1.21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0.96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1.53)</w:t>
            </w:r>
          </w:p>
        </w:tc>
        <w:tc>
          <w:tcPr>
            <w:tcW w:w="975" w:type="dxa"/>
            <w:vAlign w:val="top"/>
          </w:tcPr>
          <w:p w14:paraId="380CE9E1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0.11</w:t>
            </w:r>
          </w:p>
        </w:tc>
        <w:tc>
          <w:tcPr>
            <w:tcW w:w="1920" w:type="dxa"/>
            <w:vAlign w:val="top"/>
          </w:tcPr>
          <w:p w14:paraId="1D6C795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1.36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1.08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1.71)</w:t>
            </w:r>
          </w:p>
        </w:tc>
        <w:tc>
          <w:tcPr>
            <w:tcW w:w="1005" w:type="dxa"/>
            <w:vAlign w:val="top"/>
          </w:tcPr>
          <w:p w14:paraId="032407C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0.01</w:t>
            </w:r>
          </w:p>
        </w:tc>
      </w:tr>
      <w:tr w14:paraId="5859AF3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CD8D09F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5B1A2156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Q3 (6.30-7.51)</w:t>
            </w:r>
          </w:p>
        </w:tc>
        <w:tc>
          <w:tcPr>
            <w:tcW w:w="1815" w:type="dxa"/>
            <w:vAlign w:val="top"/>
          </w:tcPr>
          <w:p w14:paraId="636ABB4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1.20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1.00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1.46)</w:t>
            </w:r>
          </w:p>
        </w:tc>
        <w:tc>
          <w:tcPr>
            <w:tcW w:w="960" w:type="dxa"/>
            <w:vAlign w:val="top"/>
          </w:tcPr>
          <w:p w14:paraId="1AE39C8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0.05</w:t>
            </w:r>
          </w:p>
        </w:tc>
        <w:tc>
          <w:tcPr>
            <w:tcW w:w="1875" w:type="dxa"/>
            <w:vAlign w:val="top"/>
          </w:tcPr>
          <w:p w14:paraId="731700A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1.24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1.53)</w:t>
            </w:r>
          </w:p>
        </w:tc>
        <w:tc>
          <w:tcPr>
            <w:tcW w:w="975" w:type="dxa"/>
            <w:vAlign w:val="top"/>
          </w:tcPr>
          <w:p w14:paraId="33E7C910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0.04</w:t>
            </w:r>
          </w:p>
        </w:tc>
        <w:tc>
          <w:tcPr>
            <w:tcW w:w="1920" w:type="dxa"/>
            <w:vAlign w:val="top"/>
          </w:tcPr>
          <w:p w14:paraId="69A3CBF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1.40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1.06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1.86)</w:t>
            </w:r>
          </w:p>
        </w:tc>
        <w:tc>
          <w:tcPr>
            <w:tcW w:w="1005" w:type="dxa"/>
            <w:vAlign w:val="top"/>
          </w:tcPr>
          <w:p w14:paraId="765996B8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0.02</w:t>
            </w:r>
          </w:p>
        </w:tc>
      </w:tr>
      <w:tr w14:paraId="30BB7CE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3DE4C437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14A80F09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Q4 (&gt; 7.51)</w:t>
            </w:r>
          </w:p>
        </w:tc>
        <w:tc>
          <w:tcPr>
            <w:tcW w:w="1815" w:type="dxa"/>
            <w:vAlign w:val="top"/>
          </w:tcPr>
          <w:p w14:paraId="75F684C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1.37 (1.10-1.70)</w:t>
            </w:r>
          </w:p>
        </w:tc>
        <w:tc>
          <w:tcPr>
            <w:tcW w:w="960" w:type="dxa"/>
            <w:vAlign w:val="top"/>
          </w:tcPr>
          <w:p w14:paraId="04F1F4E0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0.004</w:t>
            </w:r>
          </w:p>
        </w:tc>
        <w:tc>
          <w:tcPr>
            <w:tcW w:w="1875" w:type="dxa"/>
            <w:vAlign w:val="top"/>
          </w:tcPr>
          <w:p w14:paraId="53C52AC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1.33 (1.03-1.73)</w:t>
            </w:r>
          </w:p>
        </w:tc>
        <w:tc>
          <w:tcPr>
            <w:tcW w:w="975" w:type="dxa"/>
            <w:vAlign w:val="top"/>
          </w:tcPr>
          <w:p w14:paraId="7BA02CEC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0.03</w:t>
            </w:r>
          </w:p>
        </w:tc>
        <w:tc>
          <w:tcPr>
            <w:tcW w:w="1920" w:type="dxa"/>
            <w:vAlign w:val="top"/>
          </w:tcPr>
          <w:p w14:paraId="4987858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1.72 (1.21-2.43)</w:t>
            </w:r>
          </w:p>
        </w:tc>
        <w:tc>
          <w:tcPr>
            <w:tcW w:w="1005" w:type="dxa"/>
            <w:vAlign w:val="top"/>
          </w:tcPr>
          <w:p w14:paraId="59C34239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0.003</w:t>
            </w:r>
          </w:p>
        </w:tc>
      </w:tr>
      <w:tr w14:paraId="7744703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5054714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ulti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vessel</w:t>
            </w:r>
          </w:p>
        </w:tc>
        <w:tc>
          <w:tcPr>
            <w:tcW w:w="1980" w:type="dxa"/>
            <w:vAlign w:val="top"/>
          </w:tcPr>
          <w:p w14:paraId="454C03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TYG/HDL-c ratio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(continuous)</w:t>
            </w:r>
          </w:p>
        </w:tc>
        <w:tc>
          <w:tcPr>
            <w:tcW w:w="1815" w:type="dxa"/>
            <w:vAlign w:val="top"/>
          </w:tcPr>
          <w:p w14:paraId="21B3E2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1.13 (1.07-1.18)</w:t>
            </w:r>
          </w:p>
        </w:tc>
        <w:tc>
          <w:tcPr>
            <w:tcW w:w="960" w:type="dxa"/>
            <w:vAlign w:val="top"/>
          </w:tcPr>
          <w:p w14:paraId="7605D2A2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75" w:type="dxa"/>
            <w:vAlign w:val="top"/>
          </w:tcPr>
          <w:p w14:paraId="229B053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1.13 (1.07 -1.20)</w:t>
            </w:r>
          </w:p>
        </w:tc>
        <w:tc>
          <w:tcPr>
            <w:tcW w:w="975" w:type="dxa"/>
            <w:vAlign w:val="top"/>
          </w:tcPr>
          <w:p w14:paraId="143EFBD9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920" w:type="dxa"/>
            <w:vAlign w:val="top"/>
          </w:tcPr>
          <w:p w14:paraId="32FB355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1.15 (1.05 -1.27)</w:t>
            </w:r>
          </w:p>
        </w:tc>
        <w:tc>
          <w:tcPr>
            <w:tcW w:w="1005" w:type="dxa"/>
            <w:vAlign w:val="top"/>
          </w:tcPr>
          <w:p w14:paraId="2132D39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0.003</w:t>
            </w:r>
          </w:p>
        </w:tc>
      </w:tr>
      <w:tr w14:paraId="698811E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6D513124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66A314CC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Q1 (&lt;5.23)</w:t>
            </w:r>
          </w:p>
        </w:tc>
        <w:tc>
          <w:tcPr>
            <w:tcW w:w="1815" w:type="dxa"/>
            <w:vAlign w:val="top"/>
          </w:tcPr>
          <w:p w14:paraId="1AAC464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60" w:type="dxa"/>
            <w:vAlign w:val="top"/>
          </w:tcPr>
          <w:p w14:paraId="2AB0296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75" w:type="dxa"/>
            <w:vAlign w:val="top"/>
          </w:tcPr>
          <w:p w14:paraId="66FFFE0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75" w:type="dxa"/>
            <w:vAlign w:val="top"/>
          </w:tcPr>
          <w:p w14:paraId="74BD25E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20" w:type="dxa"/>
            <w:vAlign w:val="top"/>
          </w:tcPr>
          <w:p w14:paraId="0C5C812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1005" w:type="dxa"/>
            <w:vAlign w:val="top"/>
          </w:tcPr>
          <w:p w14:paraId="44BF623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39A7825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2619204D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10F4D069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Q2 (5.23-6.30)</w:t>
            </w:r>
          </w:p>
        </w:tc>
        <w:tc>
          <w:tcPr>
            <w:tcW w:w="1815" w:type="dxa"/>
            <w:vAlign w:val="top"/>
          </w:tcPr>
          <w:p w14:paraId="0AEE0FD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1.11 (0.87-1.43)</w:t>
            </w:r>
          </w:p>
        </w:tc>
        <w:tc>
          <w:tcPr>
            <w:tcW w:w="960" w:type="dxa"/>
            <w:vAlign w:val="top"/>
          </w:tcPr>
          <w:p w14:paraId="02C0263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0.38</w:t>
            </w:r>
          </w:p>
        </w:tc>
        <w:tc>
          <w:tcPr>
            <w:tcW w:w="1875" w:type="dxa"/>
            <w:vAlign w:val="top"/>
          </w:tcPr>
          <w:p w14:paraId="432BBD1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0.92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1.58)</w:t>
            </w:r>
          </w:p>
        </w:tc>
        <w:tc>
          <w:tcPr>
            <w:tcW w:w="975" w:type="dxa"/>
            <w:vAlign w:val="top"/>
          </w:tcPr>
          <w:p w14:paraId="626D49C2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0.17</w:t>
            </w:r>
          </w:p>
        </w:tc>
        <w:tc>
          <w:tcPr>
            <w:tcW w:w="1920" w:type="dxa"/>
            <w:vAlign w:val="top"/>
          </w:tcPr>
          <w:p w14:paraId="5A333EF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1.28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0.96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1.72)</w:t>
            </w:r>
          </w:p>
        </w:tc>
        <w:tc>
          <w:tcPr>
            <w:tcW w:w="1005" w:type="dxa"/>
            <w:vAlign w:val="top"/>
          </w:tcPr>
          <w:p w14:paraId="2EB6878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0.09</w:t>
            </w:r>
          </w:p>
        </w:tc>
      </w:tr>
      <w:tr w14:paraId="6F304AA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1D4973CE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64BE7ECC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Q3 (6.30-7.51)</w:t>
            </w:r>
          </w:p>
        </w:tc>
        <w:tc>
          <w:tcPr>
            <w:tcW w:w="1815" w:type="dxa"/>
            <w:vAlign w:val="top"/>
          </w:tcPr>
          <w:p w14:paraId="0BDFBA5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1.42 (1.10-1.84)</w:t>
            </w:r>
          </w:p>
        </w:tc>
        <w:tc>
          <w:tcPr>
            <w:tcW w:w="960" w:type="dxa"/>
            <w:vAlign w:val="top"/>
          </w:tcPr>
          <w:p w14:paraId="3FC7AC56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0.007</w:t>
            </w:r>
          </w:p>
        </w:tc>
        <w:tc>
          <w:tcPr>
            <w:tcW w:w="1875" w:type="dxa"/>
            <w:vAlign w:val="top"/>
          </w:tcPr>
          <w:p w14:paraId="7ED85E9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1.52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2.04)</w:t>
            </w:r>
          </w:p>
        </w:tc>
        <w:tc>
          <w:tcPr>
            <w:tcW w:w="975" w:type="dxa"/>
            <w:vAlign w:val="top"/>
          </w:tcPr>
          <w:p w14:paraId="0492C2D7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0.006</w:t>
            </w:r>
          </w:p>
        </w:tc>
        <w:tc>
          <w:tcPr>
            <w:tcW w:w="1920" w:type="dxa"/>
            <w:vAlign w:val="top"/>
          </w:tcPr>
          <w:p w14:paraId="4FFF286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1.68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1.19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2.36)</w:t>
            </w:r>
          </w:p>
        </w:tc>
        <w:tc>
          <w:tcPr>
            <w:tcW w:w="1005" w:type="dxa"/>
            <w:vAlign w:val="top"/>
          </w:tcPr>
          <w:p w14:paraId="0E4CF19A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0.003</w:t>
            </w:r>
          </w:p>
        </w:tc>
      </w:tr>
      <w:tr w14:paraId="2574919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top"/>
          </w:tcPr>
          <w:p w14:paraId="063832AE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80" w:type="dxa"/>
            <w:vAlign w:val="top"/>
          </w:tcPr>
          <w:p w14:paraId="76A51A9E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Q4 (&gt; 7.51)</w:t>
            </w:r>
          </w:p>
        </w:tc>
        <w:tc>
          <w:tcPr>
            <w:tcW w:w="1815" w:type="dxa"/>
            <w:vAlign w:val="top"/>
          </w:tcPr>
          <w:p w14:paraId="55E6387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1.86 (1.43-2.42)</w:t>
            </w:r>
          </w:p>
        </w:tc>
        <w:tc>
          <w:tcPr>
            <w:tcW w:w="960" w:type="dxa"/>
            <w:vAlign w:val="top"/>
          </w:tcPr>
          <w:p w14:paraId="69F607D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75" w:type="dxa"/>
            <w:vAlign w:val="top"/>
          </w:tcPr>
          <w:p w14:paraId="6D17AC1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2.03 (1.47-2.80)</w:t>
            </w:r>
          </w:p>
        </w:tc>
        <w:tc>
          <w:tcPr>
            <w:tcW w:w="975" w:type="dxa"/>
            <w:vAlign w:val="top"/>
          </w:tcPr>
          <w:p w14:paraId="0B380D12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920" w:type="dxa"/>
            <w:vAlign w:val="top"/>
          </w:tcPr>
          <w:p w14:paraId="6629592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2.37 (1.56-3.61)</w:t>
            </w:r>
          </w:p>
        </w:tc>
        <w:tc>
          <w:tcPr>
            <w:tcW w:w="1005" w:type="dxa"/>
            <w:vAlign w:val="top"/>
          </w:tcPr>
          <w:p w14:paraId="089BDE4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</w:tr>
    </w:tbl>
    <w:p w14:paraId="5D1BA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/>
          <w:sz w:val="24"/>
          <w:lang w:eastAsia="zh-CN"/>
        </w:rPr>
      </w:pPr>
      <w:r>
        <w:rPr>
          <w:rFonts w:ascii="Times New Roman" w:hAnsi="Times New Roman"/>
          <w:sz w:val="24"/>
          <w:lang w:val="en-US"/>
        </w:rPr>
        <w:t xml:space="preserve">Model 1 was </w:t>
      </w:r>
      <w:r>
        <w:rPr>
          <w:rFonts w:hint="eastAsia" w:ascii="Times New Roman" w:hAnsi="Times New Roman" w:eastAsia="宋体"/>
          <w:sz w:val="24"/>
          <w:lang w:val="en-US" w:eastAsia="zh-CN"/>
        </w:rPr>
        <w:t>adjusted for age, sex and body mass index</w:t>
      </w:r>
      <w:r>
        <w:rPr>
          <w:rFonts w:ascii="Times New Roman" w:hAnsi="Times New Roman" w:eastAsia="宋体"/>
          <w:sz w:val="24"/>
          <w:lang w:val="en-US" w:eastAsia="zh-CN"/>
        </w:rPr>
        <w:t xml:space="preserve">; </w:t>
      </w:r>
      <w:r>
        <w:rPr>
          <w:rFonts w:ascii="Times New Roman" w:hAnsi="Times New Roman"/>
          <w:sz w:val="24"/>
          <w:lang w:val="en-US"/>
        </w:rPr>
        <w:t xml:space="preserve">Model 2 was further adjusted for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liver function, renal function, diabetes, albumin, uric acid, blood pressure, </w:t>
      </w:r>
      <w:r>
        <w:rPr>
          <w:rFonts w:ascii="Times New Roman" w:hAnsi="Times New Roman" w:eastAsia="宋体" w:cs="Times New Roman"/>
          <w:sz w:val="24"/>
          <w:lang w:val="en-US" w:eastAsia="zh-CN"/>
        </w:rPr>
        <w:t xml:space="preserve">and </w:t>
      </w:r>
      <w:r>
        <w:rPr>
          <w:rFonts w:hint="eastAsia" w:ascii="Times New Roman" w:hAnsi="Times New Roman" w:eastAsia="宋体"/>
          <w:sz w:val="24"/>
          <w:lang w:val="en-US" w:eastAsia="zh-CN"/>
        </w:rPr>
        <w:t>liver CT attenuation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Model 3 was further adjusted </w:t>
      </w:r>
      <w:r>
        <w:rPr>
          <w:rFonts w:ascii="Times New Roman" w:hAnsi="Times New Roman" w:eastAsia="宋体" w:cs="Times New Roman"/>
          <w:sz w:val="24"/>
          <w:lang w:val="en-US" w:eastAsia="zh-CN"/>
        </w:rPr>
        <w:t>for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sz w:val="24"/>
          <w:lang w:val="en-US"/>
        </w:rPr>
        <w:t>low-density lipoprotein cholesterol</w:t>
      </w:r>
      <w:r>
        <w:rPr>
          <w:rFonts w:hint="eastAsia" w:ascii="Times New Roman" w:hAnsi="Times New Roman" w:eastAsia="宋体"/>
          <w:sz w:val="24"/>
          <w:lang w:val="en-US" w:eastAsia="zh-CN"/>
        </w:rPr>
        <w:t>, and total cholesterol.</w:t>
      </w:r>
    </w:p>
    <w:p w14:paraId="33CAA3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/>
          <w:sz w:val="24"/>
          <w:lang w:val="en-US" w:eastAsia="zh-CN"/>
        </w:rPr>
        <w:t xml:space="preserve">CI: confidence interval; </w:t>
      </w:r>
      <w:r>
        <w:rPr>
          <w:rFonts w:hint="eastAsia" w:ascii="Times New Roman" w:hAnsi="Times New Roman" w:eastAsia="宋体"/>
          <w:sz w:val="24"/>
          <w:lang w:val="en-US"/>
        </w:rPr>
        <w:t>HDL</w:t>
      </w:r>
      <w:r>
        <w:rPr>
          <w:rFonts w:hint="eastAsia" w:ascii="Times New Roman" w:hAnsi="Times New Roman" w:eastAsia="宋体"/>
          <w:sz w:val="24"/>
          <w:lang w:val="en-US" w:eastAsia="zh-CN"/>
        </w:rPr>
        <w:t>-c</w:t>
      </w:r>
      <w:bookmarkStart w:id="0" w:name="_GoBack"/>
      <w:bookmarkEnd w:id="0"/>
      <w:r>
        <w:rPr>
          <w:rFonts w:hint="eastAsia" w:ascii="Times New Roman" w:hAnsi="Times New Roman" w:eastAsia="宋体"/>
          <w:sz w:val="24"/>
          <w:lang w:val="en-US"/>
        </w:rPr>
        <w:t xml:space="preserve">: </w:t>
      </w:r>
      <w:r>
        <w:rPr>
          <w:rFonts w:ascii="Times New Roman" w:hAnsi="Times New Roman" w:eastAsia="宋体"/>
          <w:sz w:val="24"/>
          <w:lang w:val="en-US"/>
        </w:rPr>
        <w:t>high</w:t>
      </w:r>
      <w:r>
        <w:rPr>
          <w:rFonts w:hint="eastAsia" w:ascii="Times New Roman" w:hAnsi="Times New Roman" w:eastAsia="宋体"/>
          <w:sz w:val="24"/>
          <w:lang w:val="en-US"/>
        </w:rPr>
        <w:t>-density lipoprotein cholesterol;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 xml:space="preserve">OR: odds ratio; TYG: </w:t>
      </w:r>
      <w:r>
        <w:rPr>
          <w:rFonts w:ascii="Times New Roman" w:hAnsi="Times New Roman" w:eastAsia="Times New Roman" w:cs="Times New Roman"/>
          <w:sz w:val="24"/>
          <w:lang w:val="en-US" w:eastAsia="zh-CN"/>
        </w:rPr>
        <w:t>triglyceride</w:t>
      </w:r>
      <w:r>
        <w:rPr>
          <w:rFonts w:hint="default" w:ascii="Times New Roman" w:hAnsi="Times New Roman"/>
          <w:sz w:val="24"/>
          <w:lang w:val="en-US" w:eastAsia="zh-CN"/>
        </w:rPr>
        <w:t> glucose</w:t>
      </w:r>
    </w:p>
    <w:p w14:paraId="49F9A855"/>
    <w:p w14:paraId="47AE3DD2"/>
    <w:p w14:paraId="0421174E"/>
    <w:p w14:paraId="6B3F6146"/>
    <w:p w14:paraId="723AC17C"/>
    <w:p w14:paraId="10C85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Supplemental </w:t>
      </w:r>
      <w:r>
        <w:rPr>
          <w:rFonts w:ascii="Times New Roman" w:hAnsi="Times New Roman"/>
          <w:b/>
          <w:bCs/>
          <w:sz w:val="24"/>
          <w:lang w:val="en-US"/>
        </w:rPr>
        <w:t xml:space="preserve">Table 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3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lang w:val="en-US"/>
        </w:rPr>
        <w:t>Association</w:t>
      </w:r>
      <w:r>
        <w:rPr>
          <w:rFonts w:ascii="Times New Roman" w:hAnsi="Times New Roman"/>
          <w:sz w:val="24"/>
          <w:lang w:val="en-US"/>
        </w:rPr>
        <w:t xml:space="preserve"> between </w:t>
      </w:r>
      <w:r>
        <w:rPr>
          <w:rFonts w:hint="eastAsia" w:ascii="Times New Roman" w:hAnsi="Times New Roman" w:eastAsia="宋体"/>
          <w:sz w:val="24"/>
          <w:lang w:val="en-US" w:eastAsia="zh-CN"/>
        </w:rPr>
        <w:t>TYG index</w:t>
      </w:r>
      <w:r>
        <w:rPr>
          <w:rFonts w:ascii="Times New Roman" w:hAnsi="Times New Roman"/>
          <w:sz w:val="24"/>
          <w:lang w:val="en-US"/>
        </w:rPr>
        <w:t xml:space="preserve"> and </w:t>
      </w:r>
      <w:r>
        <w:rPr>
          <w:rFonts w:ascii="Times New Roman" w:hAnsi="Times New Roman" w:eastAsia="Times New Roman" w:cs="Times New Roman"/>
          <w:sz w:val="24"/>
          <w:lang w:val="en-US"/>
        </w:rPr>
        <w:t xml:space="preserve">the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risk of coronary artery calcification divided by </w:t>
      </w:r>
      <w:r>
        <w:rPr>
          <w:rFonts w:hint="default" w:ascii="Times New Roman" w:hAnsi="Times New Roman" w:eastAsia="宋体"/>
          <w:sz w:val="24"/>
          <w:lang w:val="en-US" w:eastAsia="zh-CN"/>
        </w:rPr>
        <w:t xml:space="preserve">single vessel </w:t>
      </w:r>
      <w:r>
        <w:rPr>
          <w:rFonts w:hint="eastAsia" w:ascii="Times New Roman" w:hAnsi="Times New Roman" w:eastAsia="宋体"/>
          <w:sz w:val="24"/>
          <w:lang w:val="en-US" w:eastAsia="zh-CN"/>
        </w:rPr>
        <w:t>or</w:t>
      </w:r>
      <w:r>
        <w:rPr>
          <w:rFonts w:hint="default" w:ascii="Times New Roman" w:hAnsi="Times New Roman" w:eastAsia="宋体"/>
          <w:sz w:val="24"/>
          <w:lang w:val="en-US" w:eastAsia="zh-CN"/>
        </w:rPr>
        <w:t xml:space="preserve"> multivessel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involvement</w:t>
      </w:r>
    </w:p>
    <w:tbl>
      <w:tblPr>
        <w:tblStyle w:val="4"/>
        <w:tblW w:w="11160" w:type="dxa"/>
        <w:tblInd w:w="-1056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939"/>
        <w:gridCol w:w="1796"/>
        <w:gridCol w:w="990"/>
        <w:gridCol w:w="1845"/>
        <w:gridCol w:w="1005"/>
        <w:gridCol w:w="1845"/>
        <w:gridCol w:w="810"/>
      </w:tblGrid>
      <w:tr w14:paraId="7B49F56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41C67549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39" w:type="dxa"/>
            <w:vMerge w:val="restart"/>
            <w:vAlign w:val="top"/>
          </w:tcPr>
          <w:p w14:paraId="6237B015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796" w:type="dxa"/>
            <w:tcBorders>
              <w:bottom w:val="single" w:color="auto" w:sz="4" w:space="0"/>
            </w:tcBorders>
            <w:vAlign w:val="top"/>
          </w:tcPr>
          <w:p w14:paraId="45D35530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1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top"/>
          </w:tcPr>
          <w:p w14:paraId="2840F869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25B35414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Model 2</w:t>
            </w:r>
          </w:p>
        </w:tc>
        <w:tc>
          <w:tcPr>
            <w:tcW w:w="1005" w:type="dxa"/>
            <w:tcBorders>
              <w:bottom w:val="single" w:color="auto" w:sz="4" w:space="0"/>
            </w:tcBorders>
            <w:vAlign w:val="top"/>
          </w:tcPr>
          <w:p w14:paraId="529A54DB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393E739A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vAlign w:val="top"/>
          </w:tcPr>
          <w:p w14:paraId="3EE7386C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  <w:lang w:val="en-US" w:eastAsia="zh-CN"/>
              </w:rPr>
              <w:t>p</w:t>
            </w:r>
          </w:p>
        </w:tc>
      </w:tr>
      <w:tr w14:paraId="3CD8151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bottom w:val="single" w:color="auto" w:sz="4" w:space="0"/>
            </w:tcBorders>
            <w:vAlign w:val="top"/>
          </w:tcPr>
          <w:p w14:paraId="726276AD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939" w:type="dxa"/>
            <w:vMerge w:val="continue"/>
            <w:tcBorders>
              <w:bottom w:val="single" w:color="auto" w:sz="4" w:space="0"/>
            </w:tcBorders>
            <w:vAlign w:val="top"/>
          </w:tcPr>
          <w:p w14:paraId="60FFA3E6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796" w:type="dxa"/>
            <w:tcBorders>
              <w:bottom w:val="single" w:color="auto" w:sz="4" w:space="0"/>
            </w:tcBorders>
            <w:vAlign w:val="top"/>
          </w:tcPr>
          <w:p w14:paraId="70487BA2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top"/>
          </w:tcPr>
          <w:p w14:paraId="69ECF040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7DBAC236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1005" w:type="dxa"/>
            <w:tcBorders>
              <w:bottom w:val="single" w:color="auto" w:sz="4" w:space="0"/>
            </w:tcBorders>
            <w:vAlign w:val="top"/>
          </w:tcPr>
          <w:p w14:paraId="18DA9AE5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tcBorders>
              <w:bottom w:val="single" w:color="auto" w:sz="4" w:space="0"/>
            </w:tcBorders>
            <w:vAlign w:val="top"/>
          </w:tcPr>
          <w:p w14:paraId="06EA4911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R (95%CI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)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vAlign w:val="top"/>
          </w:tcPr>
          <w:p w14:paraId="69B4ED8D">
            <w:pPr>
              <w:widowControl w:val="0"/>
              <w:spacing w:line="360" w:lineRule="auto"/>
              <w:ind w:left="363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2F51328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</w:tcBorders>
            <w:vAlign w:val="top"/>
          </w:tcPr>
          <w:p w14:paraId="44B799DB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 xml:space="preserve">Single 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vessel</w:t>
            </w:r>
          </w:p>
        </w:tc>
        <w:tc>
          <w:tcPr>
            <w:tcW w:w="1939" w:type="dxa"/>
            <w:tcBorders>
              <w:top w:val="single" w:color="auto" w:sz="4" w:space="0"/>
            </w:tcBorders>
            <w:vAlign w:val="top"/>
          </w:tcPr>
          <w:p w14:paraId="702B7F6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TYG index 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(continuous)</w:t>
            </w:r>
          </w:p>
        </w:tc>
        <w:tc>
          <w:tcPr>
            <w:tcW w:w="1796" w:type="dxa"/>
            <w:tcBorders>
              <w:top w:val="single" w:color="auto" w:sz="4" w:space="0"/>
            </w:tcBorders>
            <w:vAlign w:val="top"/>
          </w:tcPr>
          <w:p w14:paraId="11A982B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1.30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1.15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1.47)</w:t>
            </w:r>
          </w:p>
        </w:tc>
        <w:tc>
          <w:tcPr>
            <w:tcW w:w="990" w:type="dxa"/>
            <w:tcBorders>
              <w:top w:val="single" w:color="auto" w:sz="4" w:space="0"/>
            </w:tcBorders>
            <w:vAlign w:val="top"/>
          </w:tcPr>
          <w:p w14:paraId="0033C803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45" w:type="dxa"/>
            <w:tcBorders>
              <w:top w:val="single" w:color="auto" w:sz="4" w:space="0"/>
            </w:tcBorders>
            <w:vAlign w:val="top"/>
          </w:tcPr>
          <w:p w14:paraId="03A2672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1.05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1.43)</w:t>
            </w:r>
          </w:p>
        </w:tc>
        <w:tc>
          <w:tcPr>
            <w:tcW w:w="1005" w:type="dxa"/>
            <w:tcBorders>
              <w:top w:val="single" w:color="auto" w:sz="4" w:space="0"/>
            </w:tcBorders>
            <w:vAlign w:val="top"/>
          </w:tcPr>
          <w:p w14:paraId="5CFE733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0.011</w:t>
            </w:r>
          </w:p>
        </w:tc>
        <w:tc>
          <w:tcPr>
            <w:tcW w:w="1845" w:type="dxa"/>
            <w:tcBorders>
              <w:top w:val="single" w:color="auto" w:sz="4" w:space="0"/>
            </w:tcBorders>
            <w:vAlign w:val="top"/>
          </w:tcPr>
          <w:p w14:paraId="527672C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1.19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1.53)</w:t>
            </w:r>
          </w:p>
        </w:tc>
        <w:tc>
          <w:tcPr>
            <w:tcW w:w="810" w:type="dxa"/>
            <w:tcBorders>
              <w:top w:val="single" w:color="auto" w:sz="4" w:space="0"/>
            </w:tcBorders>
            <w:vAlign w:val="top"/>
          </w:tcPr>
          <w:p w14:paraId="77A3CD3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0.16</w:t>
            </w:r>
          </w:p>
        </w:tc>
      </w:tr>
      <w:tr w14:paraId="379D191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615E6645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6668451D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Q1 (&lt;8.80)</w:t>
            </w:r>
          </w:p>
        </w:tc>
        <w:tc>
          <w:tcPr>
            <w:tcW w:w="1796" w:type="dxa"/>
            <w:vAlign w:val="top"/>
          </w:tcPr>
          <w:p w14:paraId="31AF9A2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90" w:type="dxa"/>
            <w:vAlign w:val="top"/>
          </w:tcPr>
          <w:p w14:paraId="4196462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vAlign w:val="top"/>
          </w:tcPr>
          <w:p w14:paraId="49A605F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1005" w:type="dxa"/>
            <w:vAlign w:val="top"/>
          </w:tcPr>
          <w:p w14:paraId="04B04E2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vAlign w:val="top"/>
          </w:tcPr>
          <w:p w14:paraId="7AC47DE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810" w:type="dxa"/>
            <w:vAlign w:val="top"/>
          </w:tcPr>
          <w:p w14:paraId="4EC5CA7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1264818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236EDDCE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1FDC66C1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Q2 (8.80-9.24)</w:t>
            </w:r>
          </w:p>
        </w:tc>
        <w:tc>
          <w:tcPr>
            <w:tcW w:w="1796" w:type="dxa"/>
            <w:vAlign w:val="top"/>
          </w:tcPr>
          <w:p w14:paraId="09E3FBD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1.28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1.04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1.56)</w:t>
            </w:r>
          </w:p>
        </w:tc>
        <w:tc>
          <w:tcPr>
            <w:tcW w:w="990" w:type="dxa"/>
            <w:vAlign w:val="top"/>
          </w:tcPr>
          <w:p w14:paraId="1793B96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0.02</w:t>
            </w:r>
          </w:p>
        </w:tc>
        <w:tc>
          <w:tcPr>
            <w:tcW w:w="1845" w:type="dxa"/>
            <w:vAlign w:val="top"/>
          </w:tcPr>
          <w:p w14:paraId="582F5D6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1.26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1.55)</w:t>
            </w:r>
          </w:p>
        </w:tc>
        <w:tc>
          <w:tcPr>
            <w:tcW w:w="1005" w:type="dxa"/>
            <w:vAlign w:val="top"/>
          </w:tcPr>
          <w:p w14:paraId="38044DA3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0.03</w:t>
            </w:r>
          </w:p>
        </w:tc>
        <w:tc>
          <w:tcPr>
            <w:tcW w:w="1845" w:type="dxa"/>
            <w:vAlign w:val="top"/>
          </w:tcPr>
          <w:p w14:paraId="77A07B8B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1.19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0.96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1.46)</w:t>
            </w:r>
          </w:p>
        </w:tc>
        <w:tc>
          <w:tcPr>
            <w:tcW w:w="810" w:type="dxa"/>
            <w:vAlign w:val="top"/>
          </w:tcPr>
          <w:p w14:paraId="4A79D1D8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0.11</w:t>
            </w:r>
          </w:p>
        </w:tc>
      </w:tr>
      <w:tr w14:paraId="02A3656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6A29E7A9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2108F585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Q3 (9.24-9.68)</w:t>
            </w:r>
          </w:p>
        </w:tc>
        <w:tc>
          <w:tcPr>
            <w:tcW w:w="1796" w:type="dxa"/>
            <w:vAlign w:val="top"/>
          </w:tcPr>
          <w:p w14:paraId="4D02F76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1.25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1.02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1.54)</w:t>
            </w:r>
          </w:p>
        </w:tc>
        <w:tc>
          <w:tcPr>
            <w:tcW w:w="990" w:type="dxa"/>
            <w:vAlign w:val="top"/>
          </w:tcPr>
          <w:p w14:paraId="4335558B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0.03</w:t>
            </w:r>
          </w:p>
        </w:tc>
        <w:tc>
          <w:tcPr>
            <w:tcW w:w="1845" w:type="dxa"/>
            <w:vAlign w:val="top"/>
          </w:tcPr>
          <w:p w14:paraId="229CAA0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0.97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1.48)</w:t>
            </w:r>
          </w:p>
        </w:tc>
        <w:tc>
          <w:tcPr>
            <w:tcW w:w="1005" w:type="dxa"/>
            <w:vAlign w:val="top"/>
          </w:tcPr>
          <w:p w14:paraId="2B33AD98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0.09</w:t>
            </w:r>
          </w:p>
        </w:tc>
        <w:tc>
          <w:tcPr>
            <w:tcW w:w="1845" w:type="dxa"/>
            <w:vAlign w:val="top"/>
          </w:tcPr>
          <w:p w14:paraId="73027B0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1.10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0.88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1.36)</w:t>
            </w:r>
          </w:p>
        </w:tc>
        <w:tc>
          <w:tcPr>
            <w:tcW w:w="810" w:type="dxa"/>
            <w:vAlign w:val="top"/>
          </w:tcPr>
          <w:p w14:paraId="3AF3BD0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0.41</w:t>
            </w:r>
          </w:p>
        </w:tc>
      </w:tr>
      <w:tr w14:paraId="28CAB15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29E459C0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35CC90D1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Q4 (&gt; 9.68)</w:t>
            </w:r>
          </w:p>
        </w:tc>
        <w:tc>
          <w:tcPr>
            <w:tcW w:w="1796" w:type="dxa"/>
            <w:vAlign w:val="top"/>
          </w:tcPr>
          <w:p w14:paraId="051AF10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1.51 (1.22-1.87)</w:t>
            </w:r>
          </w:p>
        </w:tc>
        <w:tc>
          <w:tcPr>
            <w:tcW w:w="990" w:type="dxa"/>
            <w:vAlign w:val="top"/>
          </w:tcPr>
          <w:p w14:paraId="0E0CD0C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45" w:type="dxa"/>
            <w:vAlign w:val="top"/>
          </w:tcPr>
          <w:p w14:paraId="04F58B6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1.31 (1.04-1.66)</w:t>
            </w:r>
          </w:p>
        </w:tc>
        <w:tc>
          <w:tcPr>
            <w:tcW w:w="1005" w:type="dxa"/>
            <w:vAlign w:val="top"/>
          </w:tcPr>
          <w:p w14:paraId="15819292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0.02</w:t>
            </w:r>
          </w:p>
        </w:tc>
        <w:tc>
          <w:tcPr>
            <w:tcW w:w="1845" w:type="dxa"/>
            <w:vAlign w:val="top"/>
          </w:tcPr>
          <w:p w14:paraId="607D98FD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1.15 (0.88-1.50)</w:t>
            </w:r>
          </w:p>
        </w:tc>
        <w:tc>
          <w:tcPr>
            <w:tcW w:w="810" w:type="dxa"/>
            <w:vAlign w:val="top"/>
          </w:tcPr>
          <w:p w14:paraId="25A20256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0.31</w:t>
            </w:r>
          </w:p>
        </w:tc>
      </w:tr>
      <w:tr w14:paraId="13140D0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01A44025">
            <w:pPr>
              <w:widowControl w:val="0"/>
              <w:spacing w:line="360" w:lineRule="auto"/>
              <w:jc w:val="both"/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ulti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vessel</w:t>
            </w:r>
          </w:p>
        </w:tc>
        <w:tc>
          <w:tcPr>
            <w:tcW w:w="1939" w:type="dxa"/>
            <w:vAlign w:val="top"/>
          </w:tcPr>
          <w:p w14:paraId="17E4F81D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TYG index 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(continuous)</w:t>
            </w:r>
          </w:p>
        </w:tc>
        <w:tc>
          <w:tcPr>
            <w:tcW w:w="1796" w:type="dxa"/>
            <w:vAlign w:val="top"/>
          </w:tcPr>
          <w:p w14:paraId="3E050C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1.28 (1.10-1.50)</w:t>
            </w:r>
          </w:p>
        </w:tc>
        <w:tc>
          <w:tcPr>
            <w:tcW w:w="990" w:type="dxa"/>
            <w:vAlign w:val="top"/>
          </w:tcPr>
          <w:p w14:paraId="1ED05274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0.002</w:t>
            </w:r>
          </w:p>
        </w:tc>
        <w:tc>
          <w:tcPr>
            <w:tcW w:w="1845" w:type="dxa"/>
            <w:vAlign w:val="top"/>
          </w:tcPr>
          <w:p w14:paraId="76B9D1D1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1.62 (1.33 -1.97)</w:t>
            </w:r>
          </w:p>
        </w:tc>
        <w:tc>
          <w:tcPr>
            <w:tcW w:w="1005" w:type="dxa"/>
            <w:vAlign w:val="top"/>
          </w:tcPr>
          <w:p w14:paraId="28D6E83F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45" w:type="dxa"/>
            <w:vAlign w:val="top"/>
          </w:tcPr>
          <w:p w14:paraId="3894BAD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1.43 (1.05 -1.94)</w:t>
            </w:r>
          </w:p>
        </w:tc>
        <w:tc>
          <w:tcPr>
            <w:tcW w:w="810" w:type="dxa"/>
            <w:vAlign w:val="top"/>
          </w:tcPr>
          <w:p w14:paraId="133E8926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0.03</w:t>
            </w:r>
          </w:p>
        </w:tc>
      </w:tr>
      <w:tr w14:paraId="3029604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6ED26F3C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365B8354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Q1 (&lt;8.80)</w:t>
            </w:r>
          </w:p>
        </w:tc>
        <w:tc>
          <w:tcPr>
            <w:tcW w:w="1796" w:type="dxa"/>
            <w:vAlign w:val="top"/>
          </w:tcPr>
          <w:p w14:paraId="5DB3F5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990" w:type="dxa"/>
            <w:vAlign w:val="top"/>
          </w:tcPr>
          <w:p w14:paraId="394895C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vAlign w:val="top"/>
          </w:tcPr>
          <w:p w14:paraId="020EF69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1005" w:type="dxa"/>
            <w:vAlign w:val="top"/>
          </w:tcPr>
          <w:p w14:paraId="7B197EB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  <w:tc>
          <w:tcPr>
            <w:tcW w:w="1845" w:type="dxa"/>
            <w:vAlign w:val="top"/>
          </w:tcPr>
          <w:p w14:paraId="1E61F8C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810" w:type="dxa"/>
            <w:vAlign w:val="top"/>
          </w:tcPr>
          <w:p w14:paraId="4A367EF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</w:p>
        </w:tc>
      </w:tr>
      <w:tr w14:paraId="3906CED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687B88A5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5D8D06FF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Q2 (8.80-9.24)</w:t>
            </w:r>
          </w:p>
        </w:tc>
        <w:tc>
          <w:tcPr>
            <w:tcW w:w="1796" w:type="dxa"/>
            <w:vAlign w:val="top"/>
          </w:tcPr>
          <w:p w14:paraId="154C29D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1.23 (0.94-1.61)</w:t>
            </w:r>
          </w:p>
        </w:tc>
        <w:tc>
          <w:tcPr>
            <w:tcW w:w="990" w:type="dxa"/>
            <w:vAlign w:val="top"/>
          </w:tcPr>
          <w:p w14:paraId="7161C1B9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0.14</w:t>
            </w:r>
          </w:p>
        </w:tc>
        <w:tc>
          <w:tcPr>
            <w:tcW w:w="1845" w:type="dxa"/>
            <w:vAlign w:val="top"/>
          </w:tcPr>
          <w:p w14:paraId="4A4C2E2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1.32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1.71)</w:t>
            </w:r>
          </w:p>
        </w:tc>
        <w:tc>
          <w:tcPr>
            <w:tcW w:w="1005" w:type="dxa"/>
            <w:vAlign w:val="top"/>
          </w:tcPr>
          <w:p w14:paraId="2C205726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0.04</w:t>
            </w:r>
          </w:p>
        </w:tc>
        <w:tc>
          <w:tcPr>
            <w:tcW w:w="1845" w:type="dxa"/>
            <w:vAlign w:val="top"/>
          </w:tcPr>
          <w:p w14:paraId="7147F6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1.24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0.95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1.62)</w:t>
            </w:r>
          </w:p>
        </w:tc>
        <w:tc>
          <w:tcPr>
            <w:tcW w:w="810" w:type="dxa"/>
            <w:vAlign w:val="top"/>
          </w:tcPr>
          <w:p w14:paraId="03C07416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0.11</w:t>
            </w:r>
          </w:p>
        </w:tc>
      </w:tr>
      <w:tr w14:paraId="003DD2D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043E6AD7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712AC440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Q3 (9.24-9.68)</w:t>
            </w:r>
          </w:p>
        </w:tc>
        <w:tc>
          <w:tcPr>
            <w:tcW w:w="1796" w:type="dxa"/>
            <w:vAlign w:val="top"/>
          </w:tcPr>
          <w:p w14:paraId="2233B77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1.30 (0.99-1.70)</w:t>
            </w:r>
          </w:p>
        </w:tc>
        <w:tc>
          <w:tcPr>
            <w:tcW w:w="990" w:type="dxa"/>
            <w:vAlign w:val="top"/>
          </w:tcPr>
          <w:p w14:paraId="1BCF64D7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0.06</w:t>
            </w:r>
          </w:p>
        </w:tc>
        <w:tc>
          <w:tcPr>
            <w:tcW w:w="1845" w:type="dxa"/>
            <w:vAlign w:val="top"/>
          </w:tcPr>
          <w:p w14:paraId="511C32D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1.33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1.02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1.74)</w:t>
            </w:r>
          </w:p>
        </w:tc>
        <w:tc>
          <w:tcPr>
            <w:tcW w:w="1005" w:type="dxa"/>
            <w:vAlign w:val="top"/>
          </w:tcPr>
          <w:p w14:paraId="06F49AB9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0.035</w:t>
            </w:r>
          </w:p>
        </w:tc>
        <w:tc>
          <w:tcPr>
            <w:tcW w:w="1845" w:type="dxa"/>
            <w:vAlign w:val="top"/>
          </w:tcPr>
          <w:p w14:paraId="5EB7637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1.20 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0.91</w:t>
            </w:r>
            <w:r>
              <w:rPr>
                <w:rFonts w:ascii="Times New Roman" w:hAnsi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1.58)</w:t>
            </w:r>
          </w:p>
        </w:tc>
        <w:tc>
          <w:tcPr>
            <w:tcW w:w="810" w:type="dxa"/>
            <w:vAlign w:val="top"/>
          </w:tcPr>
          <w:p w14:paraId="2117A73D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0.19</w:t>
            </w:r>
          </w:p>
        </w:tc>
      </w:tr>
      <w:tr w14:paraId="674AC53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top"/>
          </w:tcPr>
          <w:p w14:paraId="64A4B2BE">
            <w:pPr>
              <w:widowControl w:val="0"/>
              <w:spacing w:line="360" w:lineRule="auto"/>
              <w:ind w:firstLine="240" w:firstLineChars="100"/>
              <w:jc w:val="both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939" w:type="dxa"/>
            <w:vAlign w:val="top"/>
          </w:tcPr>
          <w:p w14:paraId="1447DCC8">
            <w:pPr>
              <w:widowControl w:val="0"/>
              <w:spacing w:line="360" w:lineRule="auto"/>
              <w:ind w:firstLine="240" w:firstLineChars="1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Q4 (&gt; 9.68)</w:t>
            </w:r>
          </w:p>
        </w:tc>
        <w:tc>
          <w:tcPr>
            <w:tcW w:w="1796" w:type="dxa"/>
            <w:vAlign w:val="top"/>
          </w:tcPr>
          <w:p w14:paraId="407D1FF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1.45(1.10-1.92)</w:t>
            </w:r>
          </w:p>
        </w:tc>
        <w:tc>
          <w:tcPr>
            <w:tcW w:w="990" w:type="dxa"/>
            <w:vAlign w:val="top"/>
          </w:tcPr>
          <w:p w14:paraId="43AC777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45" w:type="dxa"/>
            <w:vAlign w:val="top"/>
          </w:tcPr>
          <w:p w14:paraId="0ACAFE5D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1.73 (1.28-2.32)</w:t>
            </w:r>
          </w:p>
        </w:tc>
        <w:tc>
          <w:tcPr>
            <w:tcW w:w="1005" w:type="dxa"/>
            <w:vAlign w:val="top"/>
          </w:tcPr>
          <w:p w14:paraId="31143F27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&lt; 0.001</w:t>
            </w:r>
          </w:p>
        </w:tc>
        <w:tc>
          <w:tcPr>
            <w:tcW w:w="1845" w:type="dxa"/>
            <w:vAlign w:val="top"/>
          </w:tcPr>
          <w:p w14:paraId="1A2277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1.38 (1.00-1.91)</w:t>
            </w:r>
          </w:p>
        </w:tc>
        <w:tc>
          <w:tcPr>
            <w:tcW w:w="810" w:type="dxa"/>
            <w:vAlign w:val="top"/>
          </w:tcPr>
          <w:p w14:paraId="146261DE">
            <w:pPr>
              <w:widowControl w:val="0"/>
              <w:spacing w:line="360" w:lineRule="auto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0.051</w:t>
            </w:r>
          </w:p>
        </w:tc>
      </w:tr>
    </w:tbl>
    <w:p w14:paraId="30EBB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/>
          <w:sz w:val="24"/>
          <w:lang w:eastAsia="zh-CN"/>
        </w:rPr>
      </w:pPr>
      <w:r>
        <w:rPr>
          <w:rFonts w:ascii="Times New Roman" w:hAnsi="Times New Roman"/>
          <w:sz w:val="24"/>
          <w:lang w:val="en-US"/>
        </w:rPr>
        <w:t xml:space="preserve">Model 1 was </w:t>
      </w:r>
      <w:r>
        <w:rPr>
          <w:rFonts w:hint="eastAsia" w:ascii="Times New Roman" w:hAnsi="Times New Roman" w:eastAsia="宋体"/>
          <w:sz w:val="24"/>
          <w:lang w:val="en-US" w:eastAsia="zh-CN"/>
        </w:rPr>
        <w:t>adjusted for age, sex and body mass index</w:t>
      </w:r>
      <w:r>
        <w:rPr>
          <w:rFonts w:ascii="Times New Roman" w:hAnsi="Times New Roman" w:eastAsia="宋体"/>
          <w:sz w:val="24"/>
          <w:lang w:val="en-US" w:eastAsia="zh-CN"/>
        </w:rPr>
        <w:t xml:space="preserve">; </w:t>
      </w:r>
      <w:r>
        <w:rPr>
          <w:rFonts w:ascii="Times New Roman" w:hAnsi="Times New Roman"/>
          <w:sz w:val="24"/>
          <w:lang w:val="en-US"/>
        </w:rPr>
        <w:t xml:space="preserve">Model 2 was further adjusted for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liver function, renal function, diabetes, albumin, uric acid, blood pressure, </w:t>
      </w:r>
      <w:r>
        <w:rPr>
          <w:rFonts w:ascii="Times New Roman" w:hAnsi="Times New Roman" w:eastAsia="宋体" w:cs="Times New Roman"/>
          <w:sz w:val="24"/>
          <w:lang w:val="en-US" w:eastAsia="zh-CN"/>
        </w:rPr>
        <w:t xml:space="preserve">and </w:t>
      </w:r>
      <w:r>
        <w:rPr>
          <w:rFonts w:hint="eastAsia" w:ascii="Times New Roman" w:hAnsi="Times New Roman" w:eastAsia="宋体"/>
          <w:sz w:val="24"/>
          <w:lang w:val="en-US" w:eastAsia="zh-CN"/>
        </w:rPr>
        <w:t>liver CT attenuation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Model 3 was further adjusted </w:t>
      </w:r>
      <w:r>
        <w:rPr>
          <w:rFonts w:ascii="Times New Roman" w:hAnsi="Times New Roman" w:eastAsia="宋体" w:cs="Times New Roman"/>
          <w:sz w:val="24"/>
          <w:lang w:val="en-US" w:eastAsia="zh-CN"/>
        </w:rPr>
        <w:t>for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sz w:val="24"/>
          <w:lang w:val="en-US"/>
        </w:rPr>
        <w:t>low-density lipoprotein cholesterol</w:t>
      </w:r>
      <w:r>
        <w:rPr>
          <w:rFonts w:hint="eastAsia" w:ascii="Times New Roman" w:hAnsi="Times New Roman" w:eastAsia="宋体"/>
          <w:sz w:val="24"/>
          <w:lang w:val="en-US" w:eastAsia="zh-CN"/>
        </w:rPr>
        <w:t>, and total cholesterol.</w:t>
      </w:r>
    </w:p>
    <w:p w14:paraId="43BC1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/>
          <w:sz w:val="24"/>
          <w:lang w:val="en-US" w:eastAsia="zh-CN"/>
        </w:rPr>
        <w:t xml:space="preserve">CI: confidence interval; OR: odds ratio; TYG: </w:t>
      </w:r>
      <w:r>
        <w:rPr>
          <w:rFonts w:ascii="Times New Roman" w:hAnsi="Times New Roman" w:eastAsia="Times New Roman" w:cs="Times New Roman"/>
          <w:sz w:val="24"/>
          <w:lang w:val="en-US" w:eastAsia="zh-CN"/>
        </w:rPr>
        <w:t>triglyceride</w:t>
      </w:r>
      <w:r>
        <w:rPr>
          <w:rFonts w:hint="default" w:ascii="Times New Roman" w:hAnsi="Times New Roman"/>
          <w:sz w:val="24"/>
          <w:lang w:val="en-US" w:eastAsia="zh-CN"/>
        </w:rPr>
        <w:t> glucose</w:t>
      </w:r>
    </w:p>
    <w:p w14:paraId="0FF73176"/>
    <w:p w14:paraId="2D58BCC5"/>
    <w:p w14:paraId="25201DB4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0OTE5YjdhOTA3M2UxMTVlZDI1OWU5ZjEwZGMzMzYifQ=="/>
  </w:docVars>
  <w:rsids>
    <w:rsidRoot w:val="474851EE"/>
    <w:rsid w:val="04A8361F"/>
    <w:rsid w:val="09593904"/>
    <w:rsid w:val="0A332CD4"/>
    <w:rsid w:val="0BF4127A"/>
    <w:rsid w:val="0DBA08FC"/>
    <w:rsid w:val="16021A3F"/>
    <w:rsid w:val="17AD1A18"/>
    <w:rsid w:val="17D82B4B"/>
    <w:rsid w:val="19EF1EFC"/>
    <w:rsid w:val="202002A1"/>
    <w:rsid w:val="233559CB"/>
    <w:rsid w:val="240774C2"/>
    <w:rsid w:val="24660792"/>
    <w:rsid w:val="26396577"/>
    <w:rsid w:val="26A6588C"/>
    <w:rsid w:val="29BF73BA"/>
    <w:rsid w:val="2A935FEE"/>
    <w:rsid w:val="2C245C2F"/>
    <w:rsid w:val="2D991E6D"/>
    <w:rsid w:val="2F161923"/>
    <w:rsid w:val="32AE1C5A"/>
    <w:rsid w:val="3406408D"/>
    <w:rsid w:val="35FD1237"/>
    <w:rsid w:val="4098743E"/>
    <w:rsid w:val="4249761C"/>
    <w:rsid w:val="42DA1FD4"/>
    <w:rsid w:val="42FD2F16"/>
    <w:rsid w:val="45055C81"/>
    <w:rsid w:val="474851EE"/>
    <w:rsid w:val="4A936E6E"/>
    <w:rsid w:val="4ABE1D31"/>
    <w:rsid w:val="4E757CEC"/>
    <w:rsid w:val="54297BF9"/>
    <w:rsid w:val="55733508"/>
    <w:rsid w:val="5ED61EFD"/>
    <w:rsid w:val="5F83137C"/>
    <w:rsid w:val="6297324D"/>
    <w:rsid w:val="644D2584"/>
    <w:rsid w:val="66126487"/>
    <w:rsid w:val="74EE0377"/>
    <w:rsid w:val="7A550887"/>
    <w:rsid w:val="7B83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</w:pPr>
    <w:rPr>
      <w:rFonts w:ascii="Arial" w:hAnsi="Arial" w:eastAsia="Times New Roman" w:cs="Times New Roman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342</Words>
  <Characters>1992</Characters>
  <Lines>0</Lines>
  <Paragraphs>0</Paragraphs>
  <TotalTime>1</TotalTime>
  <ScaleCrop>false</ScaleCrop>
  <LinksUpToDate>false</LinksUpToDate>
  <CharactersWithSpaces>2220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2024-09-24T00:37:00Z</dcterms:created>
  <dc:creator>chxwin</dc:creator>
  <cp:lastModifiedBy>chxwin</cp:lastModifiedBy>
  <dcterms:modified xsi:type="dcterms:W3CDTF">2024-09-26T00:22:02Z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5FB1F9882F5F46839B82D73D81F1A5B3_11</vt:lpwstr>
  </property>
</Properties>
</file>