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CF9" w:rsidRPr="000F2CF9" w:rsidRDefault="00664619" w:rsidP="000F2CF9">
      <w:pPr>
        <w:rPr>
          <w:rFonts w:ascii="Times New Roman" w:eastAsia="等线" w:hAnsi="Times New Roman" w:cs="Times New Roman"/>
          <w:color w:val="000000" w:themeColor="text1"/>
          <w:sz w:val="20"/>
          <w:szCs w:val="20"/>
        </w:rPr>
      </w:pPr>
      <w:r w:rsidRPr="00664619">
        <w:rPr>
          <w:rFonts w:ascii="Times New Roman" w:eastAsia="等线" w:hAnsi="Times New Roman" w:cs="Times New Roman"/>
          <w:color w:val="000000" w:themeColor="text1"/>
          <w:sz w:val="20"/>
          <w:szCs w:val="20"/>
        </w:rPr>
        <w:t xml:space="preserve">Supplemental Table </w:t>
      </w:r>
      <w:r w:rsidR="00990596">
        <w:rPr>
          <w:rFonts w:ascii="Times New Roman" w:eastAsia="等线" w:hAnsi="Times New Roman" w:cs="Times New Roman"/>
          <w:color w:val="000000" w:themeColor="text1"/>
          <w:sz w:val="20"/>
          <w:szCs w:val="20"/>
        </w:rPr>
        <w:t>3</w:t>
      </w:r>
      <w:bookmarkStart w:id="0" w:name="_GoBack"/>
      <w:bookmarkEnd w:id="0"/>
      <w:r w:rsidR="000F2CF9" w:rsidRPr="000F2CF9">
        <w:rPr>
          <w:rFonts w:ascii="Times New Roman" w:eastAsia="等线" w:hAnsi="Times New Roman" w:cs="Times New Roman"/>
          <w:color w:val="000000" w:themeColor="text1"/>
          <w:sz w:val="20"/>
          <w:szCs w:val="20"/>
        </w:rPr>
        <w:t>.</w:t>
      </w:r>
      <w:r w:rsidR="000F2CF9" w:rsidRPr="000F2CF9">
        <w:rPr>
          <w:sz w:val="20"/>
          <w:szCs w:val="20"/>
        </w:rPr>
        <w:t xml:space="preserve"> </w:t>
      </w:r>
      <w:r w:rsidR="000F2CF9" w:rsidRPr="000F2CF9">
        <w:rPr>
          <w:rFonts w:ascii="Times New Roman" w:eastAsia="等线" w:hAnsi="Times New Roman" w:cs="Times New Roman"/>
          <w:color w:val="000000" w:themeColor="text1"/>
          <w:sz w:val="20"/>
          <w:szCs w:val="20"/>
        </w:rPr>
        <w:t>Primers used for RT-qPCR amplification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8"/>
        <w:gridCol w:w="3361"/>
        <w:gridCol w:w="3387"/>
      </w:tblGrid>
      <w:tr w:rsidR="000F2CF9" w:rsidRPr="000F2CF9" w:rsidTr="004F179D">
        <w:trPr>
          <w:trHeight w:val="20"/>
        </w:trPr>
        <w:tc>
          <w:tcPr>
            <w:tcW w:w="93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="402"/>
              <w:jc w:val="left"/>
              <w:rPr>
                <w:b/>
                <w:color w:val="000000" w:themeColor="text1"/>
              </w:rPr>
            </w:pPr>
            <w:r w:rsidRPr="000F2CF9">
              <w:rPr>
                <w:b/>
                <w:bCs/>
                <w:color w:val="000000" w:themeColor="text1"/>
              </w:rPr>
              <w:t>Gene</w:t>
            </w:r>
          </w:p>
        </w:tc>
        <w:tc>
          <w:tcPr>
            <w:tcW w:w="20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="402"/>
              <w:jc w:val="center"/>
              <w:rPr>
                <w:b/>
                <w:color w:val="000000" w:themeColor="text1"/>
              </w:rPr>
            </w:pPr>
            <w:r w:rsidRPr="000F2CF9">
              <w:rPr>
                <w:b/>
                <w:bCs/>
                <w:color w:val="000000" w:themeColor="text1"/>
              </w:rPr>
              <w:t>Forward Primer (5' to 3')</w:t>
            </w:r>
          </w:p>
        </w:tc>
        <w:tc>
          <w:tcPr>
            <w:tcW w:w="203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="402"/>
              <w:jc w:val="center"/>
              <w:rPr>
                <w:b/>
                <w:color w:val="000000" w:themeColor="text1"/>
              </w:rPr>
            </w:pPr>
            <w:r w:rsidRPr="000F2CF9">
              <w:rPr>
                <w:b/>
                <w:bCs/>
                <w:color w:val="000000" w:themeColor="text1"/>
              </w:rPr>
              <w:t>Reverse Primer (5' to 3')</w:t>
            </w:r>
          </w:p>
        </w:tc>
      </w:tr>
      <w:tr w:rsidR="000F2CF9" w:rsidRPr="000F2CF9" w:rsidTr="004F179D">
        <w:trPr>
          <w:trHeight w:val="20"/>
        </w:trPr>
        <w:tc>
          <w:tcPr>
            <w:tcW w:w="5000" w:type="pct"/>
            <w:gridSpan w:val="3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b/>
                <w:color w:val="000000" w:themeColor="text1"/>
              </w:rPr>
            </w:pPr>
            <w:r w:rsidRPr="000F2CF9">
              <w:rPr>
                <w:b/>
                <w:color w:val="000000" w:themeColor="text1"/>
              </w:rPr>
              <w:t>Ion channel-related genes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Na</w:t>
            </w:r>
            <w:r w:rsidRPr="000F2CF9">
              <w:rPr>
                <w:color w:val="000000" w:themeColor="text1"/>
                <w:vertAlign w:val="subscript"/>
              </w:rPr>
              <w:t>v</w:t>
            </w:r>
            <w:r w:rsidRPr="000F2CF9">
              <w:rPr>
                <w:color w:val="000000" w:themeColor="text1"/>
              </w:rPr>
              <w:t>1.5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ATGGCAAACTTCCTGTTACCTC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CCACGGGCTTGTTTTTCAGC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K</w:t>
            </w:r>
            <w:r w:rsidRPr="000F2CF9">
              <w:rPr>
                <w:color w:val="000000" w:themeColor="text1"/>
                <w:vertAlign w:val="subscript"/>
              </w:rPr>
              <w:t>v</w:t>
            </w:r>
            <w:r w:rsidRPr="000F2CF9">
              <w:rPr>
                <w:color w:val="000000" w:themeColor="text1"/>
              </w:rPr>
              <w:t>4.3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GCTCCAGCGGACAAGAACAA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CTACCCAGCAAGGTGTCGG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K</w:t>
            </w:r>
            <w:r w:rsidRPr="000F2CF9">
              <w:rPr>
                <w:color w:val="000000" w:themeColor="text1"/>
                <w:vertAlign w:val="subscript"/>
              </w:rPr>
              <w:t>v</w:t>
            </w:r>
            <w:r w:rsidRPr="000F2CF9">
              <w:rPr>
                <w:color w:val="000000" w:themeColor="text1"/>
              </w:rPr>
              <w:t>1.5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ATCACCAGCGGGTCCTCATAA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GGAGGGTGTTGGGAAACTGC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K</w:t>
            </w:r>
            <w:r w:rsidRPr="000F2CF9">
              <w:rPr>
                <w:rFonts w:hint="eastAsia"/>
                <w:color w:val="000000" w:themeColor="text1"/>
                <w:vertAlign w:val="subscript"/>
              </w:rPr>
              <w:t>ir</w:t>
            </w:r>
            <w:r w:rsidRPr="000F2CF9">
              <w:rPr>
                <w:color w:val="000000" w:themeColor="text1"/>
              </w:rPr>
              <w:t>3.1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CTGACCG</w:t>
            </w:r>
            <w:r w:rsidRPr="000F2CF9">
              <w:rPr>
                <w:rFonts w:hint="eastAsia"/>
                <w:color w:val="000000" w:themeColor="text1"/>
              </w:rPr>
              <w:t>T</w:t>
            </w:r>
            <w:r w:rsidRPr="000F2CF9">
              <w:rPr>
                <w:color w:val="000000" w:themeColor="text1"/>
              </w:rPr>
              <w:t>TTCACATAGC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CCAGGCTAGGATAGACCTC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color w:val="000000" w:themeColor="text1"/>
              </w:rPr>
            </w:pPr>
            <w:bookmarkStart w:id="1" w:name="OLE_LINK21"/>
            <w:r w:rsidRPr="000F2CF9">
              <w:rPr>
                <w:color w:val="000000" w:themeColor="text1"/>
              </w:rPr>
              <w:t>Kr/</w:t>
            </w:r>
            <w:r w:rsidRPr="000F2CF9">
              <w:rPr>
                <w:rFonts w:hint="eastAsia"/>
                <w:color w:val="000000" w:themeColor="text1"/>
              </w:rPr>
              <w:t>h</w:t>
            </w:r>
            <w:r w:rsidRPr="000F2CF9">
              <w:rPr>
                <w:color w:val="000000" w:themeColor="text1"/>
              </w:rPr>
              <w:t>ERG</w:t>
            </w:r>
            <w:r w:rsidRPr="000F2CF9">
              <w:rPr>
                <w:rFonts w:hint="eastAsia"/>
                <w:color w:val="000000" w:themeColor="text1"/>
              </w:rPr>
              <w:t>/Kcnh2</w:t>
            </w:r>
            <w:bookmarkEnd w:id="1"/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GTGCTGCCTGAGTATAAGCTG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CCGAGTACGGTGTGAAGACT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Ks/K</w:t>
            </w:r>
            <w:r w:rsidRPr="000F2CF9">
              <w:rPr>
                <w:color w:val="000000" w:themeColor="text1"/>
                <w:vertAlign w:val="subscript"/>
              </w:rPr>
              <w:t>v</w:t>
            </w:r>
            <w:r w:rsidRPr="000F2CF9">
              <w:rPr>
                <w:color w:val="000000" w:themeColor="text1"/>
              </w:rPr>
              <w:t>7.1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ACCTCATCGTGGTTGTAGCCT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GGATACCCCTGATAGCTGATGT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KACh/K</w:t>
            </w:r>
            <w:r w:rsidRPr="000F2CF9">
              <w:rPr>
                <w:color w:val="000000" w:themeColor="text1"/>
                <w:vertAlign w:val="subscript"/>
              </w:rPr>
              <w:t>ir</w:t>
            </w:r>
            <w:r w:rsidRPr="000F2CF9">
              <w:rPr>
                <w:color w:val="000000" w:themeColor="text1"/>
              </w:rPr>
              <w:t>3.4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GTGATTCTAGGAATGCTATG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CAGGTGATGGTGTAGACC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K</w:t>
            </w:r>
            <w:r w:rsidRPr="000F2CF9">
              <w:rPr>
                <w:color w:val="000000" w:themeColor="text1"/>
                <w:vertAlign w:val="subscript"/>
              </w:rPr>
              <w:t>ir</w:t>
            </w:r>
            <w:r w:rsidRPr="000F2CF9">
              <w:rPr>
                <w:color w:val="000000" w:themeColor="text1"/>
              </w:rPr>
              <w:t>2.1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TGACTGGCTGATTCCGTC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CCTCTCGACCAGTACCATG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KATP/K</w:t>
            </w:r>
            <w:r w:rsidRPr="000F2CF9">
              <w:rPr>
                <w:color w:val="000000" w:themeColor="text1"/>
                <w:vertAlign w:val="subscript"/>
              </w:rPr>
              <w:t>ir</w:t>
            </w:r>
            <w:r w:rsidRPr="000F2CF9">
              <w:rPr>
                <w:color w:val="000000" w:themeColor="text1"/>
              </w:rPr>
              <w:t>6.2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TGGGTGGTAACGGCATCTTC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GGTGCAGGTCACTAGGAGC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Ca</w:t>
            </w:r>
            <w:r w:rsidRPr="000F2CF9">
              <w:rPr>
                <w:color w:val="000000" w:themeColor="text1"/>
                <w:vertAlign w:val="subscript"/>
              </w:rPr>
              <w:t>v</w:t>
            </w:r>
            <w:r w:rsidRPr="000F2CF9">
              <w:rPr>
                <w:color w:val="000000" w:themeColor="text1"/>
              </w:rPr>
              <w:t>1.2</w:t>
            </w:r>
            <w:r w:rsidRPr="000F2CF9">
              <w:rPr>
                <w:rFonts w:hint="eastAsia"/>
                <w:color w:val="000000" w:themeColor="text1"/>
              </w:rPr>
              <w:t>/</w:t>
            </w:r>
            <w:r w:rsidRPr="000F2CF9">
              <w:rPr>
                <w:color w:val="000000" w:themeColor="text1"/>
              </w:rPr>
              <w:t>Cacna1c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CCTGCTGGTGGTTAGCGTG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TCTGCCTCCGTCTGTTTAGAA</w:t>
            </w:r>
          </w:p>
        </w:tc>
      </w:tr>
      <w:tr w:rsidR="000F2CF9" w:rsidRPr="000F2CF9" w:rsidTr="004F179D">
        <w:trPr>
          <w:trHeight w:val="324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Ca</w:t>
            </w:r>
            <w:r w:rsidRPr="000F2CF9">
              <w:rPr>
                <w:color w:val="000000" w:themeColor="text1"/>
                <w:vertAlign w:val="subscript"/>
              </w:rPr>
              <w:t>v</w:t>
            </w:r>
            <w:r w:rsidRPr="000F2CF9">
              <w:rPr>
                <w:color w:val="000000" w:themeColor="text1"/>
              </w:rPr>
              <w:t>1.3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GCTTACGTTAGGAATGGATGGAA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GAAGTGGTCTTAACACTCGGAAG</w:t>
            </w:r>
          </w:p>
        </w:tc>
      </w:tr>
      <w:tr w:rsidR="000F2CF9" w:rsidRPr="000F2CF9" w:rsidTr="004F179D">
        <w:trPr>
          <w:trHeight w:val="252"/>
        </w:trPr>
        <w:tc>
          <w:tcPr>
            <w:tcW w:w="5000" w:type="pct"/>
            <w:gridSpan w:val="3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b/>
                <w:color w:val="000000" w:themeColor="text1"/>
              </w:rPr>
            </w:pPr>
            <w:r w:rsidRPr="000F2CF9">
              <w:rPr>
                <w:b/>
                <w:color w:val="000000" w:themeColor="text1"/>
              </w:rPr>
              <w:t>Metabolism-related genes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color w:val="000000" w:themeColor="text1"/>
              </w:rPr>
            </w:pPr>
            <w:bookmarkStart w:id="2" w:name="OLE_LINK20"/>
            <w:r w:rsidRPr="000F2CF9">
              <w:rPr>
                <w:color w:val="000000" w:themeColor="text1"/>
              </w:rPr>
              <w:t>RyR2</w:t>
            </w:r>
            <w:bookmarkEnd w:id="2"/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AAAAGTGCGTGTTGGAGATGA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CACCGCCAATGAGATAGCCT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CD36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CGGAACTGTGGGCTCATTG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GCATGAGAATGCCTCCAAACA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CPT1B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GTGCAAGCAGCCCGTC</w:t>
            </w:r>
            <w:r w:rsidRPr="000F2CF9">
              <w:rPr>
                <w:rFonts w:hint="eastAsia"/>
                <w:color w:val="000000" w:themeColor="text1"/>
              </w:rPr>
              <w:t>T</w:t>
            </w:r>
            <w:r w:rsidRPr="000F2CF9">
              <w:rPr>
                <w:color w:val="000000" w:themeColor="text1"/>
              </w:rPr>
              <w:t>AG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TTGCGGCGATACATGATCAT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jc w:val="left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FABP-pm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CGAGCAGGGCATCAATGTCT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 w:line="288" w:lineRule="auto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CCGTACAGGCCCATCTTCTT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FABP3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ACTCGGTGTGGGCTTTGC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ATGATGGTAGTAGGCTTGGTCATG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GLUT1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GTGTATCCTGTTGCCCTTC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GCTTCTTCAGCACACTCTT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GLUT4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ATGGCTGTCGCTGGTTTCTC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ACCCATGCCGACAATGAAGT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HK2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GGAACCCAGCTGTTTGACCA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CAGGGGAACGAGAAGGTGAAA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PDK4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TACTGACCGCCTCTTTAGTTAC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GATGATAGCGTCTGTCCCATAA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PFKM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GCCATCGCCGTGTTGAC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GCCCTGACGGCAGCATT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PGC1α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CGGAAATCATATCCAACCAG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TGAG</w:t>
            </w:r>
            <w:r w:rsidRPr="000F2CF9">
              <w:rPr>
                <w:rFonts w:eastAsiaTheme="minorEastAsia" w:hint="eastAsia"/>
                <w:color w:val="000000" w:themeColor="text1"/>
              </w:rPr>
              <w:t>A</w:t>
            </w:r>
            <w:r w:rsidRPr="000F2CF9">
              <w:rPr>
                <w:rFonts w:eastAsiaTheme="minorEastAsia"/>
                <w:color w:val="000000" w:themeColor="text1"/>
              </w:rPr>
              <w:t>ACCGCTAGCAAGTTTG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PKM2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TGACTCTGCCCCCATCA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GCAGGCCCAATGGTACAAAT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HIF1α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TCAAGTCAGCAACGTGGAAG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TATCGAGGCTGTGTCGACTG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FOXO1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TTTCTCCCATCATGACAGAGCA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AATGCACGTCCCCATCTCC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PPARδ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CTCTTCATCGCGGCCATCATTCT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TCTGCCATCTTCTGCAGCAGCTT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PPARα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color w:val="000000" w:themeColor="text1"/>
              </w:rPr>
            </w:pPr>
            <w:r w:rsidRPr="000F2CF9">
              <w:rPr>
                <w:rFonts w:hint="eastAsia"/>
                <w:color w:val="000000" w:themeColor="text1"/>
              </w:rPr>
              <w:t>C</w:t>
            </w:r>
            <w:r w:rsidRPr="000F2CF9">
              <w:rPr>
                <w:color w:val="000000" w:themeColor="text1"/>
              </w:rPr>
              <w:t>TTCACGATGCTGTCCTCCTTGATG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GATGTCACAGAACGGCTTCCTCAG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PPARγ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GCCAAGGTGCTCCAGAAGATGAC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GTGAAGGCTCATGTCTGTCTCTGT</w:t>
            </w:r>
            <w:r w:rsidRPr="000F2CF9">
              <w:rPr>
                <w:color w:val="000000" w:themeColor="text1"/>
              </w:rPr>
              <w:lastRenderedPageBreak/>
              <w:t>C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 w:hint="eastAsia"/>
                <w:color w:val="000000" w:themeColor="text1"/>
              </w:rPr>
              <w:lastRenderedPageBreak/>
              <w:t>A</w:t>
            </w:r>
            <w:r w:rsidRPr="000F2CF9">
              <w:rPr>
                <w:rFonts w:eastAsiaTheme="minorEastAsia"/>
                <w:color w:val="000000" w:themeColor="text1"/>
              </w:rPr>
              <w:t>NXA1</w:t>
            </w:r>
          </w:p>
        </w:tc>
        <w:tc>
          <w:tcPr>
            <w:tcW w:w="2023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CATCACTTCGGACACATCTGGAGAC</w:t>
            </w:r>
          </w:p>
        </w:tc>
        <w:tc>
          <w:tcPr>
            <w:tcW w:w="2039" w:type="pct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color w:val="000000" w:themeColor="text1"/>
              </w:rPr>
            </w:pPr>
            <w:r w:rsidRPr="000F2CF9">
              <w:rPr>
                <w:color w:val="000000" w:themeColor="text1"/>
              </w:rPr>
              <w:t>CACTCATATCCTCACAGCGATCACC</w:t>
            </w:r>
          </w:p>
        </w:tc>
      </w:tr>
      <w:tr w:rsidR="000F2CF9" w:rsidRPr="000F2CF9" w:rsidTr="004F179D">
        <w:trPr>
          <w:trHeight w:val="20"/>
        </w:trPr>
        <w:tc>
          <w:tcPr>
            <w:tcW w:w="5000" w:type="pct"/>
            <w:gridSpan w:val="3"/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color w:val="000000" w:themeColor="text1"/>
              </w:rPr>
            </w:pPr>
            <w:r w:rsidRPr="000F2CF9">
              <w:rPr>
                <w:b/>
                <w:bCs/>
                <w:kern w:val="2"/>
              </w:rPr>
              <w:t>Internal reference</w:t>
            </w:r>
          </w:p>
        </w:tc>
      </w:tr>
      <w:tr w:rsidR="000F2CF9" w:rsidRPr="000F2CF9" w:rsidTr="004F179D">
        <w:trPr>
          <w:trHeight w:val="20"/>
        </w:trPr>
        <w:tc>
          <w:tcPr>
            <w:tcW w:w="938" w:type="pct"/>
            <w:tcBorders>
              <w:bottom w:val="single" w:sz="12" w:space="0" w:color="auto"/>
            </w:tcBorders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β-actin</w:t>
            </w:r>
          </w:p>
        </w:tc>
        <w:tc>
          <w:tcPr>
            <w:tcW w:w="2023" w:type="pct"/>
            <w:tcBorders>
              <w:bottom w:val="single" w:sz="12" w:space="0" w:color="auto"/>
            </w:tcBorders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ACCTCTATGCCAACACAGTG</w:t>
            </w:r>
          </w:p>
        </w:tc>
        <w:tc>
          <w:tcPr>
            <w:tcW w:w="2039" w:type="pct"/>
            <w:tcBorders>
              <w:bottom w:val="single" w:sz="12" w:space="0" w:color="auto"/>
            </w:tcBorders>
            <w:vAlign w:val="center"/>
          </w:tcPr>
          <w:p w:rsidR="000F2CF9" w:rsidRPr="000F2CF9" w:rsidRDefault="000F2CF9" w:rsidP="004F179D">
            <w:pPr>
              <w:spacing w:beforeLines="20" w:before="62"/>
              <w:ind w:firstLineChars="0" w:firstLine="0"/>
              <w:rPr>
                <w:rFonts w:eastAsiaTheme="minorEastAsia"/>
                <w:color w:val="000000" w:themeColor="text1"/>
              </w:rPr>
            </w:pPr>
            <w:r w:rsidRPr="000F2CF9">
              <w:rPr>
                <w:rFonts w:eastAsiaTheme="minorEastAsia"/>
                <w:color w:val="000000" w:themeColor="text1"/>
              </w:rPr>
              <w:t>GGACTCATCGTACTCCTGCT</w:t>
            </w:r>
          </w:p>
        </w:tc>
      </w:tr>
    </w:tbl>
    <w:p w:rsidR="000F2CF9" w:rsidRPr="000F2CF9" w:rsidRDefault="000F2CF9" w:rsidP="000F2CF9">
      <w:pPr>
        <w:spacing w:beforeLines="50" w:before="156" w:line="300" w:lineRule="exact"/>
        <w:rPr>
          <w:rFonts w:ascii="Times New Roman" w:eastAsia="Arial Unicode MS" w:hAnsi="Times New Roman" w:cs="Times New Roman"/>
          <w:sz w:val="20"/>
          <w:szCs w:val="20"/>
        </w:rPr>
      </w:pP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Na</w:t>
      </w:r>
      <w:r w:rsidRPr="000F2CF9">
        <w:rPr>
          <w:rFonts w:ascii="Times New Roman" w:eastAsia="Arial Unicode MS" w:hAnsi="Times New Roman" w:cs="Times New Roman"/>
          <w:sz w:val="20"/>
          <w:szCs w:val="20"/>
          <w:vertAlign w:val="subscript"/>
        </w:rPr>
        <w:t>V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,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v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oltage-gated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 xml:space="preserve"> s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 xml:space="preserve">odium 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c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hannel;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 xml:space="preserve"> K</w:t>
      </w:r>
      <w:r w:rsidRPr="000F2CF9">
        <w:rPr>
          <w:rFonts w:ascii="Times New Roman" w:eastAsia="Arial Unicode MS" w:hAnsi="Times New Roman" w:cs="Times New Roman"/>
          <w:sz w:val="20"/>
          <w:szCs w:val="20"/>
          <w:vertAlign w:val="subscript"/>
        </w:rPr>
        <w:t>V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 xml:space="preserve">, 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v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oltage-gated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 xml:space="preserve"> p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 xml:space="preserve">otassium 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c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hannel;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 xml:space="preserve"> 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K</w:t>
      </w:r>
      <w:r w:rsidRPr="000F2CF9">
        <w:rPr>
          <w:rFonts w:ascii="Times New Roman" w:eastAsia="Arial Unicode MS" w:hAnsi="Times New Roman" w:cs="Times New Roman"/>
          <w:sz w:val="20"/>
          <w:szCs w:val="20"/>
          <w:vertAlign w:val="subscript"/>
        </w:rPr>
        <w:t>ir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 xml:space="preserve">, 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i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 xml:space="preserve">nward rectifier potassium 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c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hannel;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 xml:space="preserve"> 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Kr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, the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 xml:space="preserve"> rapid delayed rectifier channel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; Ks, the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slow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 xml:space="preserve"> delayed rectifier channel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 xml:space="preserve">; 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KACh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, a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cetylcholine-activated inward rectifier potassium channel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 xml:space="preserve">; 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KATP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 xml:space="preserve">, 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ATP-sensitive potassium channel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;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bookmarkStart w:id="3" w:name="OLE_LINK12"/>
      <w:bookmarkStart w:id="4" w:name="OLE_LINK13"/>
      <w:r w:rsidRPr="000F2CF9">
        <w:rPr>
          <w:rFonts w:ascii="Times New Roman" w:eastAsia="Arial Unicode MS" w:hAnsi="Times New Roman" w:cs="Times New Roman"/>
          <w:sz w:val="20"/>
          <w:szCs w:val="20"/>
        </w:rPr>
        <w:t>CD36, cluster of differentiation 36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 xml:space="preserve">; 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 xml:space="preserve">CPT1B, 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c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 xml:space="preserve">arnitine palmitoylransferase-1B; FABP-pm, 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p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 xml:space="preserve">lasma membrane fatty acid-binding protein; FABP3, 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f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atty acid binding protein 3; GLUT, glucose transporter; HK2, hexokinase2; PDK4, pyruvate dehydrogenase kinase 4;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 xml:space="preserve"> 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PFKM, phosphofructokinase;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 xml:space="preserve"> 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PGC1α, peroxisome proliferator-activated receptor γ coactivator1α;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 xml:space="preserve"> 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PKM2, pyruvate kinase isozyme type M2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 xml:space="preserve">; 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H</w:t>
      </w:r>
      <w:r w:rsidRPr="000F2CF9">
        <w:rPr>
          <w:rFonts w:ascii="Times New Roman" w:eastAsia="Arial Unicode MS" w:hAnsi="Times New Roman" w:cs="Times New Roman" w:hint="eastAsia"/>
          <w:sz w:val="20"/>
          <w:szCs w:val="20"/>
        </w:rPr>
        <w:t>IF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1α, hypoxia inducible factor-1α;</w:t>
      </w:r>
      <w:r w:rsidRPr="000F2CF9">
        <w:rPr>
          <w:rFonts w:ascii="Times New Roman" w:eastAsia="宋体" w:hAnsi="Times New Roman" w:cs="Times New Roman"/>
          <w:sz w:val="20"/>
          <w:szCs w:val="20"/>
        </w:rPr>
        <w:t xml:space="preserve"> FOXO1</w:t>
      </w:r>
      <w:r w:rsidRPr="000F2CF9">
        <w:rPr>
          <w:rFonts w:ascii="Times New Roman" w:eastAsia="宋体" w:hAnsi="Times New Roman" w:cs="Times New Roman" w:hint="eastAsia"/>
          <w:sz w:val="20"/>
          <w:szCs w:val="20"/>
        </w:rPr>
        <w:t xml:space="preserve">, </w:t>
      </w:r>
      <w:r w:rsidRPr="000F2CF9">
        <w:rPr>
          <w:rFonts w:ascii="Times New Roman" w:eastAsia="宋体" w:hAnsi="Times New Roman" w:cs="Times New Roman"/>
          <w:sz w:val="20"/>
          <w:szCs w:val="20"/>
        </w:rPr>
        <w:t>forkhead box protein O1</w:t>
      </w:r>
      <w:r w:rsidRPr="000F2CF9">
        <w:rPr>
          <w:rFonts w:ascii="Times New Roman" w:eastAsia="宋体" w:hAnsi="Times New Roman" w:cs="Times New Roman" w:hint="eastAsia"/>
          <w:sz w:val="20"/>
          <w:szCs w:val="20"/>
        </w:rPr>
        <w:t xml:space="preserve">, </w:t>
      </w:r>
      <w:r w:rsidRPr="000F2CF9">
        <w:rPr>
          <w:rFonts w:ascii="Times New Roman" w:eastAsia="Arial Unicode MS" w:hAnsi="Times New Roman" w:cs="Times New Roman"/>
          <w:sz w:val="20"/>
          <w:szCs w:val="20"/>
        </w:rPr>
        <w:t>PPAR, peroxisome proliferators-activated receptors;</w:t>
      </w:r>
      <w:bookmarkEnd w:id="3"/>
      <w:bookmarkEnd w:id="4"/>
      <w:r w:rsidRPr="000F2CF9">
        <w:rPr>
          <w:rFonts w:ascii="Times New Roman" w:eastAsia="Arial Unicode MS" w:hAnsi="Times New Roman" w:cs="Times New Roman"/>
          <w:sz w:val="20"/>
          <w:szCs w:val="20"/>
        </w:rPr>
        <w:t xml:space="preserve"> ANXA1, </w:t>
      </w:r>
      <w:r w:rsidRPr="000F2CF9">
        <w:rPr>
          <w:rFonts w:ascii="Times New Roman" w:hAnsi="Times New Roman" w:cs="Times New Roman"/>
          <w:sz w:val="20"/>
          <w:szCs w:val="20"/>
        </w:rPr>
        <w:t>Annexin A1.</w:t>
      </w:r>
    </w:p>
    <w:p w:rsidR="00E077E7" w:rsidRPr="000F2CF9" w:rsidRDefault="00E077E7"/>
    <w:sectPr w:rsidR="00E077E7" w:rsidRPr="000F2C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D11" w:rsidRDefault="00DE2D11" w:rsidP="000F2CF9">
      <w:r>
        <w:separator/>
      </w:r>
    </w:p>
  </w:endnote>
  <w:endnote w:type="continuationSeparator" w:id="0">
    <w:p w:rsidR="00DE2D11" w:rsidRDefault="00DE2D11" w:rsidP="000F2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D11" w:rsidRDefault="00DE2D11" w:rsidP="000F2CF9">
      <w:r>
        <w:separator/>
      </w:r>
    </w:p>
  </w:footnote>
  <w:footnote w:type="continuationSeparator" w:id="0">
    <w:p w:rsidR="00DE2D11" w:rsidRDefault="00DE2D11" w:rsidP="000F2C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BB7"/>
    <w:rsid w:val="000F2CF9"/>
    <w:rsid w:val="002134D1"/>
    <w:rsid w:val="002710AA"/>
    <w:rsid w:val="00317D88"/>
    <w:rsid w:val="00664619"/>
    <w:rsid w:val="006878B0"/>
    <w:rsid w:val="00771E57"/>
    <w:rsid w:val="00772687"/>
    <w:rsid w:val="0097119C"/>
    <w:rsid w:val="00990596"/>
    <w:rsid w:val="00994BB7"/>
    <w:rsid w:val="009B3FE5"/>
    <w:rsid w:val="00C27E93"/>
    <w:rsid w:val="00C40B3E"/>
    <w:rsid w:val="00DE2D11"/>
    <w:rsid w:val="00E077E7"/>
    <w:rsid w:val="00F0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6550F2"/>
  <w15:chartTrackingRefBased/>
  <w15:docId w15:val="{4B7F0D23-E342-4744-87D8-6F5F7E1C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C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2C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2C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2C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2CF9"/>
    <w:rPr>
      <w:sz w:val="18"/>
      <w:szCs w:val="18"/>
    </w:rPr>
  </w:style>
  <w:style w:type="table" w:styleId="a7">
    <w:name w:val="Table Grid"/>
    <w:basedOn w:val="a1"/>
    <w:qFormat/>
    <w:rsid w:val="000F2CF9"/>
    <w:pPr>
      <w:widowControl w:val="0"/>
      <w:spacing w:line="264" w:lineRule="auto"/>
      <w:ind w:firstLineChars="200" w:firstLine="20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liupeng</dc:creator>
  <cp:keywords/>
  <dc:description/>
  <cp:lastModifiedBy>liupeng</cp:lastModifiedBy>
  <cp:revision>7</cp:revision>
  <dcterms:created xsi:type="dcterms:W3CDTF">2023-09-23T03:42:00Z</dcterms:created>
  <dcterms:modified xsi:type="dcterms:W3CDTF">2024-05-11T11:55:00Z</dcterms:modified>
</cp:coreProperties>
</file>