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D7340">
      <w:pPr>
        <w:spacing w:line="360" w:lineRule="auto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>Supplementary materials</w:t>
      </w:r>
    </w:p>
    <w:p w14:paraId="668B5FE0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6"/>
          <w:rFonts w:eastAsia="等线"/>
          <w:sz w:val="24"/>
          <w:szCs w:val="24"/>
          <w:highlight w:val="none"/>
          <w:lang w:bidi="ar"/>
        </w:rPr>
        <w:t>Table S1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Baseline characteristics of study population stratified by quartile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s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of the TyG index</w:t>
      </w:r>
    </w:p>
    <w:p w14:paraId="0BE9F782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Figure S1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 xml:space="preserve"> Sensitivity analyses of the association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>s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 xml:space="preserve"> between TyG-related indices and overall 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>cardiovascular disease, coronary heart disease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, and stroke in participants with MASLD after excluding those occurring outcomes within first 2 years</w:t>
      </w:r>
    </w:p>
    <w:p w14:paraId="29C8F59E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Figure S2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 xml:space="preserve"> Sensitivity analyses of the association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>s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 xml:space="preserve"> between TyG-related indices and all-cause and cardiovascular mortality in participants with MASLD after excluding</w:t>
      </w:r>
      <w:bookmarkStart w:id="0" w:name="_GoBack"/>
      <w:bookmarkEnd w:id="0"/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 xml:space="preserve"> those occurring outcomes within first 2 years</w:t>
      </w:r>
    </w:p>
    <w:p w14:paraId="1D837B81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S3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Sensitivity analyses of the associations between TyG-related indices and overall cardiovascular disease, coronary heart disease, and stroke in participants with MASLD after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imputing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missing data on covariates using multiple chain imputation</w:t>
      </w:r>
    </w:p>
    <w:p w14:paraId="5825B3D1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4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Sensitivity analyses of the associations between TyG-related indices and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all-cause and cardiovascular mortality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in participants with MASLD after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imputing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missing data on covariates using multiple chain imputation</w:t>
      </w:r>
    </w:p>
    <w:p w14:paraId="39703C5B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S5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Sensitivity analyses of the associations between TyG-related indices and overall cardiovascular disease, coronary heart disease, stroke, and cardiovascular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mortality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in participants with MASLD: when considering the competing risk from other cause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mortality</w:t>
      </w:r>
    </w:p>
    <w:p w14:paraId="50069D7D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S6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Sensitivity analyses of the associations between TyG-related indices and overall cardiovascular disease, coronary heart disease, stroke in participants with MASLD: only including those with diabetes at baseline (n=8,714)</w:t>
      </w:r>
    </w:p>
    <w:p w14:paraId="52AA3D9E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S7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Sensitivity analyses of the associations between TyG-related indices and all-cause death and cardiovascular death in participants with MASLD: only including those with diabetes at baseline (n=8,714)</w:t>
      </w:r>
    </w:p>
    <w:p w14:paraId="2115E766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S8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Sensitivity analyses of the associations between TyG-related indices and overall cardiovascular disease, coronary heart disease, stroke in participants with MASLD: additionally adjusting for glycated haemoglobin (HbA1c)</w:t>
      </w:r>
    </w:p>
    <w:p w14:paraId="61D30B14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S9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Sensitivity analyses of the associations between TyG-related indices and all-cause death and cardiovascular death in participants with MASLD: additionally adjusting for glycated haemoglobin (HbA1c)</w:t>
      </w:r>
    </w:p>
    <w:p w14:paraId="21C84A53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S10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Subgroup analyses by age for the associations of TyG-related indices with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study outcomes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in participants with MASLD</w:t>
      </w:r>
    </w:p>
    <w:p w14:paraId="1BD80EC6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S11 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Subgroup analyses by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 xml:space="preserve">sex 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for the associations of TyG-related indices with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study outcomes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in participants with MASLD</w:t>
      </w:r>
    </w:p>
    <w:p w14:paraId="4ABB7362">
      <w:pPr>
        <w:spacing w:line="360" w:lineRule="auto"/>
        <w:rPr>
          <w:rStyle w:val="7"/>
          <w:rFonts w:eastAsia="等线"/>
          <w:sz w:val="24"/>
          <w:szCs w:val="24"/>
          <w:highlight w:val="none"/>
          <w:lang w:bidi="ar"/>
        </w:rPr>
      </w:pP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4"/>
          <w:szCs w:val="24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4"/>
          <w:szCs w:val="24"/>
          <w:highlight w:val="none"/>
          <w:lang w:bidi="ar"/>
        </w:rPr>
        <w:t xml:space="preserve"> S12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Subgroup analyses by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 xml:space="preserve">alcohol drinking 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for the associations of TyG-related indices with </w:t>
      </w:r>
      <w:r>
        <w:rPr>
          <w:rStyle w:val="7"/>
          <w:rFonts w:hint="eastAsia" w:eastAsia="等线"/>
          <w:sz w:val="24"/>
          <w:szCs w:val="24"/>
          <w:highlight w:val="none"/>
          <w:lang w:bidi="ar"/>
        </w:rPr>
        <w:t>study outcomes</w:t>
      </w:r>
      <w:r>
        <w:rPr>
          <w:rStyle w:val="7"/>
          <w:rFonts w:eastAsia="等线"/>
          <w:sz w:val="24"/>
          <w:szCs w:val="24"/>
          <w:highlight w:val="none"/>
          <w:lang w:bidi="ar"/>
        </w:rPr>
        <w:t xml:space="preserve"> in participants with MASLD</w:t>
      </w:r>
    </w:p>
    <w:p w14:paraId="14464BF3">
      <w:pPr>
        <w:rPr>
          <w:rFonts w:ascii="Times New Roman" w:hAnsi="Times New Roman" w:cs="Times New Roman"/>
          <w:b/>
          <w:bCs/>
          <w:sz w:val="24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32"/>
          <w:highlight w:val="none"/>
        </w:rPr>
        <w:br w:type="page"/>
      </w:r>
    </w:p>
    <w:tbl>
      <w:tblPr>
        <w:tblStyle w:val="4"/>
        <w:tblW w:w="140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5"/>
        <w:gridCol w:w="2172"/>
        <w:gridCol w:w="2172"/>
        <w:gridCol w:w="2172"/>
        <w:gridCol w:w="2290"/>
        <w:gridCol w:w="980"/>
      </w:tblGrid>
      <w:tr w14:paraId="0B3B5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01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67DC587B">
            <w:pP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等线"/>
                <w:highlight w:val="none"/>
                <w:lang w:bidi="ar"/>
              </w:rPr>
              <w:t>Table S1</w:t>
            </w:r>
            <w:r>
              <w:rPr>
                <w:rStyle w:val="7"/>
                <w:rFonts w:eastAsia="等线"/>
                <w:highlight w:val="none"/>
                <w:lang w:bidi="ar"/>
              </w:rPr>
              <w:t xml:space="preserve"> Baseline characteristics of study population stratified by quartile</w:t>
            </w:r>
            <w:r>
              <w:rPr>
                <w:rStyle w:val="7"/>
                <w:rFonts w:hint="eastAsia" w:eastAsia="等线"/>
                <w:highlight w:val="none"/>
                <w:lang w:bidi="ar"/>
              </w:rPr>
              <w:t>s</w:t>
            </w:r>
            <w:r>
              <w:rPr>
                <w:rStyle w:val="7"/>
                <w:rFonts w:eastAsia="等线"/>
                <w:highlight w:val="none"/>
                <w:lang w:bidi="ar"/>
              </w:rPr>
              <w:t xml:space="preserve"> of the TyG index</w:t>
            </w:r>
          </w:p>
        </w:tc>
      </w:tr>
      <w:tr w14:paraId="45E7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DA549A3"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Characteristics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4906F7D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Baseline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TyG index</w:t>
            </w:r>
          </w:p>
        </w:tc>
        <w:tc>
          <w:tcPr>
            <w:tcW w:w="9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5DBB4F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highlight w:val="none"/>
                <w:lang w:bidi="ar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 value</w:t>
            </w:r>
          </w:p>
        </w:tc>
      </w:tr>
      <w:tr w14:paraId="3656F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EA1882E">
            <w:pPr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75F227D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Quartile 1</w:t>
            </w:r>
          </w:p>
          <w:p w14:paraId="65EE9EB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(n=24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333)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0E4AF2CD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Quartile 2</w:t>
            </w:r>
          </w:p>
          <w:p w14:paraId="6C5157A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(n=24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332)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079D39F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Quartile 3</w:t>
            </w:r>
          </w:p>
          <w:p w14:paraId="35C5F33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(n=24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333)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0610D5E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Quartile 4</w:t>
            </w:r>
          </w:p>
          <w:p w14:paraId="4EEA027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(n=24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bidi="ar"/>
              </w:rPr>
              <w:t>333)</w:t>
            </w:r>
          </w:p>
        </w:tc>
        <w:tc>
          <w:tcPr>
            <w:tcW w:w="9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26D4E06"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72653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1037B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9F56C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57.0 (50.0, 63.0)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D0187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58.0 (51.0, 63.0)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4815E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58.0 (51.0, 63.0)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C217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57.0 (50.0, 63.0)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DC6E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6864C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26A43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3556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14685 (60.4)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FE15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15886 (65.3)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5157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16417 (67.5)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C5FD1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17551 (72.1)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AC99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44997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E2015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White 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E1BC2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22056 (90.6)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FC7EE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22399 (92.1)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9C85F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22497 (92.5)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C016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22382 (92.0)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E16B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1492C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42A0E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College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6E304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7505 (30.8)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F01C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7593 (31.2)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346EB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7625 (31.3)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8FFA7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 7341 (30.2)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C4B65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0.025</w:t>
            </w:r>
          </w:p>
        </w:tc>
      </w:tr>
      <w:tr w14:paraId="6AE17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419AF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Household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A308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3AE3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F364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C2AB9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CCF1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2D83A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A2B47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Less than 18000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B27D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5450 (22.4)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5712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5322 (21.9)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1ADA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5557 (22.8)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0592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 5752 (23.6)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A0E4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58EE3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F0B3C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18000 to 51999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ED72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12798 (52.6)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11BF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12869 (52.9)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B4F1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12708 (52.2)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5F63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12876 (52.9)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3025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54D3E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06F10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Greater than 52000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8183E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6085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D9BD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6141 (25.2)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F808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6068 (24.9)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2D8E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 5705 (23.4)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87E5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1FE58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D2C20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2AC4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22652 (93.1)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71147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22889 (94.1)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EBEB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22736 (93.4)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737F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22488 (92.4)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9DAA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219C0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2920D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Townsend depr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i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vation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9C74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-2.0 (-3.5,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EBE5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-2.2 (-3.7, 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9F23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-2.2 (-3.7, 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F030D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-2.0 (-3.6, 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4CAF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2EEB0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4DCCC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276AE7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D163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AA81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EEE8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F1237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69ED0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EA135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Never 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4B2A3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12708 (52.2)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EA5F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12094 (49.7)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52D557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12060 (49.6)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F632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11511 (47.3)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C261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61042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114F7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Ever 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E120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9363 (38.5)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37AA7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9762 (40.1)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941324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9573 (39.3)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F197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9565 (39.3)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14F8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B9D8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D8F87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Current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 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8294D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2262 (9.3)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5412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2476 (10.2)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1F26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2700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E1757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3257 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2330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8F40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0DF00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Frequency of drin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kin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7E514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C278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62CA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BFA1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6A5D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1A56F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3DA3B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Never or special occasions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87F1A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4410 (18.1)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4EAD4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3955 (16.3)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5A17D7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4061 (16.7)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182E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4422 (18.2)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78BB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45073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F37BD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One to three times a moth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A1D6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2679 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61CA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2651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5392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2702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2DB5B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2788 (11.5)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A17B6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581A0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78EE5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Once or twice a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1BA4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6197 (25.5)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46D3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6270 (25.8)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EC9F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6418 (26.4)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A80E8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6185 (25.4)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1670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07A47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1D41F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Three or four times a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3AFF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5690 (23.4)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8320C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5955 (24.5)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8E328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5850 (24.0)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5988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5630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81B1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222B1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4B899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Daily or almost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AA06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5357 (22.0)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8223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5501 (22.6)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5D53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5302 (21.8)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92CB7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5308 (21.8)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95996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83B4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6BC34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Physical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F0C0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0C588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AD2EE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ED111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44EA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0.640</w:t>
            </w:r>
          </w:p>
        </w:tc>
      </w:tr>
      <w:tr w14:paraId="0983F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8B2BC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&lt;150 min/week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D81D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5362 (22.0)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A905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5289 (21.7)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F0EE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5368 (22.1)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C66F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5405 (22.2)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7466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5C38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9A024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 150 min/week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15AF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18971 (78.0)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AD5E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19043 (78.3)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1CA62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18965 (77.9)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0137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18928 (77.8)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6C30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654B1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F7502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Sleeping duration per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78AEC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52AE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CE03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2DCF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34165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3A65D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A9471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7-8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D5B4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15884 (65.3)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F3EE1D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16383 (67.3)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2AC4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16305 (67.0)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7B5D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16021 (65.8)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7229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AAC1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D0421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&lt;7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C456E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6714 (27.6)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46D1E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6208 (25.5)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0748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6124 (25.2)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3031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6229 (25.6)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A24A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48F25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AF66E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&gt;8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ACA26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1735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FAF2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1741 (7.2)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4F1B3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1904 (7.8)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3379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2083 (8.6)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076674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2D4B9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53A72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ealth diet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00C44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  <w:t>3.15 (1.32)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3794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  <w:t>3.11 (1.34)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053E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  <w:t>3.07 (1.35)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FF78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  <w:t>2.99 (1.37)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890E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64785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A036F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27A1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19800 (81.4)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18F4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20280 (83.3)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1897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20431 (84.0)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53F7A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20887 (85.8)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0451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285E1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8B402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Type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E9B5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1294 (5.3)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8A917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1370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AED1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1809 (7.4)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66CFB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4241 (17.4)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3C88E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6FC33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7C5E9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Family history of cardi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metabolic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0593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18950 (77.9)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7C014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18836 (77.4)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48E5C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18938 (77.8)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3712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19051 (78.3)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90D6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0.139</w:t>
            </w:r>
          </w:p>
        </w:tc>
      </w:tr>
      <w:tr w14:paraId="0AF1A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D023D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Tyg-BMI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4BA1B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265.9 (247.6, 290.1)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88F01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270.5 (252.4, 294.9)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F2B5A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276.0 (257.0, 300.7)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EC76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289.7 (267.5, 319.2)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3AA1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5071B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5125E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TyG-WC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EA73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866.6 (825.9, 914.7)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2E28B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897.1 (852.7, 950.1)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9D36D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920.1 (872.9, 979.6)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0C9C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972.6 (912.5, 1047.5)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98E37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7A5F8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7F985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TyG-WHtR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C42C7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5.1 (4.8, 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0A8F8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5.2 (5.0,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01F14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5.4 (5.1, 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52C9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5.7 (5.3, 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C6D0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1B96A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301E1"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Occurrence of study outcomes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BF2A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7AE74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C792D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16F7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D0F75">
            <w:pP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65FD1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A1D0A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Overall CVD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8F0E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2994 (12.3)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E64C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3144 (12.9)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CC2C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3312 (13.6)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8B3F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3806 (15.6)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BFD3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62BC9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47F24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CHD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CE5050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2431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BC46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2603 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BB915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2750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81DB1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3196 (13.1)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77D894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7C940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CC460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68C5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718 (3.0)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39E6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695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1C93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718 (3.0)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6101FF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795 (3.3)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66456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0.045</w:t>
            </w:r>
          </w:p>
        </w:tc>
      </w:tr>
      <w:tr w14:paraId="728F4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B1D00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All-cause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D4765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2240 (9.2)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C0228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2088 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B6E42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2118 (8.7)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19684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2363 (9.7)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383D29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&lt;0.001</w:t>
            </w:r>
          </w:p>
        </w:tc>
      </w:tr>
      <w:tr w14:paraId="542D8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7EA5878C">
            <w:pPr>
              <w:widowControl/>
              <w:ind w:firstLine="440" w:firstLineChars="200"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Cardiovascular mortality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</w:tcPr>
          <w:p w14:paraId="2F4E01D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460 (1.9)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</w:tcPr>
          <w:p w14:paraId="5EAA6CCD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432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</w:tcPr>
          <w:p w14:paraId="4B1CD56E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410 (1.7)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</w:tcPr>
          <w:p w14:paraId="2C34B873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494 (2.0)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</w:tcPr>
          <w:p w14:paraId="7D94E54C"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highlight w:val="none"/>
                <w:lang w:bidi="ar"/>
              </w:rPr>
              <w:t>0.030</w:t>
            </w:r>
          </w:p>
        </w:tc>
      </w:tr>
    </w:tbl>
    <w:p w14:paraId="718ADA23">
      <w:pPr>
        <w:rPr>
          <w:rFonts w:ascii="Times New Roman" w:hAnsi="Times New Roman" w:cs="Times New Roman"/>
          <w:sz w:val="24"/>
          <w:szCs w:val="32"/>
          <w:highlight w:val="none"/>
        </w:rPr>
      </w:pPr>
      <w:r>
        <w:rPr>
          <w:rFonts w:hint="eastAsia" w:ascii="Times New Roman" w:hAnsi="Times New Roman" w:cs="Times New Roman"/>
          <w:sz w:val="24"/>
          <w:szCs w:val="32"/>
          <w:highlight w:val="none"/>
        </w:rPr>
        <w:t xml:space="preserve">Data are expressed as median (interquartile range) for </w:t>
      </w:r>
      <w:r>
        <w:rPr>
          <w:rFonts w:ascii="Times New Roman" w:hAnsi="Times New Roman" w:cs="Times New Roman"/>
          <w:sz w:val="24"/>
          <w:szCs w:val="32"/>
          <w:highlight w:val="none"/>
        </w:rPr>
        <w:t xml:space="preserve">non-normally distributed </w:t>
      </w:r>
      <w:r>
        <w:rPr>
          <w:rFonts w:hint="eastAsia" w:ascii="Times New Roman" w:hAnsi="Times New Roman" w:cs="Times New Roman"/>
          <w:sz w:val="24"/>
          <w:szCs w:val="32"/>
          <w:highlight w:val="none"/>
        </w:rPr>
        <w:t>continue variable</w:t>
      </w:r>
      <w:r>
        <w:rPr>
          <w:rFonts w:ascii="Times New Roman" w:hAnsi="Times New Roman" w:cs="Times New Roman"/>
          <w:sz w:val="24"/>
          <w:szCs w:val="32"/>
          <w:highlight w:val="none"/>
        </w:rPr>
        <w:t>s, mean (standard deviation) for continue variables with normal distribution,</w:t>
      </w:r>
      <w:r>
        <w:rPr>
          <w:rFonts w:hint="eastAsia" w:ascii="Times New Roman" w:hAnsi="Times New Roman" w:cs="Times New Roman"/>
          <w:sz w:val="24"/>
          <w:szCs w:val="32"/>
          <w:highlight w:val="none"/>
        </w:rPr>
        <w:t xml:space="preserve"> and n (%) for categorical variables.</w:t>
      </w:r>
    </w:p>
    <w:p w14:paraId="76DF690C">
      <w:pPr>
        <w:rPr>
          <w:rFonts w:ascii="Times New Roman" w:hAnsi="Times New Roman" w:cs="Times New Roman"/>
          <w:sz w:val="24"/>
          <w:szCs w:val="32"/>
          <w:highlight w:val="none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4"/>
          <w:highlight w:val="none"/>
        </w:rPr>
        <w:t>Abbreviation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: 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>TyG, triglyceride-glucose; TyG-BMI, triglyceride glucose-body mass index; TyG-WC, triglyceride glucose-waist circumference; TyG-WHtR, triglyceride glucose-waist height ratio; CVD, cardiovascular disease; CHD, coronary heart disease.</w:t>
      </w:r>
    </w:p>
    <w:p w14:paraId="73CDE6C5">
      <w:pPr>
        <w:rPr>
          <w:rFonts w:ascii="Times New Roman" w:hAnsi="Times New Roman" w:cs="Times New Roman"/>
          <w:b/>
          <w:bCs/>
          <w:sz w:val="24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32"/>
          <w:highlight w:val="none"/>
        </w:rPr>
        <w:br w:type="page"/>
      </w:r>
    </w:p>
    <w:p w14:paraId="3D1B05AF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b/>
          <w:bCs/>
          <w:color w:val="000000"/>
          <w:sz w:val="20"/>
          <w:szCs w:val="20"/>
          <w:highlight w:val="none"/>
          <w:lang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0</wp:posOffset>
            </wp:positionV>
            <wp:extent cx="7350125" cy="4248150"/>
            <wp:effectExtent l="0" t="0" r="3175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rcRect t="9457" b="8844"/>
                    <a:stretch>
                      <a:fillRect/>
                    </a:stretch>
                  </pic:blipFill>
                  <pic:spPr>
                    <a:xfrm>
                      <a:off x="0" y="0"/>
                      <a:ext cx="7350125" cy="4248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Figure S1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 xml:space="preserve"> Sensitivity analyses of the association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>s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 xml:space="preserve"> between TyG-related indices and overall 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>cardiovascular disease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,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coronary heart disease,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 xml:space="preserve"> and stroke in participants with MASLD after excluding those occurring outcomes within first 2 years</w:t>
      </w:r>
    </w:p>
    <w:p w14:paraId="6AF79FF9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metabolic diseases.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br w:type="page"/>
      </w:r>
    </w:p>
    <w:p w14:paraId="38C10A38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Style w:val="7"/>
          <w:rFonts w:eastAsia="等线"/>
          <w:sz w:val="20"/>
          <w:szCs w:val="20"/>
          <w:highlight w:val="none"/>
          <w:lang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702310</wp:posOffset>
            </wp:positionH>
            <wp:positionV relativeFrom="paragraph">
              <wp:posOffset>75565</wp:posOffset>
            </wp:positionV>
            <wp:extent cx="7448550" cy="421386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10015" b="10015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Figure S2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 xml:space="preserve"> Sensitivity analyses of the association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>s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 xml:space="preserve"> between TyG-related indices and all-cause and cardiovascular mortality in participants with MASLD after excluding those occurring outcomes within first 2 years</w:t>
      </w:r>
    </w:p>
    <w:p w14:paraId="60B1DC6F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br w:type="page"/>
      </w:r>
    </w:p>
    <w:p w14:paraId="22628337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  <w:highlight w:val="none"/>
          <w:lang w:bidi="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532765</wp:posOffset>
            </wp:positionH>
            <wp:positionV relativeFrom="paragraph">
              <wp:posOffset>-146685</wp:posOffset>
            </wp:positionV>
            <wp:extent cx="7787640" cy="4396105"/>
            <wp:effectExtent l="0" t="0" r="3810" b="44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t="10274" b="9937"/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43961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S3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Sensitivity analyses of the associations between TyG-related indices and overall cardiovascular disease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,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coronary heart disease, and stroke in participants with MASLD after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imputing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missing data on covariates using multiple chain imputation</w:t>
      </w:r>
    </w:p>
    <w:p w14:paraId="06A0AA62">
      <w:pPr>
        <w:rPr>
          <w:rStyle w:val="7"/>
          <w:rFonts w:eastAsia="等线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smoking status, alcohol drinking, sleep duration, physical activity,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eastAsia="等线"/>
          <w:highlight w:val="none"/>
          <w:lang w:bidi="ar"/>
        </w:rPr>
        <w:br w:type="page"/>
      </w:r>
    </w:p>
    <w:p w14:paraId="5CB52D9E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  <w:highlight w:val="none"/>
          <w:lang w:bidi="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-211455</wp:posOffset>
            </wp:positionV>
            <wp:extent cx="8032115" cy="4442460"/>
            <wp:effectExtent l="0" t="0" r="698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t="10917" b="10904"/>
                    <a:stretch>
                      <a:fillRect/>
                    </a:stretch>
                  </pic:blipFill>
                  <pic:spPr>
                    <a:xfrm>
                      <a:off x="0" y="0"/>
                      <a:ext cx="8032115" cy="4442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4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Sensitivity analyses of the associations between TyG-related indices and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all-cause and cardiovascular mortality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in participants with MASLD after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imputing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missing data on covariates using multiple chain imputation</w:t>
      </w:r>
    </w:p>
    <w:p w14:paraId="2DA3F332">
      <w:pPr>
        <w:rPr>
          <w:rStyle w:val="7"/>
          <w:rFonts w:eastAsia="等线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eastAsia="等线"/>
          <w:highlight w:val="none"/>
          <w:lang w:bidi="ar"/>
        </w:rPr>
        <w:br w:type="page"/>
      </w:r>
    </w:p>
    <w:p w14:paraId="05B5951E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  <w:highlight w:val="none"/>
          <w:lang w:bidi="a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0</wp:posOffset>
            </wp:positionV>
            <wp:extent cx="7381240" cy="4220210"/>
            <wp:effectExtent l="0" t="0" r="0" b="889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t="8978" b="10213"/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42202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S5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Sensitivity analyses of the associations between TyG-related indices and overall cardiovascular disease, coronary heart disease, stroke, and cardiovascular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mortality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in participants with MASLD: when considering the competing risk from other cause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mortality</w:t>
      </w:r>
    </w:p>
    <w:p w14:paraId="22264C1C">
      <w:pPr>
        <w:rPr>
          <w:rStyle w:val="7"/>
          <w:rFonts w:eastAsia="等线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hint="eastAsia" w:eastAsia="等线"/>
          <w:highlight w:val="none"/>
          <w:lang w:bidi="ar"/>
        </w:rPr>
        <w:br w:type="page"/>
      </w:r>
    </w:p>
    <w:p w14:paraId="45A869FB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  <w:highlight w:val="none"/>
          <w:lang w:bidi="a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685165</wp:posOffset>
            </wp:positionH>
            <wp:positionV relativeFrom="paragraph">
              <wp:posOffset>0</wp:posOffset>
            </wp:positionV>
            <wp:extent cx="7482840" cy="4267200"/>
            <wp:effectExtent l="0" t="0" r="381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rcRect t="9494" b="9905"/>
                    <a:stretch>
                      <a:fillRect/>
                    </a:stretch>
                  </pic:blipFill>
                  <pic:spPr>
                    <a:xfrm>
                      <a:off x="0" y="0"/>
                      <a:ext cx="7482840" cy="426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S6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Sensitivity analyses of the associations between TyG-related indices and overall cardiovascular disease, coronary heart disease, stroke in participants with MASLD: only including those with diabetes at baseline (n=8,714)</w:t>
      </w:r>
    </w:p>
    <w:p w14:paraId="5CBF9363">
      <w:pPr>
        <w:widowControl/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</w:p>
    <w:p w14:paraId="4A11B29A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  <w:highlight w:val="none"/>
          <w:lang w:bidi="a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-635</wp:posOffset>
            </wp:positionV>
            <wp:extent cx="7319010" cy="4249420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rcRect t="10004" r="2503" b="9980"/>
                    <a:stretch>
                      <a:fillRect/>
                    </a:stretch>
                  </pic:blipFill>
                  <pic:spPr>
                    <a:xfrm>
                      <a:off x="0" y="0"/>
                      <a:ext cx="7319010" cy="42494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S7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Sensitivity analyses of the associations between TyG-related indices and all-cause death and cardiovascular death in participants with MASLD: only including those with diabetes at baseline (n=8,714)</w:t>
      </w:r>
    </w:p>
    <w:p w14:paraId="7FEEE574">
      <w:pPr>
        <w:widowControl/>
        <w:rPr>
          <w:rStyle w:val="7"/>
          <w:rFonts w:eastAsia="等线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eastAsia="等线"/>
          <w:highlight w:val="none"/>
          <w:lang w:bidi="ar"/>
        </w:rPr>
        <w:br w:type="page"/>
      </w:r>
    </w:p>
    <w:p w14:paraId="04E86442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  <w:highlight w:val="none"/>
          <w:lang w:bidi="a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808355</wp:posOffset>
            </wp:positionH>
            <wp:positionV relativeFrom="paragraph">
              <wp:posOffset>0</wp:posOffset>
            </wp:positionV>
            <wp:extent cx="7239000" cy="4029710"/>
            <wp:effectExtent l="0" t="0" r="0" b="889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rcRect t="10891" b="1042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0297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S8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Sensitivity analyses of the associations between TyG-related indices and overall cardiovascular disease, coronary heart disease, stroke in participants with MASLD: additionally adjusting for glycated haemoglobin (HbA1c)</w:t>
      </w:r>
    </w:p>
    <w:p w14:paraId="667F0F0E">
      <w:pPr>
        <w:widowControl/>
        <w:rPr>
          <w:rStyle w:val="7"/>
          <w:rFonts w:eastAsia="等线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diseases, and 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>glycated haemoglobin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.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eastAsia="等线"/>
          <w:highlight w:val="none"/>
          <w:lang w:bidi="ar"/>
        </w:rPr>
        <w:br w:type="page"/>
      </w:r>
    </w:p>
    <w:p w14:paraId="34CB7576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Fonts w:ascii="Times New Roman" w:hAnsi="Times New Roman" w:eastAsia="等线" w:cs="Times New Roman"/>
          <w:b/>
          <w:bCs/>
          <w:color w:val="000000"/>
          <w:sz w:val="20"/>
          <w:szCs w:val="20"/>
          <w:highlight w:val="none"/>
          <w:lang w:bidi="a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808355</wp:posOffset>
            </wp:positionH>
            <wp:positionV relativeFrom="paragraph">
              <wp:posOffset>-635</wp:posOffset>
            </wp:positionV>
            <wp:extent cx="7245350" cy="4055745"/>
            <wp:effectExtent l="0" t="0" r="0" b="1905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rcRect t="9890" b="10978"/>
                    <a:stretch>
                      <a:fillRect/>
                    </a:stretch>
                  </pic:blipFill>
                  <pic:spPr>
                    <a:xfrm>
                      <a:off x="0" y="0"/>
                      <a:ext cx="7245350" cy="40557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S9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Sensitivity analyses of the associations between TyG-related indices and all-cause death and cardiovascular death in participants with MASLD: additionally adjusting for glycated haemoglobin (HbA1c)</w:t>
      </w:r>
    </w:p>
    <w:p w14:paraId="15AA70B3">
      <w:pPr>
        <w:widowControl/>
        <w:rPr>
          <w:rStyle w:val="7"/>
          <w:rFonts w:eastAsia="等线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diseases, and 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>glycated haemoglobin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.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eastAsia="等线"/>
          <w:highlight w:val="none"/>
          <w:lang w:bidi="ar"/>
        </w:rPr>
        <w:br w:type="page"/>
      </w:r>
    </w:p>
    <w:p w14:paraId="32428818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0</wp:posOffset>
            </wp:positionV>
            <wp:extent cx="9400540" cy="386842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rcRect t="20918" b="20918"/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S10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Subgroup analyses by age for the associations of TyG-related indices with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study outcomes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in participants with MASLD</w:t>
      </w:r>
    </w:p>
    <w:p w14:paraId="3D6BC3DB">
      <w:pPr>
        <w:rPr>
          <w:rStyle w:val="7"/>
          <w:rFonts w:eastAsia="等线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Data were presented as the hazard ratios for the association between per 1-standard deviation increment in TyG-related indices and risk of outcomes.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eastAsia="等线"/>
          <w:highlight w:val="none"/>
          <w:lang w:bidi="ar"/>
        </w:rPr>
        <w:br w:type="page"/>
      </w:r>
    </w:p>
    <w:p w14:paraId="6A4578CE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Style w:val="7"/>
          <w:rFonts w:eastAsia="等线"/>
          <w:sz w:val="20"/>
          <w:szCs w:val="20"/>
          <w:highlight w:val="none"/>
          <w:lang w:bidi="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-635</wp:posOffset>
            </wp:positionV>
            <wp:extent cx="9243060" cy="3879215"/>
            <wp:effectExtent l="0" t="0" r="0" b="698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rcRect t="20340" b="20340"/>
                    <a:stretch>
                      <a:fillRect/>
                    </a:stretch>
                  </pic:blipFill>
                  <pic:spPr>
                    <a:xfrm>
                      <a:off x="0" y="0"/>
                      <a:ext cx="924306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S11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Subgroup analyses by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 xml:space="preserve">sex 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for the associations of TyG-related indices with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study outcomes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in participants with MASLD</w:t>
      </w:r>
    </w:p>
    <w:p w14:paraId="3C924AF5">
      <w:pPr>
        <w:rPr>
          <w:rStyle w:val="7"/>
          <w:rFonts w:eastAsia="等线"/>
          <w:highlight w:val="none"/>
          <w:lang w:bidi="ar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Data were presented as the hazard ratios for the association between per 1-standard deviation increment in TyG-related indices and risk of outcomes.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  <w:r>
        <w:rPr>
          <w:rStyle w:val="7"/>
          <w:rFonts w:eastAsia="等线"/>
          <w:highlight w:val="none"/>
          <w:lang w:bidi="ar"/>
        </w:rPr>
        <w:br w:type="page"/>
      </w:r>
    </w:p>
    <w:p w14:paraId="53525DA3">
      <w:pPr>
        <w:rPr>
          <w:rStyle w:val="7"/>
          <w:rFonts w:eastAsia="等线"/>
          <w:sz w:val="20"/>
          <w:szCs w:val="20"/>
          <w:highlight w:val="none"/>
          <w:lang w:bidi="ar"/>
        </w:rPr>
      </w:pPr>
      <w:r>
        <w:rPr>
          <w:rStyle w:val="7"/>
          <w:rFonts w:eastAsia="等线"/>
          <w:sz w:val="20"/>
          <w:szCs w:val="20"/>
          <w:highlight w:val="none"/>
          <w:lang w:bidi="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0</wp:posOffset>
            </wp:positionV>
            <wp:extent cx="9551670" cy="3815715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rcRect t="21767" b="21767"/>
                    <a:stretch>
                      <a:fillRect/>
                    </a:stretch>
                  </pic:blipFill>
                  <pic:spPr>
                    <a:xfrm>
                      <a:off x="0" y="0"/>
                      <a:ext cx="9551670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>Fig</w:t>
      </w:r>
      <w:r>
        <w:rPr>
          <w:rStyle w:val="7"/>
          <w:rFonts w:hint="eastAsia" w:eastAsia="等线"/>
          <w:b/>
          <w:bCs/>
          <w:sz w:val="20"/>
          <w:szCs w:val="20"/>
          <w:highlight w:val="none"/>
          <w:lang w:bidi="ar"/>
        </w:rPr>
        <w:t>ure</w:t>
      </w:r>
      <w:r>
        <w:rPr>
          <w:rStyle w:val="7"/>
          <w:rFonts w:eastAsia="等线"/>
          <w:b/>
          <w:bCs/>
          <w:sz w:val="20"/>
          <w:szCs w:val="20"/>
          <w:highlight w:val="none"/>
          <w:lang w:bidi="ar"/>
        </w:rPr>
        <w:t xml:space="preserve"> S12 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Subgroup analyses by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 xml:space="preserve">alcohol drinking 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for the associations of TyG-related indices with </w:t>
      </w:r>
      <w:r>
        <w:rPr>
          <w:rStyle w:val="7"/>
          <w:rFonts w:hint="eastAsia" w:eastAsia="等线"/>
          <w:sz w:val="20"/>
          <w:szCs w:val="20"/>
          <w:highlight w:val="none"/>
          <w:lang w:bidi="ar"/>
        </w:rPr>
        <w:t>study outcomes</w:t>
      </w:r>
      <w:r>
        <w:rPr>
          <w:rStyle w:val="7"/>
          <w:rFonts w:eastAsia="等线"/>
          <w:sz w:val="20"/>
          <w:szCs w:val="20"/>
          <w:highlight w:val="none"/>
          <w:lang w:bidi="ar"/>
        </w:rPr>
        <w:t xml:space="preserve"> in participants with MASLD</w:t>
      </w:r>
    </w:p>
    <w:p w14:paraId="19DF1EBE">
      <w:pPr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Note: Data were presented as the hazard ratios for the association between per 1-standard deviation increment in TyG-related indices and risk of outcomes. The no drinking group was defined as drinking only special occasions or drinking one to three times a month, and the drinking group was defined as drinking once a week or more. 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Models were adjusted for age, sex, ethnicity, employed status,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Townsend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 deprivation index, family income, education, smoking status, alcohol drinking, sleep duration, physical activity, diet, and family history of cardi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o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 xml:space="preserve">metabolic diseases. MASLD: metabolic-associated steatotic liver disease;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highlight w:val="none"/>
        </w:rPr>
        <w:t>CVD: cardiovascular disease; CHD: coronary heart disease; TyG: triglyceride glucose index; BMI: body mass index; WC waist circumference; WHtR waist-to-height ratio; HR: hazard ratio; CI: confidence interval.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NmMzMDlmYTJkZGEwNDBlOWM2ZmVlMzc0MWQ5NzUifQ=="/>
  </w:docVars>
  <w:rsids>
    <w:rsidRoot w:val="0ABB1C5F"/>
    <w:rsid w:val="00014482"/>
    <w:rsid w:val="0006437A"/>
    <w:rsid w:val="000766F2"/>
    <w:rsid w:val="000917AC"/>
    <w:rsid w:val="000B289D"/>
    <w:rsid w:val="000B490E"/>
    <w:rsid w:val="000D0EF5"/>
    <w:rsid w:val="000D404C"/>
    <w:rsid w:val="000F0EE7"/>
    <w:rsid w:val="000F32B1"/>
    <w:rsid w:val="001228E4"/>
    <w:rsid w:val="001550A9"/>
    <w:rsid w:val="001663EE"/>
    <w:rsid w:val="00191229"/>
    <w:rsid w:val="001D268D"/>
    <w:rsid w:val="001D5DE4"/>
    <w:rsid w:val="002228F3"/>
    <w:rsid w:val="00273343"/>
    <w:rsid w:val="00274207"/>
    <w:rsid w:val="00274D08"/>
    <w:rsid w:val="002C7F1E"/>
    <w:rsid w:val="002D6CC0"/>
    <w:rsid w:val="003319A8"/>
    <w:rsid w:val="003B1736"/>
    <w:rsid w:val="003F6C70"/>
    <w:rsid w:val="00441858"/>
    <w:rsid w:val="00442E85"/>
    <w:rsid w:val="004766C3"/>
    <w:rsid w:val="004D3D6F"/>
    <w:rsid w:val="005031C0"/>
    <w:rsid w:val="005523F0"/>
    <w:rsid w:val="00553723"/>
    <w:rsid w:val="005575F4"/>
    <w:rsid w:val="00572A2D"/>
    <w:rsid w:val="005772B1"/>
    <w:rsid w:val="005916AD"/>
    <w:rsid w:val="005A12A1"/>
    <w:rsid w:val="005C2110"/>
    <w:rsid w:val="005C58E4"/>
    <w:rsid w:val="005C6434"/>
    <w:rsid w:val="005D03F2"/>
    <w:rsid w:val="005E18E3"/>
    <w:rsid w:val="00602D79"/>
    <w:rsid w:val="0062227D"/>
    <w:rsid w:val="00623219"/>
    <w:rsid w:val="00625C45"/>
    <w:rsid w:val="00683A7D"/>
    <w:rsid w:val="006852A4"/>
    <w:rsid w:val="006B0FB7"/>
    <w:rsid w:val="006B2500"/>
    <w:rsid w:val="006B58ED"/>
    <w:rsid w:val="006D4891"/>
    <w:rsid w:val="006D66BE"/>
    <w:rsid w:val="006F1A66"/>
    <w:rsid w:val="007017F6"/>
    <w:rsid w:val="007053E8"/>
    <w:rsid w:val="007056D2"/>
    <w:rsid w:val="00707EB9"/>
    <w:rsid w:val="00720A9E"/>
    <w:rsid w:val="0079036B"/>
    <w:rsid w:val="00790FDF"/>
    <w:rsid w:val="00796615"/>
    <w:rsid w:val="007A7D6B"/>
    <w:rsid w:val="007F2B47"/>
    <w:rsid w:val="007F5861"/>
    <w:rsid w:val="008075A7"/>
    <w:rsid w:val="008168BE"/>
    <w:rsid w:val="008460FE"/>
    <w:rsid w:val="00872DA4"/>
    <w:rsid w:val="00875B07"/>
    <w:rsid w:val="008772FB"/>
    <w:rsid w:val="008D0033"/>
    <w:rsid w:val="008E06CE"/>
    <w:rsid w:val="008F181F"/>
    <w:rsid w:val="009B5EE1"/>
    <w:rsid w:val="009C1C20"/>
    <w:rsid w:val="009C6C81"/>
    <w:rsid w:val="009D348F"/>
    <w:rsid w:val="009F619B"/>
    <w:rsid w:val="00A115D5"/>
    <w:rsid w:val="00A17B7C"/>
    <w:rsid w:val="00A346FD"/>
    <w:rsid w:val="00A57382"/>
    <w:rsid w:val="00AA15D5"/>
    <w:rsid w:val="00AC512D"/>
    <w:rsid w:val="00AC7FE9"/>
    <w:rsid w:val="00AD1E2B"/>
    <w:rsid w:val="00AE3D33"/>
    <w:rsid w:val="00B11C72"/>
    <w:rsid w:val="00B26D45"/>
    <w:rsid w:val="00B334C1"/>
    <w:rsid w:val="00B43966"/>
    <w:rsid w:val="00B65308"/>
    <w:rsid w:val="00B70E4D"/>
    <w:rsid w:val="00B844BE"/>
    <w:rsid w:val="00BA0CEF"/>
    <w:rsid w:val="00BD55F7"/>
    <w:rsid w:val="00BD6ADB"/>
    <w:rsid w:val="00C01331"/>
    <w:rsid w:val="00C06F21"/>
    <w:rsid w:val="00C421BD"/>
    <w:rsid w:val="00C666C8"/>
    <w:rsid w:val="00C6697F"/>
    <w:rsid w:val="00CA17EA"/>
    <w:rsid w:val="00CB1890"/>
    <w:rsid w:val="00CD5B50"/>
    <w:rsid w:val="00CE4E86"/>
    <w:rsid w:val="00D30C9C"/>
    <w:rsid w:val="00D522B0"/>
    <w:rsid w:val="00D67420"/>
    <w:rsid w:val="00D868DA"/>
    <w:rsid w:val="00D95464"/>
    <w:rsid w:val="00DA5BC0"/>
    <w:rsid w:val="00DB37AC"/>
    <w:rsid w:val="00DE54EB"/>
    <w:rsid w:val="00DE6C62"/>
    <w:rsid w:val="00E06DA5"/>
    <w:rsid w:val="00E2074A"/>
    <w:rsid w:val="00E30D6C"/>
    <w:rsid w:val="00E37EC3"/>
    <w:rsid w:val="00E463A6"/>
    <w:rsid w:val="00EB7D73"/>
    <w:rsid w:val="00EC3F3D"/>
    <w:rsid w:val="00F127DC"/>
    <w:rsid w:val="00F2023C"/>
    <w:rsid w:val="00F47A61"/>
    <w:rsid w:val="00F62317"/>
    <w:rsid w:val="00F94473"/>
    <w:rsid w:val="00FC5B5F"/>
    <w:rsid w:val="00FE3D1C"/>
    <w:rsid w:val="024B0F03"/>
    <w:rsid w:val="024F36AF"/>
    <w:rsid w:val="05891259"/>
    <w:rsid w:val="05B62946"/>
    <w:rsid w:val="072656DF"/>
    <w:rsid w:val="07BB058C"/>
    <w:rsid w:val="0ABB1C5F"/>
    <w:rsid w:val="0D71793F"/>
    <w:rsid w:val="0E7F34BF"/>
    <w:rsid w:val="0E9E442B"/>
    <w:rsid w:val="10E943BC"/>
    <w:rsid w:val="10F66AD9"/>
    <w:rsid w:val="113E3FDC"/>
    <w:rsid w:val="158D6F6A"/>
    <w:rsid w:val="183028D1"/>
    <w:rsid w:val="183A72AB"/>
    <w:rsid w:val="1C085913"/>
    <w:rsid w:val="1E123BCF"/>
    <w:rsid w:val="1E311D62"/>
    <w:rsid w:val="1E4C7E68"/>
    <w:rsid w:val="22ED6B5D"/>
    <w:rsid w:val="22F5590A"/>
    <w:rsid w:val="289D45DC"/>
    <w:rsid w:val="2C923702"/>
    <w:rsid w:val="3139239E"/>
    <w:rsid w:val="3433444C"/>
    <w:rsid w:val="355E0625"/>
    <w:rsid w:val="38E46214"/>
    <w:rsid w:val="392F6D7A"/>
    <w:rsid w:val="3E0F6C00"/>
    <w:rsid w:val="3F32590D"/>
    <w:rsid w:val="3F663C97"/>
    <w:rsid w:val="41D81760"/>
    <w:rsid w:val="4482421C"/>
    <w:rsid w:val="491E4E6A"/>
    <w:rsid w:val="4AA23939"/>
    <w:rsid w:val="4C557A56"/>
    <w:rsid w:val="4F5510C5"/>
    <w:rsid w:val="54682CE5"/>
    <w:rsid w:val="55440A10"/>
    <w:rsid w:val="58B71C77"/>
    <w:rsid w:val="5B6800C7"/>
    <w:rsid w:val="5BF846A1"/>
    <w:rsid w:val="5C043425"/>
    <w:rsid w:val="5D5F468B"/>
    <w:rsid w:val="5F1F2324"/>
    <w:rsid w:val="61587D6F"/>
    <w:rsid w:val="6B473025"/>
    <w:rsid w:val="6ED50C51"/>
    <w:rsid w:val="70DF36C1"/>
    <w:rsid w:val="7114211D"/>
    <w:rsid w:val="73522870"/>
    <w:rsid w:val="75303751"/>
    <w:rsid w:val="7B5B0730"/>
    <w:rsid w:val="7B851426"/>
    <w:rsid w:val="7EA3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7">
    <w:name w:val="font11"/>
    <w:basedOn w:val="5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2027</Words>
  <Characters>13045</Characters>
  <Lines>107</Lines>
  <Paragraphs>30</Paragraphs>
  <TotalTime>44</TotalTime>
  <ScaleCrop>false</ScaleCrop>
  <LinksUpToDate>false</LinksUpToDate>
  <CharactersWithSpaces>14833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2024-10-15T13:32:00Z</dcterms:created>
  <dc:creator>乔亚南</dc:creator>
  <cp:lastModifiedBy>乔亚南</cp:lastModifiedBy>
  <dcterms:modified xsi:type="dcterms:W3CDTF">2024-12-29T12:35:13Z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94842F4CFFFF4C34A09459B2BD112FEB_13</vt:lpwstr>
  </property>
</Properties>
</file>