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954" w:rsidRPr="00B53E22" w:rsidRDefault="00FE02B3" w:rsidP="00222954">
      <w:pPr>
        <w:spacing w:after="0" w:line="240" w:lineRule="auto"/>
        <w:jc w:val="both"/>
        <w:rPr>
          <w:szCs w:val="18"/>
          <w:lang w:val="en-US"/>
        </w:rPr>
      </w:pPr>
      <w:r>
        <w:rPr>
          <w:b/>
          <w:szCs w:val="18"/>
          <w:lang w:val="en-US"/>
        </w:rPr>
        <w:t xml:space="preserve">Supplementary </w:t>
      </w:r>
      <w:r w:rsidR="00222954" w:rsidRPr="00B53E22">
        <w:rPr>
          <w:b/>
          <w:szCs w:val="18"/>
          <w:lang w:val="en-US"/>
        </w:rPr>
        <w:t xml:space="preserve">Table 1. </w:t>
      </w:r>
      <w:r w:rsidR="00222954" w:rsidRPr="00B53E22">
        <w:rPr>
          <w:szCs w:val="18"/>
          <w:lang w:val="en-US"/>
        </w:rPr>
        <w:t>Characteristics of patients with Cushing’s syndrome (either overt or in Long-Term Remission) and healthy subjects without or with metabolic syndrome.</w:t>
      </w:r>
    </w:p>
    <w:tbl>
      <w:tblPr>
        <w:tblStyle w:val="Listentabelle1hellAkzent1"/>
        <w:tblpPr w:leftFromText="141" w:rightFromText="141" w:vertAnchor="text" w:horzAnchor="margin" w:tblpY="65"/>
        <w:tblW w:w="13826" w:type="dxa"/>
        <w:tblLook w:val="04A0" w:firstRow="1" w:lastRow="0" w:firstColumn="1" w:lastColumn="0" w:noHBand="0" w:noVBand="1"/>
        <w:tblDescription w:val="Data are n (%) or mean (SD) or median (interquartile) respectively. p-values adjusted for age and gender&#10;CS Cushing Syndrome, LTR long-term remission, HS healthy subjects, MS metabolic syndrome, BMI body mass index, SBP systolic blood pressure, DBP diastolic blood pressure, NT-proBNP N-terminal pro-natriuretic peptide, LDL low-density lipoprotein, HbA1c glycosylated hemoglobin, IVSd interventricular septum diameter, LVEDd left ventricular end-diastolic diameter, LVPWd left ventricular poster wall diameter, LVEDV left ventricular end-diastolic volume, E/e’ ratio between early mitral inflow velocity and mitral annular early diastolic velocity,  LVEF left ventricular ejection fraction, GLS global longitudinal strain. &#10;Comparison versus overt CS: A p&lt;0.05, B p&lt;0.01, C p&lt;0.001; comparison versus cured CS: a p&lt;0.05, b p&lt;0.01, c p&lt;0.001&#10;"/>
      </w:tblPr>
      <w:tblGrid>
        <w:gridCol w:w="3814"/>
        <w:gridCol w:w="1446"/>
        <w:gridCol w:w="1286"/>
        <w:gridCol w:w="1519"/>
        <w:gridCol w:w="1576"/>
        <w:gridCol w:w="837"/>
        <w:gridCol w:w="837"/>
        <w:gridCol w:w="837"/>
        <w:gridCol w:w="837"/>
        <w:gridCol w:w="837"/>
      </w:tblGrid>
      <w:tr w:rsidR="00222954" w:rsidRPr="00B53E22" w:rsidTr="00CD3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tcBorders>
              <w:top w:val="single" w:sz="18" w:space="0" w:color="auto"/>
              <w:bottom w:val="single" w:sz="12" w:space="0" w:color="auto"/>
            </w:tcBorders>
          </w:tcPr>
          <w:p w:rsidR="00222954" w:rsidRPr="00B53E22" w:rsidRDefault="00222954" w:rsidP="00CD377C">
            <w:pPr>
              <w:rPr>
                <w:sz w:val="20"/>
                <w:szCs w:val="18"/>
                <w:lang w:val="en-US"/>
              </w:rPr>
            </w:pPr>
          </w:p>
        </w:tc>
        <w:tc>
          <w:tcPr>
            <w:tcW w:w="1446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Overt CS, n=31 (1)</w:t>
            </w:r>
          </w:p>
        </w:tc>
        <w:tc>
          <w:tcPr>
            <w:tcW w:w="1286" w:type="dxa"/>
            <w:tcBorders>
              <w:top w:val="single" w:sz="18" w:space="0" w:color="auto"/>
              <w:bottom w:val="single" w:sz="12" w:space="0" w:color="auto"/>
            </w:tcBorders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CS in LTR, n=49 (2)</w:t>
            </w:r>
          </w:p>
        </w:tc>
        <w:tc>
          <w:tcPr>
            <w:tcW w:w="1519" w:type="dxa"/>
            <w:tcBorders>
              <w:top w:val="single" w:sz="18" w:space="0" w:color="auto"/>
              <w:bottom w:val="single" w:sz="12" w:space="0" w:color="auto"/>
            </w:tcBorders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STAAB HS, n=439 (3)</w:t>
            </w:r>
          </w:p>
        </w:tc>
        <w:tc>
          <w:tcPr>
            <w:tcW w:w="1576" w:type="dxa"/>
            <w:tcBorders>
              <w:top w:val="single" w:sz="18" w:space="0" w:color="auto"/>
              <w:bottom w:val="single" w:sz="12" w:space="0" w:color="auto"/>
            </w:tcBorders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STAAB MS, n=295 (4)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2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3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4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 vs. 3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 vs. 4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Age, [years]</w:t>
            </w:r>
          </w:p>
        </w:tc>
        <w:tc>
          <w:tcPr>
            <w:tcW w:w="1446" w:type="dxa"/>
            <w:tcBorders>
              <w:top w:val="single" w:sz="12" w:space="0" w:color="auto"/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47 (12)</w:t>
            </w:r>
          </w:p>
        </w:tc>
        <w:tc>
          <w:tcPr>
            <w:tcW w:w="1286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53 (12)</w:t>
            </w:r>
          </w:p>
        </w:tc>
        <w:tc>
          <w:tcPr>
            <w:tcW w:w="1519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49 (11)</w:t>
            </w:r>
          </w:p>
        </w:tc>
        <w:tc>
          <w:tcPr>
            <w:tcW w:w="1576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60 (10) 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0.071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0.529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0.018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Women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22 (71)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38 (78)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248 (57)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109 (37)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0.508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0.115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BMI [kg/m2]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28 (6)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27 (6)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24 (3) 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31 (4) 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0.746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SBP [mmHg]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142 (24)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131 (17)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122 (11)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139 (16)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0.018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0.041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0.077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DBP [mmHg]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86 (18)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79 (10)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75 (8)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82 (10)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0.058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0.500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0.006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0.024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NT-</w:t>
            </w:r>
            <w:proofErr w:type="spellStart"/>
            <w:r w:rsidRPr="00B53E22">
              <w:rPr>
                <w:sz w:val="20"/>
                <w:szCs w:val="18"/>
                <w:lang w:val="en-US"/>
              </w:rPr>
              <w:t>proBNP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 xml:space="preserve"> [</w:t>
            </w:r>
            <w:proofErr w:type="spellStart"/>
            <w:r w:rsidRPr="00B53E22">
              <w:rPr>
                <w:sz w:val="20"/>
                <w:szCs w:val="18"/>
                <w:lang w:val="en-US"/>
              </w:rPr>
              <w:t>pg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>/ml]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65 (42, 98)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81 (50, 166)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42 (22, 82)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57 (27, 102)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0.072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0.190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LDL [mg/</w:t>
            </w:r>
            <w:proofErr w:type="spellStart"/>
            <w:r w:rsidRPr="00B53E22">
              <w:rPr>
                <w:sz w:val="20"/>
                <w:szCs w:val="18"/>
                <w:lang w:val="en-US"/>
              </w:rPr>
              <w:t>dL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>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118 (46)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126 (30)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117 (30)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123 (36)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0.373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0.600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0.512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0.766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HbA1c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6.0 (1.1)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5.6 (0.6)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5.3 (0.3)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6.0 (0.9)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0.002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0.140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0.021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i/>
                <w:sz w:val="20"/>
                <w:szCs w:val="18"/>
                <w:u w:val="single"/>
                <w:lang w:val="en-US"/>
              </w:rPr>
            </w:pPr>
            <w:r w:rsidRPr="00B53E22">
              <w:rPr>
                <w:i/>
                <w:sz w:val="20"/>
                <w:szCs w:val="18"/>
                <w:u w:val="single"/>
                <w:lang w:val="en-US"/>
              </w:rPr>
              <w:t>Tumor source of endogenous Cushing´s syndrome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Pituitary, 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 (39)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28 (57) 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Adrenal, 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 (39)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18 (37)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Ectopic, 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 (22)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3 (6)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Serum cortisol (after 1 mg Dexamethasone),  [</w:t>
            </w:r>
            <w:proofErr w:type="spellStart"/>
            <w:r w:rsidRPr="00B53E22">
              <w:rPr>
                <w:sz w:val="20"/>
                <w:szCs w:val="18"/>
                <w:lang w:val="en-US"/>
              </w:rPr>
              <w:t>μg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>/dl]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14.3 (6.2, 21.2)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1.0 (1.0, 1.3)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24h urinary free cortisol [mcg/24h]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194 (53, 385)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41 (27, 78)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Glucocorticoid substitution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 (0)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35 (71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i/>
                <w:sz w:val="20"/>
                <w:szCs w:val="18"/>
                <w:u w:val="single"/>
                <w:lang w:val="en-US"/>
              </w:rPr>
            </w:pPr>
            <w:r w:rsidRPr="00B53E22">
              <w:rPr>
                <w:i/>
                <w:sz w:val="20"/>
                <w:szCs w:val="18"/>
                <w:u w:val="single"/>
                <w:lang w:val="en-US"/>
              </w:rPr>
              <w:t>Comorbidities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Hypertension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23 (74)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24 (49)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243 (82)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0.002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0.695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0.001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Diabetes mellitus n,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 (39)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 (12)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92 (31)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0.015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0.007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proofErr w:type="spellStart"/>
            <w:r w:rsidRPr="00B53E22">
              <w:rPr>
                <w:sz w:val="20"/>
                <w:szCs w:val="18"/>
                <w:lang w:val="en-US"/>
              </w:rPr>
              <w:t>Hypothyreosis</w:t>
            </w:r>
            <w:proofErr w:type="spellEnd"/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12 (39)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23 (47) 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0.788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Osteoporosis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(29)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(18)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0.006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i/>
                <w:sz w:val="20"/>
                <w:szCs w:val="18"/>
                <w:u w:val="single"/>
                <w:lang w:val="en-US"/>
              </w:rPr>
              <w:t>Medications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Beta blocker, n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(29)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10 (20)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92 (31)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0.079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0.617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0.344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ACE or AT1 antagonist,  n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16 (52)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16 (33)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138 (48)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0.030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0.062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0.463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Diuretics,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 (23)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 (12)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40 (15)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0.051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0.987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Aldosterone antagonist,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 (7)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(2)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0.523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-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i/>
                <w:sz w:val="20"/>
                <w:szCs w:val="18"/>
                <w:u w:val="single"/>
                <w:lang w:val="en-US"/>
              </w:rPr>
            </w:pPr>
            <w:r w:rsidRPr="00B53E22">
              <w:rPr>
                <w:i/>
                <w:sz w:val="20"/>
                <w:szCs w:val="18"/>
                <w:u w:val="single"/>
                <w:lang w:val="en-US"/>
              </w:rPr>
              <w:lastRenderedPageBreak/>
              <w:t>Echocardiography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proofErr w:type="spellStart"/>
            <w:r w:rsidRPr="00B53E22">
              <w:rPr>
                <w:sz w:val="20"/>
                <w:szCs w:val="18"/>
                <w:lang w:val="en-US"/>
              </w:rPr>
              <w:t>IVSd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 xml:space="preserve"> (mm)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(1)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(1)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 (1)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10 (1)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0.045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0.403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0.002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proofErr w:type="spellStart"/>
            <w:r w:rsidRPr="00B53E22">
              <w:rPr>
                <w:sz w:val="20"/>
                <w:szCs w:val="18"/>
                <w:lang w:val="en-US"/>
              </w:rPr>
              <w:t>LVEDd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 xml:space="preserve"> (mm)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47 (5)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45 (5)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47 (5)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50 (5)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0.497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0.715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0.119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0.100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0.001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proofErr w:type="spellStart"/>
            <w:r w:rsidRPr="00B53E22">
              <w:rPr>
                <w:sz w:val="20"/>
                <w:szCs w:val="18"/>
                <w:lang w:val="en-US"/>
              </w:rPr>
              <w:t>LVPWd</w:t>
            </w:r>
            <w:proofErr w:type="spellEnd"/>
            <w:r w:rsidRPr="00B53E22">
              <w:rPr>
                <w:sz w:val="20"/>
                <w:szCs w:val="18"/>
                <w:lang w:val="en-US"/>
              </w:rPr>
              <w:t xml:space="preserve"> (mm)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 (1)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 (1)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 (1)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(1)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0.027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0.967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0.003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0.024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LVEDV (mL)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65 (17)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81 (18)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97 (25)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 xml:space="preserve">106 (24) 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0.568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E/e’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(3)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(3)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7 (2)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9 (3)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0.554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0.050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0.075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Left atrial volume index (mL/m</w:t>
            </w:r>
            <w:r w:rsidRPr="00B53E22">
              <w:rPr>
                <w:sz w:val="20"/>
                <w:szCs w:val="18"/>
                <w:vertAlign w:val="superscript"/>
                <w:lang w:val="en-US"/>
              </w:rPr>
              <w:t>2</w:t>
            </w:r>
            <w:r w:rsidRPr="00B53E22">
              <w:rPr>
                <w:sz w:val="20"/>
                <w:szCs w:val="18"/>
                <w:lang w:val="en-US"/>
              </w:rPr>
              <w:t>)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19 (15, 24)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20 (15, 27)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22 (18, 26)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25 (20, 31)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0.305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0.009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0.003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0.107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0.002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LVEF [%]</w:t>
            </w:r>
          </w:p>
        </w:tc>
        <w:tc>
          <w:tcPr>
            <w:tcW w:w="1446" w:type="dxa"/>
            <w:tcBorders>
              <w:left w:val="nil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62 (4)</w:t>
            </w:r>
          </w:p>
        </w:tc>
        <w:tc>
          <w:tcPr>
            <w:tcW w:w="128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61 (6)</w:t>
            </w:r>
          </w:p>
        </w:tc>
        <w:tc>
          <w:tcPr>
            <w:tcW w:w="151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61 (4)</w:t>
            </w:r>
          </w:p>
        </w:tc>
        <w:tc>
          <w:tcPr>
            <w:tcW w:w="1576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60 (5)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0.471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0.539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0.095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0.468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0.253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14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b w:val="0"/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GLS [-%]</w:t>
            </w:r>
          </w:p>
        </w:tc>
        <w:tc>
          <w:tcPr>
            <w:tcW w:w="1446" w:type="dxa"/>
            <w:tcBorders>
              <w:left w:val="nil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19.3 (2.5)</w:t>
            </w:r>
          </w:p>
        </w:tc>
        <w:tc>
          <w:tcPr>
            <w:tcW w:w="1286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20.4 (2,4)</w:t>
            </w:r>
          </w:p>
        </w:tc>
        <w:tc>
          <w:tcPr>
            <w:tcW w:w="1519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21.4 (2.4)</w:t>
            </w:r>
          </w:p>
        </w:tc>
        <w:tc>
          <w:tcPr>
            <w:tcW w:w="1576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19.1 (2.4)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0.250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0.363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&lt;0.001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18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0.574</w:t>
            </w:r>
          </w:p>
        </w:tc>
      </w:tr>
    </w:tbl>
    <w:p w:rsidR="00222954" w:rsidRPr="00B53E22" w:rsidRDefault="00222954" w:rsidP="00222954">
      <w:pPr>
        <w:jc w:val="both"/>
        <w:rPr>
          <w:sz w:val="20"/>
          <w:lang w:val="en-US"/>
        </w:rPr>
      </w:pPr>
      <w:r w:rsidRPr="00B53E22">
        <w:rPr>
          <w:sz w:val="20"/>
          <w:lang w:val="en-US"/>
        </w:rPr>
        <w:t>Data are n (</w:t>
      </w:r>
      <w:proofErr w:type="gramStart"/>
      <w:r w:rsidRPr="00B53E22">
        <w:rPr>
          <w:sz w:val="20"/>
          <w:lang w:val="en-US"/>
        </w:rPr>
        <w:t>%</w:t>
      </w:r>
      <w:proofErr w:type="gramEnd"/>
      <w:r w:rsidRPr="00B53E22">
        <w:rPr>
          <w:sz w:val="20"/>
          <w:lang w:val="en-US"/>
        </w:rPr>
        <w:t>) or mean (SD) or median (interquartile) respectively. P-values adjusted for age and sex.</w:t>
      </w:r>
    </w:p>
    <w:p w:rsidR="00222954" w:rsidRPr="00B53E22" w:rsidRDefault="00222954" w:rsidP="00222954">
      <w:pPr>
        <w:jc w:val="both"/>
        <w:rPr>
          <w:sz w:val="20"/>
          <w:lang w:val="en-US"/>
        </w:rPr>
      </w:pPr>
      <w:r w:rsidRPr="00B53E22">
        <w:rPr>
          <w:sz w:val="20"/>
          <w:lang w:val="en-US"/>
        </w:rPr>
        <w:t>Abbreviations.</w:t>
      </w:r>
      <w:r w:rsidRPr="00B53E22">
        <w:rPr>
          <w:lang w:val="en-GB"/>
        </w:rPr>
        <w:t xml:space="preserve"> </w:t>
      </w:r>
      <w:proofErr w:type="gramStart"/>
      <w:r w:rsidRPr="00B53E22">
        <w:rPr>
          <w:sz w:val="20"/>
          <w:lang w:val="en-US"/>
        </w:rPr>
        <w:t xml:space="preserve">BMI, body mass index; CS, Cushing Syndrome; DBP, diastolic blood pressure; E/e’, ratio between early mitral inflow velocity and mitral annular early diastolic velocity; GLS, global longitudinal strain; HbA1c, glycosylated hemoglobin; HS, healthy subjects; </w:t>
      </w:r>
      <w:proofErr w:type="spellStart"/>
      <w:r w:rsidRPr="00B53E22">
        <w:rPr>
          <w:sz w:val="20"/>
          <w:lang w:val="en-US"/>
        </w:rPr>
        <w:t>IVSd</w:t>
      </w:r>
      <w:proofErr w:type="spellEnd"/>
      <w:r w:rsidRPr="00B53E22">
        <w:rPr>
          <w:sz w:val="20"/>
          <w:lang w:val="en-US"/>
        </w:rPr>
        <w:t xml:space="preserve">, interventricular septum diameter; LDL, low-density lipoprotein; LTR, long-term remission; </w:t>
      </w:r>
      <w:proofErr w:type="spellStart"/>
      <w:r w:rsidRPr="00B53E22">
        <w:rPr>
          <w:sz w:val="20"/>
          <w:lang w:val="en-US"/>
        </w:rPr>
        <w:t>LVEDd</w:t>
      </w:r>
      <w:proofErr w:type="spellEnd"/>
      <w:r w:rsidRPr="00B53E22">
        <w:rPr>
          <w:sz w:val="20"/>
          <w:lang w:val="en-US"/>
        </w:rPr>
        <w:t xml:space="preserve">, left ventricular end-diastolic diameter; LVEDV, left ventricular end-diastolic volume; LVEF, left ventricular ejection fraction; </w:t>
      </w:r>
      <w:proofErr w:type="spellStart"/>
      <w:r w:rsidRPr="00B53E22">
        <w:rPr>
          <w:sz w:val="20"/>
          <w:lang w:val="en-US"/>
        </w:rPr>
        <w:t>LVPWd</w:t>
      </w:r>
      <w:proofErr w:type="spellEnd"/>
      <w:r w:rsidRPr="00B53E22">
        <w:rPr>
          <w:sz w:val="20"/>
          <w:lang w:val="en-US"/>
        </w:rPr>
        <w:t>, left ventricular poster wall diameter; MS, metabolic syndrome; NT-</w:t>
      </w:r>
      <w:proofErr w:type="spellStart"/>
      <w:r w:rsidRPr="00B53E22">
        <w:rPr>
          <w:sz w:val="20"/>
          <w:lang w:val="en-US"/>
        </w:rPr>
        <w:t>proBNP</w:t>
      </w:r>
      <w:proofErr w:type="spellEnd"/>
      <w:r w:rsidRPr="00B53E22">
        <w:rPr>
          <w:sz w:val="20"/>
          <w:lang w:val="en-US"/>
        </w:rPr>
        <w:t>, N-terminal pro-natriuretic peptide; SBP, systolic blood pressure.</w:t>
      </w:r>
      <w:proofErr w:type="gramEnd"/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22954" w:rsidP="00222954">
      <w:pPr>
        <w:spacing w:after="0" w:line="240" w:lineRule="auto"/>
        <w:jc w:val="both"/>
        <w:rPr>
          <w:b/>
          <w:szCs w:val="18"/>
          <w:lang w:val="en-US"/>
        </w:rPr>
      </w:pPr>
    </w:p>
    <w:p w:rsidR="00222954" w:rsidRPr="00B53E22" w:rsidRDefault="002B7C3E" w:rsidP="00222954">
      <w:pPr>
        <w:spacing w:after="0" w:line="240" w:lineRule="auto"/>
        <w:jc w:val="both"/>
        <w:rPr>
          <w:szCs w:val="18"/>
          <w:lang w:val="en-US"/>
        </w:rPr>
      </w:pPr>
      <w:r>
        <w:rPr>
          <w:b/>
          <w:szCs w:val="18"/>
          <w:lang w:val="en-US"/>
        </w:rPr>
        <w:t xml:space="preserve">Supplementary </w:t>
      </w:r>
      <w:bookmarkStart w:id="0" w:name="_GoBack"/>
      <w:bookmarkEnd w:id="0"/>
      <w:r w:rsidR="00222954" w:rsidRPr="00B53E22">
        <w:rPr>
          <w:b/>
          <w:szCs w:val="18"/>
          <w:lang w:val="en-US"/>
        </w:rPr>
        <w:t xml:space="preserve">Table 2: </w:t>
      </w:r>
      <w:r w:rsidR="00222954" w:rsidRPr="00B53E22">
        <w:rPr>
          <w:szCs w:val="18"/>
          <w:lang w:val="en-US"/>
        </w:rPr>
        <w:t>Myocardial work in Cushing’s syndrome (either overt CS or in CS in long-term remission) and healthy subjects without or with metabolic syndrome.</w:t>
      </w:r>
    </w:p>
    <w:tbl>
      <w:tblPr>
        <w:tblStyle w:val="Listentabelle1hellAkzent1"/>
        <w:tblpPr w:leftFromText="141" w:rightFromText="141" w:vertAnchor="text" w:horzAnchor="margin" w:tblpY="65"/>
        <w:tblW w:w="11744" w:type="dxa"/>
        <w:tblLook w:val="04A0" w:firstRow="1" w:lastRow="0" w:firstColumn="1" w:lastColumn="0" w:noHBand="0" w:noVBand="1"/>
      </w:tblPr>
      <w:tblGrid>
        <w:gridCol w:w="1673"/>
        <w:gridCol w:w="1389"/>
        <w:gridCol w:w="1287"/>
        <w:gridCol w:w="1520"/>
        <w:gridCol w:w="1620"/>
        <w:gridCol w:w="837"/>
        <w:gridCol w:w="872"/>
        <w:gridCol w:w="837"/>
        <w:gridCol w:w="872"/>
        <w:gridCol w:w="837"/>
      </w:tblGrid>
      <w:tr w:rsidR="00222954" w:rsidRPr="00B53E22" w:rsidTr="00CD37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389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Overt CS</w:t>
            </w:r>
            <w:r w:rsidRPr="00B53E22">
              <w:rPr>
                <w:sz w:val="20"/>
                <w:szCs w:val="20"/>
                <w:lang w:val="en-US"/>
              </w:rPr>
              <w:br/>
              <w:t>n=31 (1)</w:t>
            </w:r>
          </w:p>
        </w:tc>
        <w:tc>
          <w:tcPr>
            <w:tcW w:w="128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CS-LTR</w:t>
            </w:r>
            <w:r w:rsidRPr="00B53E22">
              <w:rPr>
                <w:sz w:val="20"/>
                <w:szCs w:val="20"/>
                <w:lang w:val="en-US"/>
              </w:rPr>
              <w:br/>
              <w:t>n=49 (2)</w:t>
            </w:r>
          </w:p>
        </w:tc>
        <w:tc>
          <w:tcPr>
            <w:tcW w:w="152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 xml:space="preserve">STAAB </w:t>
            </w:r>
            <w:r w:rsidRPr="00B53E22">
              <w:rPr>
                <w:sz w:val="20"/>
                <w:szCs w:val="20"/>
                <w:lang w:val="en-US"/>
              </w:rPr>
              <w:br/>
              <w:t>Healthy subjects</w:t>
            </w:r>
            <w:r w:rsidRPr="00B53E22">
              <w:rPr>
                <w:sz w:val="20"/>
                <w:szCs w:val="20"/>
                <w:lang w:val="en-US"/>
              </w:rPr>
              <w:br/>
              <w:t>n=439 (3)</w:t>
            </w:r>
          </w:p>
        </w:tc>
        <w:tc>
          <w:tcPr>
            <w:tcW w:w="1620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 xml:space="preserve">STAAB </w:t>
            </w:r>
            <w:r w:rsidRPr="00B53E22">
              <w:rPr>
                <w:sz w:val="20"/>
                <w:szCs w:val="20"/>
                <w:lang w:val="en-US"/>
              </w:rPr>
              <w:br/>
              <w:t>Metabolic syndrome</w:t>
            </w:r>
            <w:r w:rsidRPr="00B53E22">
              <w:rPr>
                <w:sz w:val="20"/>
                <w:szCs w:val="20"/>
                <w:lang w:val="en-US"/>
              </w:rPr>
              <w:br/>
              <w:t>n=293 (4)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2</w:t>
            </w:r>
          </w:p>
        </w:tc>
        <w:tc>
          <w:tcPr>
            <w:tcW w:w="87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3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1 vs. 4</w:t>
            </w:r>
          </w:p>
        </w:tc>
        <w:tc>
          <w:tcPr>
            <w:tcW w:w="872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 vs. 3</w:t>
            </w:r>
          </w:p>
        </w:tc>
        <w:tc>
          <w:tcPr>
            <w:tcW w:w="837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18"/>
                <w:lang w:val="en-US"/>
              </w:rPr>
              <w:t>2 vs. 4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3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GCW [mmHg%]</w:t>
            </w:r>
          </w:p>
        </w:tc>
        <w:tc>
          <w:tcPr>
            <w:tcW w:w="1389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2581 (455)</w:t>
            </w:r>
          </w:p>
        </w:tc>
        <w:tc>
          <w:tcPr>
            <w:tcW w:w="128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2514 (378)</w:t>
            </w:r>
          </w:p>
        </w:tc>
        <w:tc>
          <w:tcPr>
            <w:tcW w:w="1520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2440 (334)</w:t>
            </w:r>
          </w:p>
        </w:tc>
        <w:tc>
          <w:tcPr>
            <w:tcW w:w="1620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2483 (423)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0.426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0.001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0.505</w:t>
            </w:r>
          </w:p>
        </w:tc>
        <w:tc>
          <w:tcPr>
            <w:tcW w:w="872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0.012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0.208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3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GWW [mmHg%]</w:t>
            </w:r>
          </w:p>
        </w:tc>
        <w:tc>
          <w:tcPr>
            <w:tcW w:w="138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105 (74, 147)</w:t>
            </w:r>
          </w:p>
        </w:tc>
        <w:tc>
          <w:tcPr>
            <w:tcW w:w="128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97 (69, 158)</w:t>
            </w:r>
          </w:p>
        </w:tc>
        <w:tc>
          <w:tcPr>
            <w:tcW w:w="1520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75 (54, 109)</w:t>
            </w:r>
          </w:p>
        </w:tc>
        <w:tc>
          <w:tcPr>
            <w:tcW w:w="1620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 xml:space="preserve">95 (65, 136) 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0.961</w:t>
            </w:r>
          </w:p>
        </w:tc>
        <w:tc>
          <w:tcPr>
            <w:tcW w:w="872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0.006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0.011</w:t>
            </w:r>
          </w:p>
        </w:tc>
        <w:tc>
          <w:tcPr>
            <w:tcW w:w="872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0.002</w:t>
            </w:r>
          </w:p>
        </w:tc>
      </w:tr>
      <w:tr w:rsidR="00222954" w:rsidRPr="00B53E22" w:rsidTr="00CD37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3" w:type="dxa"/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GWI [mmHg%]</w:t>
            </w:r>
          </w:p>
        </w:tc>
        <w:tc>
          <w:tcPr>
            <w:tcW w:w="1389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2290 (387)</w:t>
            </w:r>
          </w:p>
        </w:tc>
        <w:tc>
          <w:tcPr>
            <w:tcW w:w="128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2265 (378)</w:t>
            </w:r>
          </w:p>
        </w:tc>
        <w:tc>
          <w:tcPr>
            <w:tcW w:w="1520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 xml:space="preserve">2224 (310) </w:t>
            </w:r>
          </w:p>
        </w:tc>
        <w:tc>
          <w:tcPr>
            <w:tcW w:w="1620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2244 (400)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0.207</w:t>
            </w:r>
          </w:p>
        </w:tc>
        <w:tc>
          <w:tcPr>
            <w:tcW w:w="872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&lt;0.001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0.057</w:t>
            </w:r>
          </w:p>
        </w:tc>
        <w:tc>
          <w:tcPr>
            <w:tcW w:w="872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0.001</w:t>
            </w:r>
          </w:p>
        </w:tc>
        <w:tc>
          <w:tcPr>
            <w:tcW w:w="837" w:type="dxa"/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0.741</w:t>
            </w:r>
          </w:p>
        </w:tc>
      </w:tr>
      <w:tr w:rsidR="00222954" w:rsidRPr="00B53E22" w:rsidTr="00CD37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73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GWE [%]</w:t>
            </w:r>
          </w:p>
        </w:tc>
        <w:tc>
          <w:tcPr>
            <w:tcW w:w="1389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95 (2)</w:t>
            </w:r>
          </w:p>
        </w:tc>
        <w:tc>
          <w:tcPr>
            <w:tcW w:w="1287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95 (3)</w:t>
            </w:r>
          </w:p>
        </w:tc>
        <w:tc>
          <w:tcPr>
            <w:tcW w:w="1520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96 (2)</w:t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95 (2)</w:t>
            </w:r>
          </w:p>
        </w:tc>
        <w:tc>
          <w:tcPr>
            <w:tcW w:w="837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0.988</w:t>
            </w:r>
          </w:p>
        </w:tc>
        <w:tc>
          <w:tcPr>
            <w:tcW w:w="872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0.003</w:t>
            </w:r>
          </w:p>
        </w:tc>
        <w:tc>
          <w:tcPr>
            <w:tcW w:w="837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0.086</w:t>
            </w:r>
          </w:p>
        </w:tc>
        <w:tc>
          <w:tcPr>
            <w:tcW w:w="872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&lt;0.001</w:t>
            </w:r>
          </w:p>
        </w:tc>
        <w:tc>
          <w:tcPr>
            <w:tcW w:w="837" w:type="dxa"/>
            <w:tcBorders>
              <w:bottom w:val="single" w:sz="18" w:space="0" w:color="auto"/>
            </w:tcBorders>
            <w:shd w:val="clear" w:color="auto" w:fill="auto"/>
          </w:tcPr>
          <w:p w:rsidR="00222954" w:rsidRPr="00B53E22" w:rsidRDefault="00222954" w:rsidP="00CD377C">
            <w:pPr>
              <w:spacing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  <w:lang w:val="en-US"/>
              </w:rPr>
            </w:pPr>
            <w:r w:rsidRPr="00B53E22">
              <w:rPr>
                <w:sz w:val="20"/>
                <w:szCs w:val="20"/>
                <w:lang w:val="en-US"/>
              </w:rPr>
              <w:t>0.044</w:t>
            </w:r>
          </w:p>
        </w:tc>
      </w:tr>
    </w:tbl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  <w:r w:rsidRPr="00B53E22">
        <w:rPr>
          <w:sz w:val="20"/>
          <w:lang w:val="en-US"/>
        </w:rPr>
        <w:t>Data are n (</w:t>
      </w:r>
      <w:proofErr w:type="gramStart"/>
      <w:r w:rsidRPr="00B53E22">
        <w:rPr>
          <w:sz w:val="20"/>
          <w:lang w:val="en-US"/>
        </w:rPr>
        <w:t>%</w:t>
      </w:r>
      <w:proofErr w:type="gramEnd"/>
      <w:r w:rsidRPr="00B53E22">
        <w:rPr>
          <w:sz w:val="20"/>
          <w:lang w:val="en-US"/>
        </w:rPr>
        <w:t xml:space="preserve">), mean (SD), or median (quartiles), respectively. </w:t>
      </w:r>
    </w:p>
    <w:p w:rsidR="00222954" w:rsidRPr="00B53E22" w:rsidRDefault="00222954" w:rsidP="00222954">
      <w:pPr>
        <w:spacing w:after="0"/>
        <w:jc w:val="both"/>
        <w:rPr>
          <w:sz w:val="20"/>
          <w:lang w:val="en-US"/>
        </w:rPr>
      </w:pPr>
      <w:r w:rsidRPr="00B53E22">
        <w:rPr>
          <w:sz w:val="20"/>
          <w:lang w:val="en-US"/>
        </w:rPr>
        <w:t>*p-values are obtained from analysis of covariance (ANCOVA) adjusted for age, sex, body mass index, and systolic blood pressure</w:t>
      </w:r>
    </w:p>
    <w:p w:rsidR="00222954" w:rsidRPr="00B53E22" w:rsidRDefault="00222954" w:rsidP="00222954">
      <w:pPr>
        <w:spacing w:after="0"/>
        <w:rPr>
          <w:sz w:val="20"/>
          <w:lang w:val="en-US"/>
        </w:rPr>
      </w:pPr>
      <w:r w:rsidRPr="00B53E22">
        <w:rPr>
          <w:sz w:val="20"/>
          <w:lang w:val="en-US"/>
        </w:rPr>
        <w:t>Comparison versus overt CS: A p&lt;0.05, B p&lt;0.01, C p&lt;0.001.</w:t>
      </w:r>
      <w:r w:rsidRPr="00B53E22">
        <w:rPr>
          <w:sz w:val="20"/>
          <w:lang w:val="en-US"/>
        </w:rPr>
        <w:br/>
        <w:t xml:space="preserve">Comparison versus CS in LTR: a p&lt;0.05, b p&lt;0.01 c, p&lt;0.001 </w:t>
      </w:r>
    </w:p>
    <w:p w:rsidR="00222954" w:rsidRPr="00B53E22" w:rsidRDefault="00222954" w:rsidP="00222954">
      <w:pPr>
        <w:spacing w:after="0"/>
        <w:rPr>
          <w:sz w:val="20"/>
          <w:lang w:val="en-US"/>
        </w:rPr>
      </w:pPr>
      <w:r w:rsidRPr="00B53E22">
        <w:rPr>
          <w:sz w:val="20"/>
          <w:lang w:val="en-US"/>
        </w:rPr>
        <w:t>CS, Cushing`s syndrome; GCW, global constructive work; GWE, global work efficiency; GWI, global work index; GWW, global wasted work; LTR, long-term remission.</w:t>
      </w:r>
    </w:p>
    <w:p w:rsidR="00222954" w:rsidRDefault="00222954" w:rsidP="00222954">
      <w:pPr>
        <w:spacing w:before="240" w:after="160" w:line="240" w:lineRule="auto"/>
        <w:jc w:val="both"/>
        <w:rPr>
          <w:lang w:val="en-US"/>
        </w:rPr>
      </w:pP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  <w:r w:rsidRPr="00B53E22">
        <w:rPr>
          <w:lang w:val="en-US"/>
        </w:rPr>
        <w:fldChar w:fldCharType="begin"/>
      </w:r>
      <w:r w:rsidRPr="00B53E22">
        <w:rPr>
          <w:lang w:val="en-US"/>
        </w:rPr>
        <w:instrText xml:space="preserve"> ADDIN </w:instrText>
      </w:r>
      <w:r w:rsidRPr="00B53E22">
        <w:rPr>
          <w:lang w:val="en-US"/>
        </w:rPr>
        <w:fldChar w:fldCharType="end"/>
      </w:r>
    </w:p>
    <w:p w:rsidR="00F61BBD" w:rsidRDefault="00F61BBD"/>
    <w:sectPr w:rsidR="00F61BBD" w:rsidSect="0042090F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Y0NrewMDcwNTK3MDNW0lEKTi0uzszPAykwrAUAtSGjRiwAAAA="/>
  </w:docVars>
  <w:rsids>
    <w:rsidRoot w:val="00222954"/>
    <w:rsid w:val="00222954"/>
    <w:rsid w:val="002B7C3E"/>
    <w:rsid w:val="00B53E22"/>
    <w:rsid w:val="00F61BBD"/>
    <w:rsid w:val="00FE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492E3"/>
  <w15:chartTrackingRefBased/>
  <w15:docId w15:val="{12ADC1DC-6EFD-4A0D-8F23-4584E7A51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22954"/>
    <w:pPr>
      <w:spacing w:after="200" w:line="276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Listentabelle1hellAkzent1">
    <w:name w:val="List Table 1 Light Accent 1"/>
    <w:basedOn w:val="NormaleTabelle"/>
    <w:uiPriority w:val="46"/>
    <w:rsid w:val="0022295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626</Words>
  <Characters>3948</Characters>
  <Application>Microsoft Office Word</Application>
  <DocSecurity>0</DocSecurity>
  <Lines>32</Lines>
  <Paragraphs>9</Paragraphs>
  <ScaleCrop>false</ScaleCrop>
  <Company>UKW</Company>
  <LinksUpToDate>false</LinksUpToDate>
  <CharactersWithSpaces>4565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Sahiti, Floran</dc:creator>
  <cp:keywords/>
  <dc:description/>
  <cp:lastModifiedBy>Sahiti, Floran</cp:lastModifiedBy>
  <cp:revision>4</cp:revision>
  <dcterms:created xsi:type="dcterms:W3CDTF">2025-02-10T11:57:00Z</dcterms:created>
  <dcterms:modified xsi:type="dcterms:W3CDTF">2025-02-13T16:31:00Z</dcterms:modified>
</cp:coreProperties>
</file>