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7A846" w14:textId="1A8EF3BC" w:rsidR="00BD27F1" w:rsidRDefault="005E0587">
      <w:pPr>
        <w:rPr>
          <w:rFonts w:ascii="Times New Roman" w:hAnsi="Times New Roman" w:cs="Times New Roman"/>
          <w:sz w:val="20"/>
          <w:szCs w:val="21"/>
        </w:rPr>
      </w:pPr>
      <w:r w:rsidRPr="005E0587">
        <w:rPr>
          <w:rFonts w:ascii="Times New Roman" w:hAnsi="Times New Roman" w:cs="Times New Roman" w:hint="eastAsia"/>
          <w:b/>
          <w:bCs/>
          <w:sz w:val="20"/>
          <w:szCs w:val="21"/>
        </w:rPr>
        <w:t xml:space="preserve">Table </w:t>
      </w:r>
      <w:r w:rsidR="00216439">
        <w:rPr>
          <w:rFonts w:ascii="Times New Roman" w:hAnsi="Times New Roman" w:cs="Times New Roman" w:hint="eastAsia"/>
          <w:b/>
          <w:bCs/>
          <w:sz w:val="20"/>
          <w:szCs w:val="21"/>
        </w:rPr>
        <w:t>S</w:t>
      </w:r>
      <w:r w:rsidRPr="005E0587">
        <w:rPr>
          <w:rFonts w:ascii="Times New Roman" w:hAnsi="Times New Roman" w:cs="Times New Roman" w:hint="eastAsia"/>
          <w:b/>
          <w:bCs/>
          <w:sz w:val="20"/>
          <w:szCs w:val="21"/>
        </w:rPr>
        <w:t>1.</w:t>
      </w:r>
      <w:r>
        <w:rPr>
          <w:rFonts w:ascii="Times New Roman" w:hAnsi="Times New Roman" w:cs="Times New Roman" w:hint="eastAsia"/>
          <w:sz w:val="20"/>
          <w:szCs w:val="21"/>
        </w:rPr>
        <w:t xml:space="preserve"> Definition of CKM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22"/>
        <w:gridCol w:w="6174"/>
      </w:tblGrid>
      <w:tr w:rsidR="005E0587" w14:paraId="1B3F08A7" w14:textId="77777777" w:rsidTr="005E0587">
        <w:tc>
          <w:tcPr>
            <w:tcW w:w="2122" w:type="dxa"/>
          </w:tcPr>
          <w:p w14:paraId="0C340F89" w14:textId="7953BAC2" w:rsidR="005E0587" w:rsidRDefault="005E0587" w:rsidP="002D3388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CKM stages</w:t>
            </w:r>
          </w:p>
        </w:tc>
        <w:tc>
          <w:tcPr>
            <w:tcW w:w="6174" w:type="dxa"/>
          </w:tcPr>
          <w:p w14:paraId="4444B776" w14:textId="2D6C2804" w:rsidR="005E0587" w:rsidRDefault="005E0587" w:rsidP="002D3388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Definition</w:t>
            </w:r>
          </w:p>
        </w:tc>
      </w:tr>
      <w:tr w:rsidR="005E0587" w14:paraId="7D296384" w14:textId="77777777" w:rsidTr="005E0587">
        <w:tc>
          <w:tcPr>
            <w:tcW w:w="2122" w:type="dxa"/>
          </w:tcPr>
          <w:p w14:paraId="5C3BBFE4" w14:textId="5FD2ABD3" w:rsidR="005E0587" w:rsidRDefault="005E058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CKM stage 0</w:t>
            </w:r>
          </w:p>
        </w:tc>
        <w:tc>
          <w:tcPr>
            <w:tcW w:w="6174" w:type="dxa"/>
          </w:tcPr>
          <w:p w14:paraId="7B3D63C5" w14:textId="50A8FE0F" w:rsidR="005E0587" w:rsidRDefault="00B206D3" w:rsidP="002D3388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Participants with a normal Body Mass Index (BMI) (&lt;23 kg/m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²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for those of Asian ethnicity and &lt;25 kg/m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²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for individuals from other racial and ethnic backgrounds), and a normal waist circumference (&lt;80 cm for Asian women and &lt;90 cm for Asian men, or &lt;88 cm for women and &lt;102 cm for men in all other racial and ethnic groups) who did not fulfill the criteria for the other stages.</w:t>
            </w:r>
          </w:p>
        </w:tc>
      </w:tr>
      <w:tr w:rsidR="005E0587" w14:paraId="48EFB2C4" w14:textId="77777777" w:rsidTr="005E0587">
        <w:tc>
          <w:tcPr>
            <w:tcW w:w="2122" w:type="dxa"/>
          </w:tcPr>
          <w:p w14:paraId="37DBAEF9" w14:textId="385E80A7" w:rsidR="005E0587" w:rsidRDefault="005E058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CKM stage 1</w:t>
            </w:r>
          </w:p>
        </w:tc>
        <w:tc>
          <w:tcPr>
            <w:tcW w:w="6174" w:type="dxa"/>
          </w:tcPr>
          <w:p w14:paraId="01D44F37" w14:textId="5D350AF6" w:rsidR="005E0587" w:rsidRDefault="00B206D3" w:rsidP="002D3388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Elevated Body Mass Index (BMI) (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≥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23 kg/m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²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for individuals of Asian descent and &gt;25 kg/m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²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for all other racial and ethnic groups), increased waist circumference (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≥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80 cm for Asian women and 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≥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90 cm for Asian men, or 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≥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88 cm for women and 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≥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102 cm for men in other racial and ethnic categories), or prediabetes. Prediabetes is defined as a glycated hemoglobin (HbA1c) level of 5.7% to &lt;6.5% or a fasting blood glucose level between 100 mg/dL and &lt;126 mg/dL.</w:t>
            </w:r>
          </w:p>
        </w:tc>
      </w:tr>
      <w:tr w:rsidR="005E0587" w14:paraId="7D2828E8" w14:textId="77777777" w:rsidTr="005E0587">
        <w:tc>
          <w:tcPr>
            <w:tcW w:w="2122" w:type="dxa"/>
          </w:tcPr>
          <w:p w14:paraId="2EA9F57A" w14:textId="1C17A0F2" w:rsidR="005E0587" w:rsidRDefault="005E058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CKM stage 2</w:t>
            </w:r>
          </w:p>
        </w:tc>
        <w:tc>
          <w:tcPr>
            <w:tcW w:w="6174" w:type="dxa"/>
          </w:tcPr>
          <w:p w14:paraId="693733B8" w14:textId="52232303" w:rsidR="00B206D3" w:rsidRPr="00B206D3" w:rsidRDefault="00B206D3" w:rsidP="00B206D3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Metabolic risk factors or moderate-to-high-risk chronic kidney disease (CKD) as defined by the </w:t>
            </w:r>
            <w:proofErr w:type="gramStart"/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Kidney Disease</w:t>
            </w:r>
            <w:proofErr w:type="gramEnd"/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: Improving Global Outcomes (KDIGO) criteria, in accordance with AHA recommendations. The qualifying metabolic risk factors encompassed: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e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levated fasting serum triglycerides (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≥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135 mg/dL)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 ; h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ypertension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; d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iabetes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; m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etabolic syndrome, characterized by the presence of at least three of the following:</w:t>
            </w:r>
          </w:p>
          <w:p w14:paraId="493B25DB" w14:textId="609C3267" w:rsidR="005E0587" w:rsidRDefault="00B206D3" w:rsidP="00B206D3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i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ncreased waist circumference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; r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educed high-density lipoprotein (HDL) cholesterol levels (&lt;40 mg/dL for men, &lt;50 mg/dL for women)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; f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asting serum triglycerides 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≥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150 mg/dL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; e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levated blood pressure (systolic 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≥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 xml:space="preserve">130 mmHg, diastolic 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≥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80 mmHg, and/or use of antihypertensive medication)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; p</w:t>
            </w: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rediabetes</w:t>
            </w:r>
            <w:r>
              <w:rPr>
                <w:rFonts w:ascii="Times New Roman" w:hAnsi="Times New Roman" w:cs="Times New Roman" w:hint="eastAsia"/>
                <w:sz w:val="20"/>
                <w:szCs w:val="21"/>
              </w:rPr>
              <w:t>.</w:t>
            </w:r>
          </w:p>
        </w:tc>
      </w:tr>
      <w:tr w:rsidR="005E0587" w14:paraId="7502AB52" w14:textId="77777777" w:rsidTr="005E0587">
        <w:tc>
          <w:tcPr>
            <w:tcW w:w="2122" w:type="dxa"/>
          </w:tcPr>
          <w:p w14:paraId="08B65122" w14:textId="23E81EB6" w:rsidR="005E0587" w:rsidRDefault="005E058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CKM stage 3</w:t>
            </w:r>
          </w:p>
        </w:tc>
        <w:tc>
          <w:tcPr>
            <w:tcW w:w="6174" w:type="dxa"/>
          </w:tcPr>
          <w:p w14:paraId="55533AC6" w14:textId="2E1DE653" w:rsidR="005E0587" w:rsidRDefault="00B206D3" w:rsidP="00B206D3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Presence of very-high-risk KDIGO CKD stages or a high-estimated 10-year cardiovascular disease (CVD) risk. The 10-year CVD risk was assessed using the AHA PREVENT equations for predicting cardiovascular events. A 10-year CVD risk of 20% or greater was classified as high risk.</w:t>
            </w:r>
          </w:p>
        </w:tc>
      </w:tr>
      <w:tr w:rsidR="005E0587" w14:paraId="55FBBF3E" w14:textId="77777777" w:rsidTr="005E0587">
        <w:tc>
          <w:tcPr>
            <w:tcW w:w="2122" w:type="dxa"/>
          </w:tcPr>
          <w:p w14:paraId="0273707D" w14:textId="5DF842DB" w:rsidR="005E0587" w:rsidRDefault="005E0587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CKM stage 4</w:t>
            </w:r>
          </w:p>
        </w:tc>
        <w:tc>
          <w:tcPr>
            <w:tcW w:w="6174" w:type="dxa"/>
          </w:tcPr>
          <w:p w14:paraId="21AF1D17" w14:textId="13D8BBCB" w:rsidR="005E0587" w:rsidRDefault="00B206D3" w:rsidP="00B206D3">
            <w:pPr>
              <w:rPr>
                <w:rFonts w:ascii="Times New Roman" w:hAnsi="Times New Roman" w:cs="Times New Roman"/>
                <w:sz w:val="20"/>
                <w:szCs w:val="21"/>
              </w:rPr>
            </w:pPr>
            <w:r w:rsidRPr="00B206D3">
              <w:rPr>
                <w:rFonts w:ascii="Times New Roman" w:hAnsi="Times New Roman" w:cs="Times New Roman" w:hint="eastAsia"/>
                <w:sz w:val="20"/>
                <w:szCs w:val="21"/>
              </w:rPr>
              <w:t>Reported history of established cardiovascular conditions, including coronary heart disease, angina, myocardial infarction, heart failure, and cerebrovascular accident.</w:t>
            </w:r>
          </w:p>
        </w:tc>
      </w:tr>
    </w:tbl>
    <w:p w14:paraId="3B4CAA3F" w14:textId="77777777" w:rsidR="005E0587" w:rsidRPr="005E0587" w:rsidRDefault="005E0587">
      <w:pPr>
        <w:rPr>
          <w:rFonts w:ascii="Times New Roman" w:hAnsi="Times New Roman" w:cs="Times New Roman"/>
          <w:sz w:val="20"/>
          <w:szCs w:val="21"/>
        </w:rPr>
      </w:pPr>
    </w:p>
    <w:sectPr w:rsidR="005E0587" w:rsidRPr="005E05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7F1"/>
    <w:rsid w:val="001D5C49"/>
    <w:rsid w:val="00216439"/>
    <w:rsid w:val="002D3388"/>
    <w:rsid w:val="005E0587"/>
    <w:rsid w:val="00B206D3"/>
    <w:rsid w:val="00BD27F1"/>
    <w:rsid w:val="00EC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CCC04"/>
  <w15:chartTrackingRefBased/>
  <w15:docId w15:val="{F1BE31B2-07A7-488D-A4B5-163A5ACC8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27F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27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27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27F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27F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27F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27F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27F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27F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27F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D27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D27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D27F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D27F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D27F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D27F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D27F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D27F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D27F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D27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27F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D27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27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D27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27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D27F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D27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D27F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D27F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E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Osler</dc:creator>
  <cp:keywords/>
  <dc:description/>
  <cp:lastModifiedBy>William Osler</cp:lastModifiedBy>
  <cp:revision>6</cp:revision>
  <dcterms:created xsi:type="dcterms:W3CDTF">2025-01-11T12:30:00Z</dcterms:created>
  <dcterms:modified xsi:type="dcterms:W3CDTF">2025-02-08T07:46:00Z</dcterms:modified>
</cp:coreProperties>
</file>