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1E53" w14:textId="77777777" w:rsidR="003652F3" w:rsidRPr="00E30C60" w:rsidRDefault="003652F3" w:rsidP="003652F3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0C60">
        <w:rPr>
          <w:rFonts w:ascii="Arial" w:hAnsi="Arial" w:cs="Arial"/>
          <w:b/>
          <w:bCs/>
          <w:sz w:val="24"/>
          <w:szCs w:val="24"/>
        </w:rPr>
        <w:t>Increased Prevalence and Risk of Atherosclerotic Cardiovascular Disease in Individuals with Type 1 Diabetes and Metabolic-Dysfunction Associated Steatotic Liver Disease</w:t>
      </w:r>
    </w:p>
    <w:p w14:paraId="3DEF1637" w14:textId="77777777" w:rsidR="003652F3" w:rsidRPr="00A106AC" w:rsidRDefault="003652F3" w:rsidP="003652F3">
      <w:pPr>
        <w:spacing w:line="480" w:lineRule="auto"/>
        <w:jc w:val="both"/>
        <w:rPr>
          <w:rFonts w:ascii="Arial" w:hAnsi="Arial" w:cs="Arial"/>
          <w:sz w:val="24"/>
          <w:szCs w:val="24"/>
          <w:lang w:val="nl-BE"/>
        </w:rPr>
      </w:pPr>
      <w:r w:rsidRPr="00A106AC">
        <w:rPr>
          <w:rFonts w:ascii="Arial" w:hAnsi="Arial" w:cs="Arial"/>
          <w:sz w:val="24"/>
          <w:szCs w:val="24"/>
          <w:lang w:val="nl-BE"/>
        </w:rPr>
        <w:t>Jonathan Mertens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1,2,3</w:t>
      </w:r>
      <w:r w:rsidRPr="00A106AC">
        <w:rPr>
          <w:rFonts w:ascii="Arial" w:hAnsi="Arial" w:cs="Arial"/>
          <w:sz w:val="24"/>
          <w:szCs w:val="24"/>
          <w:lang w:val="nl-BE"/>
        </w:rPr>
        <w:t>, Jonas Weyler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2,3</w:t>
      </w:r>
      <w:r w:rsidRPr="00A106AC">
        <w:rPr>
          <w:rFonts w:ascii="Arial" w:hAnsi="Arial" w:cs="Arial"/>
          <w:sz w:val="24"/>
          <w:szCs w:val="24"/>
          <w:lang w:val="nl-BE"/>
        </w:rPr>
        <w:t>, Eveline Dirinck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1,2</w:t>
      </w:r>
      <w:r w:rsidRPr="00A106AC">
        <w:rPr>
          <w:rFonts w:ascii="Arial" w:hAnsi="Arial" w:cs="Arial"/>
          <w:sz w:val="24"/>
          <w:szCs w:val="24"/>
          <w:lang w:val="nl-BE"/>
        </w:rPr>
        <w:t xml:space="preserve">, </w:t>
      </w:r>
      <w:proofErr w:type="spellStart"/>
      <w:r w:rsidRPr="00A106AC">
        <w:rPr>
          <w:rFonts w:ascii="Arial" w:hAnsi="Arial" w:cs="Arial"/>
          <w:sz w:val="24"/>
          <w:szCs w:val="24"/>
          <w:lang w:val="nl-BE"/>
        </w:rPr>
        <w:t>Luisa</w:t>
      </w:r>
      <w:proofErr w:type="spellEnd"/>
      <w:r w:rsidRPr="00A106AC">
        <w:rPr>
          <w:rFonts w:ascii="Arial" w:hAnsi="Arial" w:cs="Arial"/>
          <w:sz w:val="24"/>
          <w:szCs w:val="24"/>
          <w:lang w:val="nl-BE"/>
        </w:rPr>
        <w:t xml:space="preserve"> Vonghia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2,3</w:t>
      </w:r>
      <w:r w:rsidRPr="00A106AC">
        <w:rPr>
          <w:rFonts w:ascii="Arial" w:hAnsi="Arial" w:cs="Arial"/>
          <w:sz w:val="24"/>
          <w:szCs w:val="24"/>
          <w:lang w:val="nl-BE"/>
        </w:rPr>
        <w:t>, Wilhelmus J Kwanten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2,3</w:t>
      </w:r>
      <w:r w:rsidRPr="00A106AC">
        <w:rPr>
          <w:rFonts w:ascii="Arial" w:hAnsi="Arial" w:cs="Arial"/>
          <w:sz w:val="24"/>
          <w:szCs w:val="24"/>
          <w:lang w:val="nl-BE"/>
        </w:rPr>
        <w:t>, Luc F. Van Gaal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1</w:t>
      </w:r>
      <w:r w:rsidRPr="00A106AC">
        <w:rPr>
          <w:rFonts w:ascii="Arial" w:hAnsi="Arial" w:cs="Arial"/>
          <w:sz w:val="24"/>
          <w:szCs w:val="24"/>
          <w:lang w:val="nl-BE"/>
        </w:rPr>
        <w:t xml:space="preserve">, </w:t>
      </w:r>
      <w:proofErr w:type="spellStart"/>
      <w:r w:rsidRPr="00A106AC">
        <w:rPr>
          <w:rFonts w:ascii="Arial" w:hAnsi="Arial" w:cs="Arial"/>
          <w:sz w:val="24"/>
          <w:szCs w:val="24"/>
          <w:lang w:val="nl-BE"/>
        </w:rPr>
        <w:t>Benedicte</w:t>
      </w:r>
      <w:proofErr w:type="spellEnd"/>
      <w:r w:rsidRPr="00A106AC">
        <w:rPr>
          <w:rFonts w:ascii="Arial" w:hAnsi="Arial" w:cs="Arial"/>
          <w:sz w:val="24"/>
          <w:szCs w:val="24"/>
          <w:lang w:val="nl-BE"/>
        </w:rPr>
        <w:t xml:space="preserve"> Y. De Winter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2</w:t>
      </w:r>
      <w:r w:rsidRPr="00A106AC">
        <w:rPr>
          <w:rFonts w:ascii="Arial" w:hAnsi="Arial" w:cs="Arial"/>
          <w:sz w:val="24"/>
          <w:szCs w:val="24"/>
          <w:lang w:val="nl-BE"/>
        </w:rPr>
        <w:t>, Sven Francque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2,3</w:t>
      </w:r>
      <w:r w:rsidRPr="00A106AC">
        <w:rPr>
          <w:rFonts w:ascii="Arial" w:hAnsi="Arial" w:cs="Arial"/>
          <w:sz w:val="24"/>
          <w:szCs w:val="24"/>
          <w:lang w:val="nl-BE"/>
        </w:rPr>
        <w:t>*, Christophe De Block</w:t>
      </w:r>
      <w:r w:rsidRPr="00A106AC">
        <w:rPr>
          <w:rFonts w:ascii="Arial" w:hAnsi="Arial" w:cs="Arial"/>
          <w:sz w:val="24"/>
          <w:szCs w:val="24"/>
          <w:vertAlign w:val="superscript"/>
          <w:lang w:val="nl-BE"/>
        </w:rPr>
        <w:t>1,2</w:t>
      </w:r>
      <w:r w:rsidRPr="00A106AC">
        <w:rPr>
          <w:rFonts w:ascii="Arial" w:hAnsi="Arial" w:cs="Arial"/>
          <w:sz w:val="24"/>
          <w:szCs w:val="24"/>
          <w:lang w:val="nl-BE"/>
        </w:rPr>
        <w:t>*</w:t>
      </w:r>
    </w:p>
    <w:p w14:paraId="18342170" w14:textId="77777777" w:rsidR="003652F3" w:rsidRPr="00A106AC" w:rsidRDefault="003652F3" w:rsidP="003652F3">
      <w:pPr>
        <w:spacing w:line="480" w:lineRule="auto"/>
        <w:jc w:val="both"/>
        <w:rPr>
          <w:rFonts w:ascii="Arial" w:hAnsi="Arial" w:cs="Arial"/>
          <w:sz w:val="24"/>
          <w:szCs w:val="24"/>
          <w:lang w:val="nl-BE"/>
        </w:rPr>
      </w:pPr>
    </w:p>
    <w:p w14:paraId="22F376EB" w14:textId="77777777" w:rsidR="003652F3" w:rsidRPr="00E30C60" w:rsidRDefault="003652F3" w:rsidP="003652F3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30C60">
        <w:rPr>
          <w:rFonts w:ascii="Arial" w:hAnsi="Arial" w:cs="Arial"/>
          <w:sz w:val="24"/>
          <w:szCs w:val="24"/>
        </w:rPr>
        <w:t>Department of Endocrinology, Diabetology &amp; Metabolism, Antwerp University Hospital, Antwerp, Belgium</w:t>
      </w:r>
    </w:p>
    <w:p w14:paraId="7125D5CF" w14:textId="77777777" w:rsidR="003652F3" w:rsidRPr="00E30C60" w:rsidRDefault="003652F3" w:rsidP="003652F3">
      <w:pPr>
        <w:pStyle w:val="Lijstalinea"/>
        <w:numPr>
          <w:ilvl w:val="0"/>
          <w:numId w:val="1"/>
        </w:numPr>
        <w:spacing w:after="0" w:line="480" w:lineRule="auto"/>
        <w:jc w:val="both"/>
        <w:rPr>
          <w:rFonts w:ascii="Arial" w:eastAsiaTheme="minorEastAsia" w:hAnsi="Arial" w:cs="Arial"/>
          <w:sz w:val="24"/>
          <w:szCs w:val="24"/>
          <w:lang w:eastAsia="nl-BE"/>
        </w:rPr>
      </w:pPr>
      <w:r w:rsidRPr="00E30C60">
        <w:rPr>
          <w:rFonts w:ascii="Arial" w:eastAsiaTheme="minorEastAsia" w:hAnsi="Arial" w:cs="Arial"/>
          <w:sz w:val="24"/>
          <w:szCs w:val="24"/>
          <w:lang w:eastAsia="nl-BE"/>
        </w:rPr>
        <w:t xml:space="preserve">Laboratory of Experimental Medicine and Paediatrics and member of the </w:t>
      </w:r>
      <w:proofErr w:type="spellStart"/>
      <w:r w:rsidRPr="00E30C60">
        <w:rPr>
          <w:rFonts w:ascii="Arial" w:eastAsiaTheme="minorEastAsia" w:hAnsi="Arial" w:cs="Arial"/>
          <w:sz w:val="24"/>
          <w:szCs w:val="24"/>
          <w:lang w:eastAsia="nl-BE"/>
        </w:rPr>
        <w:t>Infla</w:t>
      </w:r>
      <w:proofErr w:type="spellEnd"/>
      <w:r w:rsidRPr="00E30C60">
        <w:rPr>
          <w:rFonts w:ascii="Arial" w:eastAsiaTheme="minorEastAsia" w:hAnsi="Arial" w:cs="Arial"/>
          <w:sz w:val="24"/>
          <w:szCs w:val="24"/>
          <w:lang w:eastAsia="nl-BE"/>
        </w:rPr>
        <w:t>-Med Centre of Excellence, University of Antwerp, Faculty of Medicine &amp; Health Sciences, Antwerp, Belgium</w:t>
      </w:r>
    </w:p>
    <w:p w14:paraId="53884821" w14:textId="77777777" w:rsidR="003652F3" w:rsidRDefault="003652F3" w:rsidP="003652F3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30C60">
        <w:rPr>
          <w:rFonts w:ascii="Arial" w:hAnsi="Arial" w:cs="Arial"/>
          <w:sz w:val="24"/>
          <w:szCs w:val="24"/>
        </w:rPr>
        <w:t>Department of Gastroenterology &amp; Hepatology, Antwerp University Hospital, Antwerp, Belgium</w:t>
      </w:r>
    </w:p>
    <w:p w14:paraId="000EA765" w14:textId="77777777" w:rsidR="003652F3" w:rsidRPr="003652F3" w:rsidRDefault="003652F3" w:rsidP="003652F3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59DF063" w14:textId="4B726EBA" w:rsidR="003652F3" w:rsidRPr="003652F3" w:rsidRDefault="003652F3" w:rsidP="003652F3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652F3">
        <w:rPr>
          <w:rFonts w:ascii="Arial" w:hAnsi="Arial" w:cs="Arial"/>
          <w:b/>
          <w:bCs/>
          <w:sz w:val="24"/>
          <w:szCs w:val="24"/>
        </w:rPr>
        <w:t>Supplementary data</w:t>
      </w:r>
    </w:p>
    <w:p w14:paraId="3D96561D" w14:textId="77777777" w:rsidR="003652F3" w:rsidRPr="003652F3" w:rsidRDefault="003652F3" w:rsidP="003652F3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61DCDC5F" w14:textId="0DC58905" w:rsidR="003652F3" w:rsidRPr="00E30C60" w:rsidRDefault="003652F3" w:rsidP="003652F3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0C60">
        <w:rPr>
          <w:rFonts w:ascii="Arial" w:hAnsi="Arial" w:cs="Arial"/>
          <w:b/>
          <w:bCs/>
          <w:sz w:val="24"/>
          <w:szCs w:val="24"/>
        </w:rPr>
        <w:t xml:space="preserve">Table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E30C60">
        <w:rPr>
          <w:rFonts w:ascii="Arial" w:hAnsi="Arial" w:cs="Arial"/>
          <w:b/>
          <w:bCs/>
          <w:sz w:val="24"/>
          <w:szCs w:val="24"/>
        </w:rPr>
        <w:t>: Cohort stratified by the presence of composite ASCVD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2296"/>
        <w:gridCol w:w="2258"/>
        <w:gridCol w:w="2258"/>
        <w:gridCol w:w="2250"/>
      </w:tblGrid>
      <w:tr w:rsidR="003652F3" w:rsidRPr="00E30C60" w14:paraId="10C58B5F" w14:textId="77777777" w:rsidTr="002A0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70FF002D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1B6AC1F" w14:textId="77777777" w:rsidR="003652F3" w:rsidRPr="00E30C60" w:rsidRDefault="003652F3" w:rsidP="002A09D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ASCVD</w:t>
            </w:r>
          </w:p>
        </w:tc>
        <w:tc>
          <w:tcPr>
            <w:tcW w:w="2303" w:type="dxa"/>
          </w:tcPr>
          <w:p w14:paraId="57F5D8C8" w14:textId="77777777" w:rsidR="003652F3" w:rsidRPr="00E30C60" w:rsidRDefault="003652F3" w:rsidP="002A09D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No ASCVD</w:t>
            </w:r>
          </w:p>
        </w:tc>
        <w:tc>
          <w:tcPr>
            <w:tcW w:w="2303" w:type="dxa"/>
          </w:tcPr>
          <w:p w14:paraId="0D8A615B" w14:textId="77777777" w:rsidR="003652F3" w:rsidRPr="00E30C60" w:rsidRDefault="003652F3" w:rsidP="002A09D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p value</w:t>
            </w:r>
          </w:p>
        </w:tc>
      </w:tr>
      <w:tr w:rsidR="003652F3" w:rsidRPr="00E30C60" w14:paraId="3931AA09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5806E8B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n (%)</w:t>
            </w:r>
          </w:p>
        </w:tc>
        <w:tc>
          <w:tcPr>
            <w:tcW w:w="2303" w:type="dxa"/>
          </w:tcPr>
          <w:p w14:paraId="2B1D725C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58 (8.8)</w:t>
            </w:r>
          </w:p>
        </w:tc>
        <w:tc>
          <w:tcPr>
            <w:tcW w:w="2303" w:type="dxa"/>
          </w:tcPr>
          <w:p w14:paraId="23B8FF2D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601 (91.2)</w:t>
            </w:r>
          </w:p>
        </w:tc>
        <w:tc>
          <w:tcPr>
            <w:tcW w:w="2303" w:type="dxa"/>
          </w:tcPr>
          <w:p w14:paraId="0B222D54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52F3" w:rsidRPr="00E30C60" w14:paraId="2038B31A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154EFCA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Age</w:t>
            </w:r>
          </w:p>
        </w:tc>
        <w:tc>
          <w:tcPr>
            <w:tcW w:w="2303" w:type="dxa"/>
          </w:tcPr>
          <w:p w14:paraId="727FEE0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64 [57 - 71]</w:t>
            </w:r>
          </w:p>
        </w:tc>
        <w:tc>
          <w:tcPr>
            <w:tcW w:w="2303" w:type="dxa"/>
          </w:tcPr>
          <w:p w14:paraId="30DB4D9F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45 [29 - 57]</w:t>
            </w:r>
          </w:p>
        </w:tc>
        <w:tc>
          <w:tcPr>
            <w:tcW w:w="2303" w:type="dxa"/>
          </w:tcPr>
          <w:p w14:paraId="683DA6E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238A6DE8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A3BB55A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Male sex, n (%)</w:t>
            </w:r>
          </w:p>
        </w:tc>
        <w:tc>
          <w:tcPr>
            <w:tcW w:w="2303" w:type="dxa"/>
          </w:tcPr>
          <w:p w14:paraId="1FA90D6C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41 (70.7)</w:t>
            </w:r>
          </w:p>
        </w:tc>
        <w:tc>
          <w:tcPr>
            <w:tcW w:w="2303" w:type="dxa"/>
          </w:tcPr>
          <w:p w14:paraId="3374A5E7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323 (53.7)</w:t>
            </w:r>
          </w:p>
        </w:tc>
        <w:tc>
          <w:tcPr>
            <w:tcW w:w="2303" w:type="dxa"/>
          </w:tcPr>
          <w:p w14:paraId="1D0D5534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0.013</w:t>
            </w:r>
          </w:p>
        </w:tc>
      </w:tr>
      <w:tr w:rsidR="003652F3" w:rsidRPr="00E30C60" w14:paraId="6FE7BA9E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10A711BC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lastRenderedPageBreak/>
              <w:t>Active smoking, n (%)</w:t>
            </w:r>
          </w:p>
        </w:tc>
        <w:tc>
          <w:tcPr>
            <w:tcW w:w="2303" w:type="dxa"/>
          </w:tcPr>
          <w:p w14:paraId="74601277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6 (10.3)</w:t>
            </w:r>
          </w:p>
        </w:tc>
        <w:tc>
          <w:tcPr>
            <w:tcW w:w="2303" w:type="dxa"/>
          </w:tcPr>
          <w:p w14:paraId="24B14FC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62 (10.3)</w:t>
            </w:r>
          </w:p>
        </w:tc>
        <w:tc>
          <w:tcPr>
            <w:tcW w:w="2303" w:type="dxa"/>
          </w:tcPr>
          <w:p w14:paraId="414E322D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.995</w:t>
            </w:r>
          </w:p>
        </w:tc>
      </w:tr>
      <w:tr w:rsidR="003652F3" w:rsidRPr="00E30C60" w14:paraId="4919E618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27EF2A2C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Diabetes duration, years</w:t>
            </w:r>
          </w:p>
        </w:tc>
        <w:tc>
          <w:tcPr>
            <w:tcW w:w="2303" w:type="dxa"/>
          </w:tcPr>
          <w:p w14:paraId="1D31ADAF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40 ± 12</w:t>
            </w:r>
          </w:p>
        </w:tc>
        <w:tc>
          <w:tcPr>
            <w:tcW w:w="2303" w:type="dxa"/>
          </w:tcPr>
          <w:p w14:paraId="15E0C1EF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25 ± 14</w:t>
            </w:r>
          </w:p>
        </w:tc>
        <w:tc>
          <w:tcPr>
            <w:tcW w:w="2303" w:type="dxa"/>
          </w:tcPr>
          <w:p w14:paraId="6A7C9981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7F597002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19D06B5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TDI, U/kg/24h</w:t>
            </w: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vertAlign w:val="superscript"/>
                <w:lang w:eastAsia="nl-BE"/>
              </w:rPr>
              <w:t>§</w:t>
            </w:r>
          </w:p>
        </w:tc>
        <w:tc>
          <w:tcPr>
            <w:tcW w:w="2303" w:type="dxa"/>
          </w:tcPr>
          <w:p w14:paraId="0016F505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0.56 [0.47 - 0.76]</w:t>
            </w:r>
          </w:p>
        </w:tc>
        <w:tc>
          <w:tcPr>
            <w:tcW w:w="2303" w:type="dxa"/>
          </w:tcPr>
          <w:p w14:paraId="0BC27B31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0.57 [0.45 - 0.76]</w:t>
            </w:r>
          </w:p>
        </w:tc>
        <w:tc>
          <w:tcPr>
            <w:tcW w:w="2303" w:type="dxa"/>
          </w:tcPr>
          <w:p w14:paraId="3EFCB285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0.835</w:t>
            </w:r>
          </w:p>
        </w:tc>
      </w:tr>
      <w:tr w:rsidR="003652F3" w:rsidRPr="00E30C60" w14:paraId="5A9AA380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252AF1EB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Biguanide use, n (%)</w:t>
            </w:r>
          </w:p>
        </w:tc>
        <w:tc>
          <w:tcPr>
            <w:tcW w:w="2303" w:type="dxa"/>
          </w:tcPr>
          <w:p w14:paraId="7B8F7B24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8 (13.8)</w:t>
            </w:r>
          </w:p>
        </w:tc>
        <w:tc>
          <w:tcPr>
            <w:tcW w:w="2303" w:type="dxa"/>
          </w:tcPr>
          <w:p w14:paraId="4A740BD0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44 (7.3)</w:t>
            </w:r>
          </w:p>
        </w:tc>
        <w:tc>
          <w:tcPr>
            <w:tcW w:w="2303" w:type="dxa"/>
          </w:tcPr>
          <w:p w14:paraId="60F60E97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0.081</w:t>
            </w:r>
          </w:p>
        </w:tc>
      </w:tr>
      <w:tr w:rsidR="003652F3" w:rsidRPr="00E30C60" w14:paraId="47F63B4F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797F4DDF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GLP-1 RA use, n (%)</w:t>
            </w:r>
          </w:p>
        </w:tc>
        <w:tc>
          <w:tcPr>
            <w:tcW w:w="2303" w:type="dxa"/>
          </w:tcPr>
          <w:p w14:paraId="23DB6531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 (5.2)</w:t>
            </w:r>
          </w:p>
        </w:tc>
        <w:tc>
          <w:tcPr>
            <w:tcW w:w="2303" w:type="dxa"/>
          </w:tcPr>
          <w:p w14:paraId="32C5C1F9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15 (2.5)</w:t>
            </w:r>
          </w:p>
        </w:tc>
        <w:tc>
          <w:tcPr>
            <w:tcW w:w="2303" w:type="dxa"/>
          </w:tcPr>
          <w:p w14:paraId="67AF37A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0.232</w:t>
            </w:r>
          </w:p>
        </w:tc>
      </w:tr>
      <w:tr w:rsidR="003652F3" w:rsidRPr="00E30C60" w14:paraId="546F9E20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C4E3066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BMI, kg/m</w:t>
            </w: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vertAlign w:val="superscript"/>
                <w:lang w:eastAsia="nl-BE"/>
              </w:rPr>
              <w:t>2</w:t>
            </w:r>
          </w:p>
        </w:tc>
        <w:tc>
          <w:tcPr>
            <w:tcW w:w="2303" w:type="dxa"/>
          </w:tcPr>
          <w:p w14:paraId="6EA385B4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27.3 [24.6 - 30.0]</w:t>
            </w:r>
          </w:p>
        </w:tc>
        <w:tc>
          <w:tcPr>
            <w:tcW w:w="2303" w:type="dxa"/>
          </w:tcPr>
          <w:p w14:paraId="124D43A1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25.2 [22.6 - 28.4]</w:t>
            </w:r>
          </w:p>
        </w:tc>
        <w:tc>
          <w:tcPr>
            <w:tcW w:w="2303" w:type="dxa"/>
          </w:tcPr>
          <w:p w14:paraId="39282712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0.002</w:t>
            </w:r>
          </w:p>
        </w:tc>
      </w:tr>
      <w:tr w:rsidR="003652F3" w:rsidRPr="00E30C60" w14:paraId="09C3E257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5912217E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Obesity, n (%)</w:t>
            </w:r>
          </w:p>
        </w:tc>
        <w:tc>
          <w:tcPr>
            <w:tcW w:w="2303" w:type="dxa"/>
          </w:tcPr>
          <w:p w14:paraId="279BBFE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16 (27.6)</w:t>
            </w:r>
          </w:p>
        </w:tc>
        <w:tc>
          <w:tcPr>
            <w:tcW w:w="2303" w:type="dxa"/>
          </w:tcPr>
          <w:p w14:paraId="1D1D042A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103 (17.1)</w:t>
            </w:r>
          </w:p>
        </w:tc>
        <w:tc>
          <w:tcPr>
            <w:tcW w:w="2303" w:type="dxa"/>
          </w:tcPr>
          <w:p w14:paraId="7D358889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0.004</w:t>
            </w:r>
          </w:p>
        </w:tc>
      </w:tr>
      <w:tr w:rsidR="003652F3" w:rsidRPr="00E30C60" w14:paraId="21FE9421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ACECCBE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WC, cm</w:t>
            </w:r>
          </w:p>
          <w:p w14:paraId="2A916426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Males</w:t>
            </w:r>
          </w:p>
          <w:p w14:paraId="26BBD874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Females</w:t>
            </w:r>
          </w:p>
        </w:tc>
        <w:tc>
          <w:tcPr>
            <w:tcW w:w="2303" w:type="dxa"/>
          </w:tcPr>
          <w:p w14:paraId="0F6B9B08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2E2740EC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101.2 ± 13.3</w:t>
            </w:r>
          </w:p>
          <w:p w14:paraId="32F26E5C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97.1 ± 13.6</w:t>
            </w:r>
          </w:p>
        </w:tc>
        <w:tc>
          <w:tcPr>
            <w:tcW w:w="2303" w:type="dxa"/>
          </w:tcPr>
          <w:p w14:paraId="198083FC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725415BD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93.9 ± 13.0</w:t>
            </w:r>
          </w:p>
          <w:p w14:paraId="1ED2E089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85.6 ± 13.8</w:t>
            </w:r>
          </w:p>
        </w:tc>
        <w:tc>
          <w:tcPr>
            <w:tcW w:w="2303" w:type="dxa"/>
          </w:tcPr>
          <w:p w14:paraId="1AFC9867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676F5679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  <w:p w14:paraId="35553C7F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5E5057B7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E856E1C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BP, mm Hg</w:t>
            </w:r>
          </w:p>
          <w:p w14:paraId="1FDE03E3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Systolic</w:t>
            </w:r>
          </w:p>
          <w:p w14:paraId="2347DB88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Diastolic</w:t>
            </w:r>
          </w:p>
        </w:tc>
        <w:tc>
          <w:tcPr>
            <w:tcW w:w="2303" w:type="dxa"/>
          </w:tcPr>
          <w:p w14:paraId="16BDAF80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060272BB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144 ± 18</w:t>
            </w:r>
          </w:p>
          <w:p w14:paraId="26F83060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77 ± 11</w:t>
            </w:r>
          </w:p>
        </w:tc>
        <w:tc>
          <w:tcPr>
            <w:tcW w:w="2303" w:type="dxa"/>
          </w:tcPr>
          <w:p w14:paraId="1A648E7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1EB96E67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133 ± 17</w:t>
            </w:r>
          </w:p>
          <w:p w14:paraId="4ACD27BB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79 ± 9</w:t>
            </w:r>
          </w:p>
        </w:tc>
        <w:tc>
          <w:tcPr>
            <w:tcW w:w="2303" w:type="dxa"/>
          </w:tcPr>
          <w:p w14:paraId="3B7A014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528F100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  <w:p w14:paraId="5566A838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0.314</w:t>
            </w:r>
          </w:p>
        </w:tc>
      </w:tr>
      <w:tr w:rsidR="003652F3" w:rsidRPr="00E30C60" w14:paraId="71A29AB2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B41EC7C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Antihypertensive drug use, n (%)</w:t>
            </w:r>
          </w:p>
        </w:tc>
        <w:tc>
          <w:tcPr>
            <w:tcW w:w="2303" w:type="dxa"/>
          </w:tcPr>
          <w:p w14:paraId="3B1A2531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45 (77.6)</w:t>
            </w:r>
          </w:p>
        </w:tc>
        <w:tc>
          <w:tcPr>
            <w:tcW w:w="2303" w:type="dxa"/>
          </w:tcPr>
          <w:p w14:paraId="7511A1F6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207 (34.7)</w:t>
            </w:r>
          </w:p>
        </w:tc>
        <w:tc>
          <w:tcPr>
            <w:tcW w:w="2303" w:type="dxa"/>
          </w:tcPr>
          <w:p w14:paraId="407F606A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206C4F76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61596DA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ACE-inhibition, n (%)</w:t>
            </w:r>
          </w:p>
        </w:tc>
        <w:tc>
          <w:tcPr>
            <w:tcW w:w="2303" w:type="dxa"/>
          </w:tcPr>
          <w:p w14:paraId="0548EA29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34 (58.6)</w:t>
            </w:r>
          </w:p>
        </w:tc>
        <w:tc>
          <w:tcPr>
            <w:tcW w:w="2303" w:type="dxa"/>
          </w:tcPr>
          <w:p w14:paraId="594BECE0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177 (29.8)</w:t>
            </w:r>
          </w:p>
        </w:tc>
        <w:tc>
          <w:tcPr>
            <w:tcW w:w="2303" w:type="dxa"/>
          </w:tcPr>
          <w:p w14:paraId="50CB403D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44B913FD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76311989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Hypertension, n (%)</w:t>
            </w:r>
          </w:p>
        </w:tc>
        <w:tc>
          <w:tcPr>
            <w:tcW w:w="2303" w:type="dxa"/>
          </w:tcPr>
          <w:p w14:paraId="54AD9B66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50 (86.2)</w:t>
            </w:r>
          </w:p>
        </w:tc>
        <w:tc>
          <w:tcPr>
            <w:tcW w:w="2303" w:type="dxa"/>
          </w:tcPr>
          <w:p w14:paraId="232F70FF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323 (53.7)</w:t>
            </w:r>
          </w:p>
        </w:tc>
        <w:tc>
          <w:tcPr>
            <w:tcW w:w="2303" w:type="dxa"/>
          </w:tcPr>
          <w:p w14:paraId="6E0EB16A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025EEC7D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B409AB8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MetS, n (%)</w:t>
            </w:r>
          </w:p>
        </w:tc>
        <w:tc>
          <w:tcPr>
            <w:tcW w:w="2303" w:type="dxa"/>
          </w:tcPr>
          <w:p w14:paraId="487C3519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37 (63.8)</w:t>
            </w:r>
          </w:p>
        </w:tc>
        <w:tc>
          <w:tcPr>
            <w:tcW w:w="2303" w:type="dxa"/>
          </w:tcPr>
          <w:p w14:paraId="600DD905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159 (26.5)</w:t>
            </w:r>
          </w:p>
        </w:tc>
        <w:tc>
          <w:tcPr>
            <w:tcW w:w="2303" w:type="dxa"/>
          </w:tcPr>
          <w:p w14:paraId="0E4B85F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7D07C31E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EA31AC8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lastRenderedPageBreak/>
              <w:t>Creatinine, mg/dL</w:t>
            </w:r>
          </w:p>
        </w:tc>
        <w:tc>
          <w:tcPr>
            <w:tcW w:w="2303" w:type="dxa"/>
          </w:tcPr>
          <w:p w14:paraId="224713F2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0.93 [0.77 - 1.17]</w:t>
            </w:r>
          </w:p>
        </w:tc>
        <w:tc>
          <w:tcPr>
            <w:tcW w:w="2303" w:type="dxa"/>
          </w:tcPr>
          <w:p w14:paraId="1BD4F89E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0.75 [0.66 - 0.85]</w:t>
            </w:r>
          </w:p>
        </w:tc>
        <w:tc>
          <w:tcPr>
            <w:tcW w:w="2303" w:type="dxa"/>
          </w:tcPr>
          <w:p w14:paraId="545286BC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2F1412EB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2DD55A86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eGFR, mL/min/1.73m</w:t>
            </w: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vertAlign w:val="superscript"/>
                <w:lang w:eastAsia="nl-BE"/>
              </w:rPr>
              <w:t>2</w:t>
            </w:r>
          </w:p>
        </w:tc>
        <w:tc>
          <w:tcPr>
            <w:tcW w:w="2303" w:type="dxa"/>
          </w:tcPr>
          <w:p w14:paraId="6CFE8DA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86 [56 - 96]</w:t>
            </w:r>
          </w:p>
        </w:tc>
        <w:tc>
          <w:tcPr>
            <w:tcW w:w="2303" w:type="dxa"/>
          </w:tcPr>
          <w:p w14:paraId="7C8C8093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107 [93 - 120]</w:t>
            </w:r>
          </w:p>
        </w:tc>
        <w:tc>
          <w:tcPr>
            <w:tcW w:w="2303" w:type="dxa"/>
          </w:tcPr>
          <w:p w14:paraId="352D8A01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7DF87E4E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02690F2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HbA1c, %</w:t>
            </w:r>
          </w:p>
        </w:tc>
        <w:tc>
          <w:tcPr>
            <w:tcW w:w="2303" w:type="dxa"/>
          </w:tcPr>
          <w:p w14:paraId="52936A02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7.4 [6.7 - 8.2]</w:t>
            </w:r>
          </w:p>
        </w:tc>
        <w:tc>
          <w:tcPr>
            <w:tcW w:w="2303" w:type="dxa"/>
          </w:tcPr>
          <w:p w14:paraId="7C569D40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7.4 [6.8 - 8.0]</w:t>
            </w:r>
          </w:p>
        </w:tc>
        <w:tc>
          <w:tcPr>
            <w:tcW w:w="2303" w:type="dxa"/>
          </w:tcPr>
          <w:p w14:paraId="21DB87E1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0.790</w:t>
            </w:r>
          </w:p>
        </w:tc>
      </w:tr>
      <w:tr w:rsidR="003652F3" w:rsidRPr="00E30C60" w14:paraId="555663F7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1125FAF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HbA1c, mmol/mol</w:t>
            </w:r>
          </w:p>
        </w:tc>
        <w:tc>
          <w:tcPr>
            <w:tcW w:w="2303" w:type="dxa"/>
          </w:tcPr>
          <w:p w14:paraId="78EDA565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57.4 [49.7 - 66.4]</w:t>
            </w:r>
          </w:p>
        </w:tc>
        <w:tc>
          <w:tcPr>
            <w:tcW w:w="2303" w:type="dxa"/>
          </w:tcPr>
          <w:p w14:paraId="4FEF1850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57.4 [50.8 - 63.9]</w:t>
            </w:r>
          </w:p>
        </w:tc>
        <w:tc>
          <w:tcPr>
            <w:tcW w:w="2303" w:type="dxa"/>
          </w:tcPr>
          <w:p w14:paraId="2284A263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0.790</w:t>
            </w:r>
          </w:p>
        </w:tc>
      </w:tr>
      <w:tr w:rsidR="003652F3" w:rsidRPr="00E30C60" w14:paraId="11F6D4F7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6E45D6D1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AST, IU/L</w:t>
            </w:r>
          </w:p>
        </w:tc>
        <w:tc>
          <w:tcPr>
            <w:tcW w:w="2303" w:type="dxa"/>
          </w:tcPr>
          <w:p w14:paraId="084EF2D6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24 [21 - 30]</w:t>
            </w:r>
          </w:p>
        </w:tc>
        <w:tc>
          <w:tcPr>
            <w:tcW w:w="2303" w:type="dxa"/>
          </w:tcPr>
          <w:p w14:paraId="57C6A63A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21 [17 - 26]</w:t>
            </w:r>
          </w:p>
        </w:tc>
        <w:tc>
          <w:tcPr>
            <w:tcW w:w="2303" w:type="dxa"/>
          </w:tcPr>
          <w:p w14:paraId="7AE3D888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48969D99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554CF70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ALT, IU/L</w:t>
            </w:r>
          </w:p>
        </w:tc>
        <w:tc>
          <w:tcPr>
            <w:tcW w:w="2303" w:type="dxa"/>
          </w:tcPr>
          <w:p w14:paraId="61A6CF0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24 [19 - 34]</w:t>
            </w:r>
          </w:p>
        </w:tc>
        <w:tc>
          <w:tcPr>
            <w:tcW w:w="2303" w:type="dxa"/>
          </w:tcPr>
          <w:p w14:paraId="576058F7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21 [16 - 28]</w:t>
            </w:r>
          </w:p>
        </w:tc>
        <w:tc>
          <w:tcPr>
            <w:tcW w:w="2303" w:type="dxa"/>
          </w:tcPr>
          <w:p w14:paraId="2641E26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0.020</w:t>
            </w:r>
          </w:p>
        </w:tc>
      </w:tr>
      <w:tr w:rsidR="003652F3" w:rsidRPr="00E30C60" w14:paraId="697DDDFD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5528C1CF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GGT, IU/L</w:t>
            </w:r>
          </w:p>
        </w:tc>
        <w:tc>
          <w:tcPr>
            <w:tcW w:w="2303" w:type="dxa"/>
          </w:tcPr>
          <w:p w14:paraId="17A00A21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24 [18 - 39]</w:t>
            </w:r>
          </w:p>
        </w:tc>
        <w:tc>
          <w:tcPr>
            <w:tcW w:w="2303" w:type="dxa"/>
          </w:tcPr>
          <w:p w14:paraId="71B144FD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20 [15 - 30]</w:t>
            </w:r>
          </w:p>
        </w:tc>
        <w:tc>
          <w:tcPr>
            <w:tcW w:w="2303" w:type="dxa"/>
          </w:tcPr>
          <w:p w14:paraId="38B0962C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0.002</w:t>
            </w:r>
          </w:p>
        </w:tc>
      </w:tr>
      <w:tr w:rsidR="003652F3" w:rsidRPr="00E30C60" w14:paraId="4869BB9D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1CBA221B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TG, mg/dL</w:t>
            </w:r>
          </w:p>
        </w:tc>
        <w:tc>
          <w:tcPr>
            <w:tcW w:w="2303" w:type="dxa"/>
          </w:tcPr>
          <w:p w14:paraId="2BBB2E91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95 [73 - 135]</w:t>
            </w:r>
          </w:p>
        </w:tc>
        <w:tc>
          <w:tcPr>
            <w:tcW w:w="2303" w:type="dxa"/>
          </w:tcPr>
          <w:p w14:paraId="46F6327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76 [59 - 100]</w:t>
            </w:r>
          </w:p>
        </w:tc>
        <w:tc>
          <w:tcPr>
            <w:tcW w:w="2303" w:type="dxa"/>
          </w:tcPr>
          <w:p w14:paraId="6DFAC523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0.110</w:t>
            </w:r>
          </w:p>
        </w:tc>
      </w:tr>
      <w:tr w:rsidR="003652F3" w:rsidRPr="00E30C60" w14:paraId="747B31EA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1B4F3F18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Tot Chol, mg/dL</w:t>
            </w:r>
          </w:p>
        </w:tc>
        <w:tc>
          <w:tcPr>
            <w:tcW w:w="2303" w:type="dxa"/>
          </w:tcPr>
          <w:p w14:paraId="4A343304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155 ± 36</w:t>
            </w:r>
          </w:p>
        </w:tc>
        <w:tc>
          <w:tcPr>
            <w:tcW w:w="2303" w:type="dxa"/>
          </w:tcPr>
          <w:p w14:paraId="4F95FC3D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174 ± 33</w:t>
            </w:r>
          </w:p>
        </w:tc>
        <w:tc>
          <w:tcPr>
            <w:tcW w:w="2303" w:type="dxa"/>
          </w:tcPr>
          <w:p w14:paraId="47FA9D8E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719299E3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536DC57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HDL, mg/dL</w:t>
            </w:r>
          </w:p>
          <w:p w14:paraId="14AFB2AD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Males</w:t>
            </w:r>
          </w:p>
          <w:p w14:paraId="33664BC0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Females</w:t>
            </w:r>
          </w:p>
        </w:tc>
        <w:tc>
          <w:tcPr>
            <w:tcW w:w="2303" w:type="dxa"/>
          </w:tcPr>
          <w:p w14:paraId="7674C15D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782B0AF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54 ± 16</w:t>
            </w:r>
          </w:p>
          <w:p w14:paraId="26507B13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66 ±16</w:t>
            </w:r>
          </w:p>
        </w:tc>
        <w:tc>
          <w:tcPr>
            <w:tcW w:w="2303" w:type="dxa"/>
          </w:tcPr>
          <w:p w14:paraId="788E5D8B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</w:p>
          <w:p w14:paraId="08A78EF1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56 ± 14</w:t>
            </w:r>
          </w:p>
          <w:p w14:paraId="1F236754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70 ± 18</w:t>
            </w:r>
          </w:p>
        </w:tc>
        <w:tc>
          <w:tcPr>
            <w:tcW w:w="2303" w:type="dxa"/>
          </w:tcPr>
          <w:p w14:paraId="2C3FC8B3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</w:p>
          <w:p w14:paraId="260343EF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0.505</w:t>
            </w:r>
          </w:p>
          <w:p w14:paraId="6651F78C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0.370</w:t>
            </w:r>
          </w:p>
        </w:tc>
      </w:tr>
      <w:tr w:rsidR="003652F3" w:rsidRPr="00E30C60" w14:paraId="3F28A8E7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2026861D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LDL, mg/dL</w:t>
            </w:r>
          </w:p>
        </w:tc>
        <w:tc>
          <w:tcPr>
            <w:tcW w:w="2303" w:type="dxa"/>
          </w:tcPr>
          <w:p w14:paraId="00F3C8B3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80 [63 - 101]</w:t>
            </w:r>
          </w:p>
        </w:tc>
        <w:tc>
          <w:tcPr>
            <w:tcW w:w="2303" w:type="dxa"/>
          </w:tcPr>
          <w:p w14:paraId="23673D6A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97 [79 - 117]</w:t>
            </w:r>
          </w:p>
        </w:tc>
        <w:tc>
          <w:tcPr>
            <w:tcW w:w="2303" w:type="dxa"/>
          </w:tcPr>
          <w:p w14:paraId="4AABE2CD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4170EB24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15E48096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Statin use, n (%)</w:t>
            </w:r>
          </w:p>
        </w:tc>
        <w:tc>
          <w:tcPr>
            <w:tcW w:w="2303" w:type="dxa"/>
          </w:tcPr>
          <w:p w14:paraId="7A25A5B9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50 (86.2)</w:t>
            </w:r>
          </w:p>
        </w:tc>
        <w:tc>
          <w:tcPr>
            <w:tcW w:w="2303" w:type="dxa"/>
          </w:tcPr>
          <w:p w14:paraId="1153A2FF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231 (38.4)</w:t>
            </w:r>
          </w:p>
        </w:tc>
        <w:tc>
          <w:tcPr>
            <w:tcW w:w="2303" w:type="dxa"/>
          </w:tcPr>
          <w:p w14:paraId="50A0BC9E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15D3AFA3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23F99394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Urinary albuminuria rate, µg/min</w:t>
            </w:r>
            <w:r w:rsidRPr="00E30C60">
              <w:rPr>
                <w:rFonts w:ascii="Arial" w:hAnsi="Arial" w:cs="Arial"/>
                <w:sz w:val="24"/>
                <w:szCs w:val="24"/>
                <w:vertAlign w:val="superscript"/>
                <w:lang w:eastAsia="nl-BE"/>
              </w:rPr>
              <w:t>+</w:t>
            </w:r>
          </w:p>
        </w:tc>
        <w:tc>
          <w:tcPr>
            <w:tcW w:w="2303" w:type="dxa"/>
          </w:tcPr>
          <w:p w14:paraId="389F63E4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10 [2.74 - 36.65]</w:t>
            </w:r>
          </w:p>
        </w:tc>
        <w:tc>
          <w:tcPr>
            <w:tcW w:w="2303" w:type="dxa"/>
          </w:tcPr>
          <w:p w14:paraId="55C7F479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3.5 [2.1 - 7.0]</w:t>
            </w:r>
          </w:p>
        </w:tc>
        <w:tc>
          <w:tcPr>
            <w:tcW w:w="2303" w:type="dxa"/>
          </w:tcPr>
          <w:p w14:paraId="72FAAD35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3344760E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7505AA8C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Microalbuminuria, n (%)</w:t>
            </w:r>
            <w:r w:rsidRPr="00E30C60">
              <w:rPr>
                <w:rFonts w:ascii="Arial" w:hAnsi="Arial" w:cs="Arial"/>
                <w:sz w:val="24"/>
                <w:szCs w:val="24"/>
                <w:vertAlign w:val="superscript"/>
                <w:lang w:eastAsia="nl-BE"/>
              </w:rPr>
              <w:t>+</w:t>
            </w:r>
          </w:p>
        </w:tc>
        <w:tc>
          <w:tcPr>
            <w:tcW w:w="2303" w:type="dxa"/>
          </w:tcPr>
          <w:p w14:paraId="756CAEBF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24 (42.9)</w:t>
            </w:r>
          </w:p>
        </w:tc>
        <w:tc>
          <w:tcPr>
            <w:tcW w:w="2303" w:type="dxa"/>
          </w:tcPr>
          <w:p w14:paraId="6578D92F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51 (8.6)</w:t>
            </w:r>
          </w:p>
        </w:tc>
        <w:tc>
          <w:tcPr>
            <w:tcW w:w="2303" w:type="dxa"/>
          </w:tcPr>
          <w:p w14:paraId="6830CD64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7F4B5820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6471D32C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eGDR (mg/kg/min)</w:t>
            </w:r>
          </w:p>
        </w:tc>
        <w:tc>
          <w:tcPr>
            <w:tcW w:w="2303" w:type="dxa"/>
          </w:tcPr>
          <w:p w14:paraId="7DBF21E3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4.74 [3.63 - 5.91]</w:t>
            </w:r>
          </w:p>
        </w:tc>
        <w:tc>
          <w:tcPr>
            <w:tcW w:w="2303" w:type="dxa"/>
          </w:tcPr>
          <w:p w14:paraId="2883F8AD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6.16 [4.90 - 8.66]</w:t>
            </w:r>
          </w:p>
        </w:tc>
        <w:tc>
          <w:tcPr>
            <w:tcW w:w="2303" w:type="dxa"/>
          </w:tcPr>
          <w:p w14:paraId="69E7DE62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70D01717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880AD81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MASLD, n (%)</w:t>
            </w:r>
          </w:p>
        </w:tc>
        <w:tc>
          <w:tcPr>
            <w:tcW w:w="2303" w:type="dxa"/>
          </w:tcPr>
          <w:p w14:paraId="4B8CD44D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21 (36.2)</w:t>
            </w:r>
          </w:p>
        </w:tc>
        <w:tc>
          <w:tcPr>
            <w:tcW w:w="2303" w:type="dxa"/>
          </w:tcPr>
          <w:p w14:paraId="74B96EC7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90 (15.0)</w:t>
            </w:r>
          </w:p>
        </w:tc>
        <w:tc>
          <w:tcPr>
            <w:tcW w:w="2303" w:type="dxa"/>
          </w:tcPr>
          <w:p w14:paraId="08DBBC36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5E260085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7A12C563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CAP</w:t>
            </w:r>
            <w:r w:rsidRPr="00E30C60">
              <w:rPr>
                <w:rFonts w:ascii="Arial" w:hAnsi="Arial" w:cs="Arial"/>
                <w:sz w:val="24"/>
                <w:szCs w:val="24"/>
                <w:vertAlign w:val="superscript"/>
                <w:lang w:eastAsia="nl-BE"/>
              </w:rPr>
              <w:t>TM</w:t>
            </w: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, dB/m*</w:t>
            </w:r>
          </w:p>
        </w:tc>
        <w:tc>
          <w:tcPr>
            <w:tcW w:w="2303" w:type="dxa"/>
          </w:tcPr>
          <w:p w14:paraId="3D2B66DE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241 ± 52</w:t>
            </w:r>
          </w:p>
        </w:tc>
        <w:tc>
          <w:tcPr>
            <w:tcW w:w="2303" w:type="dxa"/>
          </w:tcPr>
          <w:p w14:paraId="45162EE3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227 ± 57</w:t>
            </w:r>
          </w:p>
        </w:tc>
        <w:tc>
          <w:tcPr>
            <w:tcW w:w="2303" w:type="dxa"/>
          </w:tcPr>
          <w:p w14:paraId="7F1184F1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0.088</w:t>
            </w:r>
          </w:p>
        </w:tc>
      </w:tr>
      <w:tr w:rsidR="003652F3" w:rsidRPr="00E30C60" w14:paraId="0892DB92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72EEC89A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LSM, kPa*</w:t>
            </w:r>
          </w:p>
        </w:tc>
        <w:tc>
          <w:tcPr>
            <w:tcW w:w="2303" w:type="dxa"/>
          </w:tcPr>
          <w:p w14:paraId="4D92B76D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4.9 [4.2 - 5.93]</w:t>
            </w:r>
          </w:p>
        </w:tc>
        <w:tc>
          <w:tcPr>
            <w:tcW w:w="2303" w:type="dxa"/>
          </w:tcPr>
          <w:p w14:paraId="1093B7A1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4.8 [4.0 - 5.9]</w:t>
            </w:r>
          </w:p>
        </w:tc>
        <w:tc>
          <w:tcPr>
            <w:tcW w:w="2303" w:type="dxa"/>
          </w:tcPr>
          <w:p w14:paraId="0DF8459A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0.596</w:t>
            </w:r>
          </w:p>
        </w:tc>
      </w:tr>
      <w:tr w:rsidR="003652F3" w:rsidRPr="00E30C60" w14:paraId="0A6C9B10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4FE337A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lastRenderedPageBreak/>
              <w:t>LSM ≥ 8.0 kPa, n (%)*</w:t>
            </w:r>
          </w:p>
        </w:tc>
        <w:tc>
          <w:tcPr>
            <w:tcW w:w="2303" w:type="dxa"/>
          </w:tcPr>
          <w:p w14:paraId="27099515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 (6.3)</w:t>
            </w:r>
          </w:p>
        </w:tc>
        <w:tc>
          <w:tcPr>
            <w:tcW w:w="2303" w:type="dxa"/>
          </w:tcPr>
          <w:p w14:paraId="35A8FE3A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24 (4.3)</w:t>
            </w:r>
          </w:p>
        </w:tc>
        <w:tc>
          <w:tcPr>
            <w:tcW w:w="2303" w:type="dxa"/>
          </w:tcPr>
          <w:p w14:paraId="2F2DC85E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0.520</w:t>
            </w:r>
          </w:p>
        </w:tc>
      </w:tr>
      <w:tr w:rsidR="003652F3" w:rsidRPr="00E30C60" w14:paraId="66D92D64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03857149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FIB-4 score</w:t>
            </w:r>
          </w:p>
        </w:tc>
        <w:tc>
          <w:tcPr>
            <w:tcW w:w="2303" w:type="dxa"/>
          </w:tcPr>
          <w:p w14:paraId="3157A109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1.31 [1.00 - 1.60]</w:t>
            </w:r>
          </w:p>
        </w:tc>
        <w:tc>
          <w:tcPr>
            <w:tcW w:w="2303" w:type="dxa"/>
          </w:tcPr>
          <w:p w14:paraId="09C9B3DC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0.72 [0.48 - 1.06]</w:t>
            </w:r>
          </w:p>
        </w:tc>
        <w:tc>
          <w:tcPr>
            <w:tcW w:w="2303" w:type="dxa"/>
          </w:tcPr>
          <w:p w14:paraId="1A05AD61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17E409F0" w14:textId="77777777" w:rsidTr="002A0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4AF3649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CKD, n (%)</w:t>
            </w:r>
            <w:r w:rsidRPr="00E30C60">
              <w:rPr>
                <w:rFonts w:ascii="Arial" w:hAnsi="Arial" w:cs="Arial"/>
                <w:sz w:val="24"/>
                <w:szCs w:val="24"/>
                <w:vertAlign w:val="superscript"/>
                <w:lang w:eastAsia="nl-BE"/>
              </w:rPr>
              <w:t>+</w:t>
            </w:r>
          </w:p>
        </w:tc>
        <w:tc>
          <w:tcPr>
            <w:tcW w:w="2303" w:type="dxa"/>
          </w:tcPr>
          <w:p w14:paraId="40C26A02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30 (52.6)</w:t>
            </w:r>
          </w:p>
        </w:tc>
        <w:tc>
          <w:tcPr>
            <w:tcW w:w="2303" w:type="dxa"/>
          </w:tcPr>
          <w:p w14:paraId="7D69A03F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67 (11.4)</w:t>
            </w:r>
          </w:p>
        </w:tc>
        <w:tc>
          <w:tcPr>
            <w:tcW w:w="2303" w:type="dxa"/>
          </w:tcPr>
          <w:p w14:paraId="583582B4" w14:textId="77777777" w:rsidR="003652F3" w:rsidRPr="00E30C60" w:rsidRDefault="003652F3" w:rsidP="002A09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  <w:tr w:rsidR="003652F3" w:rsidRPr="00E30C60" w14:paraId="7CBA08BD" w14:textId="77777777" w:rsidTr="002A09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225DE7CC" w14:textId="77777777" w:rsidR="003652F3" w:rsidRPr="00E30C60" w:rsidRDefault="003652F3" w:rsidP="002A09D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 w:val="0"/>
                <w:bCs w:val="0"/>
                <w:sz w:val="24"/>
                <w:szCs w:val="24"/>
                <w:lang w:eastAsia="nl-BE"/>
              </w:rPr>
              <w:t>Retinopathy, n (%)</w:t>
            </w:r>
            <w:r w:rsidRPr="00E30C60">
              <w:rPr>
                <w:rFonts w:ascii="Arial" w:hAnsi="Arial" w:cs="Arial"/>
                <w:sz w:val="24"/>
                <w:szCs w:val="24"/>
                <w:vertAlign w:val="superscript"/>
                <w:lang w:eastAsia="nl-BE"/>
              </w:rPr>
              <w:t>Δ</w:t>
            </w:r>
          </w:p>
        </w:tc>
        <w:tc>
          <w:tcPr>
            <w:tcW w:w="2303" w:type="dxa"/>
          </w:tcPr>
          <w:p w14:paraId="07924C03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53 (49.1)</w:t>
            </w:r>
          </w:p>
        </w:tc>
        <w:tc>
          <w:tcPr>
            <w:tcW w:w="2303" w:type="dxa"/>
          </w:tcPr>
          <w:p w14:paraId="127ACCD5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sz w:val="24"/>
                <w:szCs w:val="24"/>
                <w:lang w:eastAsia="nl-BE"/>
              </w:rPr>
              <w:t>224 (41.9)</w:t>
            </w:r>
          </w:p>
        </w:tc>
        <w:tc>
          <w:tcPr>
            <w:tcW w:w="2303" w:type="dxa"/>
          </w:tcPr>
          <w:p w14:paraId="0C10D4A2" w14:textId="77777777" w:rsidR="003652F3" w:rsidRPr="00E30C60" w:rsidRDefault="003652F3" w:rsidP="002A09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</w:pPr>
            <w:r w:rsidRPr="00E30C60">
              <w:rPr>
                <w:rFonts w:ascii="Arial" w:hAnsi="Arial" w:cs="Arial"/>
                <w:b/>
                <w:bCs/>
                <w:sz w:val="24"/>
                <w:szCs w:val="24"/>
                <w:lang w:eastAsia="nl-BE"/>
              </w:rPr>
              <w:t>&lt; 0.001</w:t>
            </w:r>
          </w:p>
        </w:tc>
      </w:tr>
    </w:tbl>
    <w:p w14:paraId="66917F3F" w14:textId="34D11807" w:rsidR="00105197" w:rsidRPr="00E30C60" w:rsidRDefault="003652F3" w:rsidP="003652F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E30C60">
        <w:rPr>
          <w:rFonts w:ascii="Arial" w:hAnsi="Arial" w:cs="Arial"/>
          <w:sz w:val="24"/>
          <w:szCs w:val="24"/>
        </w:rPr>
        <w:t>Results are given as mean ± SD, median [IQR] or n (%). Comparison between groups with independent samples T-test for normally distributed variables, Mann-Whitney U test for variables without normal distribution, and Chi-square test or Fisher’s exact test for categorical variables. ASCVD, cardiovascular disease defined as a compound of any of the following major cardiovascular events: coronary artery disease (CAD), peripheral arterial disease in need of intervention (PAD), or ischemic cerebrovascular event (CVA); TDI, total daily dose of insulin; GLP-1 RA, glucagon-like peptide receptor agonist; WC, waist circumference; BP, blood pressure; ACE, angiotensin-converting enzyme, sum of ACE-inhibitor or angiotensin receptor blockers; MetS, metabolic syndrome; eGFR, estimated glomerular filtration rate; HbA1c, haemoglobin A1c; AST, aspartate aminotransferase; ALT, alanine aminotransferase; GGT, gamma-glutamyl transferase; TG, triglycerides; Tot Chol, total cholesterol level; HDL, high-density lipoprotein; LDL, low-density lipoprotein; eGDR, estimated glucose disposal rate; MASLD, metabolic dysfunction-associated steatotic liver disease; CAP</w:t>
      </w:r>
      <w:r w:rsidRPr="00E30C60">
        <w:rPr>
          <w:rFonts w:ascii="Arial" w:hAnsi="Arial" w:cs="Arial"/>
          <w:sz w:val="24"/>
          <w:szCs w:val="24"/>
          <w:vertAlign w:val="superscript"/>
        </w:rPr>
        <w:t>TM</w:t>
      </w:r>
      <w:r w:rsidRPr="00E30C60">
        <w:rPr>
          <w:rFonts w:ascii="Arial" w:hAnsi="Arial" w:cs="Arial"/>
          <w:sz w:val="24"/>
          <w:szCs w:val="24"/>
        </w:rPr>
        <w:t>, controlled attenuation parameter; LSM, liver stiffness measurement; CKD, chronic liver disease defined by defined as eGFR &lt; 60 mL/min/1.73m</w:t>
      </w:r>
      <w:r w:rsidRPr="00E30C60">
        <w:rPr>
          <w:rFonts w:ascii="Arial" w:hAnsi="Arial" w:cs="Arial"/>
          <w:sz w:val="24"/>
          <w:szCs w:val="24"/>
          <w:vertAlign w:val="superscript"/>
        </w:rPr>
        <w:t>2</w:t>
      </w:r>
      <w:r w:rsidRPr="00E30C60">
        <w:rPr>
          <w:rFonts w:ascii="Arial" w:hAnsi="Arial" w:cs="Arial"/>
          <w:sz w:val="24"/>
          <w:szCs w:val="24"/>
        </w:rPr>
        <w:t xml:space="preserve"> and/or albuminuria (albumin excretion rate &gt; 30 mg/g) in the absence of other readily available diagnosis other than diabetes. </w:t>
      </w:r>
      <w:r w:rsidR="00105197" w:rsidRPr="009B489B">
        <w:rPr>
          <w:rFonts w:ascii="Arial" w:hAnsi="Arial" w:cs="Arial"/>
          <w:sz w:val="24"/>
          <w:szCs w:val="24"/>
          <w:vertAlign w:val="superscript"/>
        </w:rPr>
        <w:t>§</w:t>
      </w:r>
      <w:r w:rsidR="00105197" w:rsidRPr="00A33151">
        <w:rPr>
          <w:rFonts w:ascii="Arial" w:hAnsi="Arial" w:cs="Arial"/>
          <w:sz w:val="24"/>
          <w:szCs w:val="24"/>
        </w:rPr>
        <w:t xml:space="preserve">TDI available </w:t>
      </w:r>
      <w:r w:rsidR="00105197" w:rsidRPr="00A33151">
        <w:rPr>
          <w:rFonts w:ascii="Arial" w:eastAsia="Calibri" w:hAnsi="Arial" w:cs="Arial"/>
          <w:sz w:val="24"/>
          <w:szCs w:val="24"/>
        </w:rPr>
        <w:t>for</w:t>
      </w:r>
      <w:r w:rsidR="00105197" w:rsidRPr="00A33151">
        <w:rPr>
          <w:rFonts w:ascii="Arial" w:hAnsi="Arial" w:cs="Arial"/>
          <w:sz w:val="24"/>
          <w:szCs w:val="24"/>
        </w:rPr>
        <w:t xml:space="preserve"> 557 subjects. *VCTE available </w:t>
      </w:r>
      <w:r w:rsidR="00105197" w:rsidRPr="00A33151">
        <w:rPr>
          <w:rFonts w:ascii="Arial" w:eastAsia="Calibri" w:hAnsi="Arial" w:cs="Arial"/>
          <w:sz w:val="24"/>
          <w:szCs w:val="24"/>
        </w:rPr>
        <w:t>for</w:t>
      </w:r>
      <w:r w:rsidR="00105197" w:rsidRPr="00A33151">
        <w:rPr>
          <w:rFonts w:ascii="Arial" w:hAnsi="Arial" w:cs="Arial"/>
          <w:sz w:val="24"/>
          <w:szCs w:val="24"/>
        </w:rPr>
        <w:t xml:space="preserve"> 605 subjects,</w:t>
      </w:r>
      <w:r w:rsidR="00105197" w:rsidRPr="00107DB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105197" w:rsidRPr="00107DBF">
        <w:rPr>
          <w:rFonts w:ascii="Arial" w:eastAsia="Calibri" w:hAnsi="Arial" w:cs="Arial"/>
          <w:sz w:val="24"/>
          <w:szCs w:val="24"/>
          <w:vertAlign w:val="superscript"/>
        </w:rPr>
        <w:t>+</w:t>
      </w:r>
      <w:r w:rsidR="00105197" w:rsidRPr="00A33151">
        <w:rPr>
          <w:rFonts w:ascii="Arial" w:eastAsia="Calibri" w:hAnsi="Arial" w:cs="Arial"/>
          <w:sz w:val="24"/>
          <w:szCs w:val="24"/>
        </w:rPr>
        <w:t>24h</w:t>
      </w:r>
      <w:r w:rsidR="00105197" w:rsidRPr="00A33151">
        <w:rPr>
          <w:rFonts w:ascii="Arial" w:hAnsi="Arial" w:cs="Arial"/>
          <w:sz w:val="24"/>
          <w:szCs w:val="24"/>
        </w:rPr>
        <w:t xml:space="preserve"> urine collection available </w:t>
      </w:r>
      <w:r w:rsidR="00105197" w:rsidRPr="00A33151">
        <w:rPr>
          <w:rFonts w:ascii="Arial" w:eastAsia="Calibri" w:hAnsi="Arial" w:cs="Arial"/>
          <w:sz w:val="24"/>
          <w:szCs w:val="24"/>
        </w:rPr>
        <w:t>for</w:t>
      </w:r>
      <w:r w:rsidR="00105197" w:rsidRPr="00A33151">
        <w:rPr>
          <w:rFonts w:ascii="Arial" w:hAnsi="Arial" w:cs="Arial"/>
          <w:sz w:val="24"/>
          <w:szCs w:val="24"/>
        </w:rPr>
        <w:t xml:space="preserve"> 594 subjects, </w:t>
      </w:r>
      <w:proofErr w:type="spellStart"/>
      <w:r w:rsidR="00105197" w:rsidRPr="00A33151">
        <w:rPr>
          <w:rFonts w:ascii="Arial" w:hAnsi="Arial" w:cs="Arial"/>
          <w:sz w:val="24"/>
          <w:szCs w:val="24"/>
          <w:vertAlign w:val="superscript"/>
        </w:rPr>
        <w:t>Δ</w:t>
      </w:r>
      <w:r w:rsidR="00105197" w:rsidRPr="00A33151">
        <w:rPr>
          <w:rFonts w:ascii="Arial" w:hAnsi="Arial" w:cs="Arial"/>
          <w:sz w:val="24"/>
          <w:szCs w:val="24"/>
        </w:rPr>
        <w:t>fundoscopy</w:t>
      </w:r>
      <w:proofErr w:type="spellEnd"/>
      <w:r w:rsidR="00105197" w:rsidRPr="00A33151">
        <w:rPr>
          <w:rFonts w:ascii="Arial" w:hAnsi="Arial" w:cs="Arial"/>
          <w:sz w:val="24"/>
          <w:szCs w:val="24"/>
        </w:rPr>
        <w:t xml:space="preserve"> data available </w:t>
      </w:r>
      <w:r w:rsidR="00105197" w:rsidRPr="00A33151">
        <w:rPr>
          <w:rFonts w:ascii="Arial" w:eastAsia="Calibri" w:hAnsi="Arial" w:cs="Arial"/>
          <w:sz w:val="24"/>
          <w:szCs w:val="24"/>
        </w:rPr>
        <w:t>for</w:t>
      </w:r>
      <w:r w:rsidR="00105197" w:rsidRPr="00A33151">
        <w:rPr>
          <w:rFonts w:ascii="Arial" w:hAnsi="Arial" w:cs="Arial"/>
          <w:sz w:val="24"/>
          <w:szCs w:val="24"/>
        </w:rPr>
        <w:t xml:space="preserve"> 636 subjects</w:t>
      </w:r>
      <w:r w:rsidR="00105197" w:rsidRPr="00E30C60" w:rsidDel="00105197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5988BFB4" w14:textId="13FD2A11" w:rsidR="003652F3" w:rsidRPr="00E30C60" w:rsidRDefault="003652F3" w:rsidP="003652F3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0C60">
        <w:rPr>
          <w:rFonts w:ascii="Arial" w:hAnsi="Arial" w:cs="Arial"/>
          <w:b/>
          <w:bCs/>
          <w:sz w:val="24"/>
          <w:szCs w:val="24"/>
        </w:rPr>
        <w:lastRenderedPageBreak/>
        <w:t xml:space="preserve">Table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E30C60">
        <w:rPr>
          <w:rFonts w:ascii="Arial" w:hAnsi="Arial" w:cs="Arial"/>
          <w:b/>
          <w:bCs/>
          <w:sz w:val="24"/>
          <w:szCs w:val="24"/>
        </w:rPr>
        <w:t>: Association between MASLD and composite ASCVD in patients with type 1 diabetes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10"/>
        <w:gridCol w:w="3011"/>
        <w:gridCol w:w="6"/>
        <w:gridCol w:w="3015"/>
      </w:tblGrid>
      <w:tr w:rsidR="003652F3" w:rsidRPr="00E30C60" w14:paraId="652D2B28" w14:textId="77777777" w:rsidTr="002A09D0"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2F3F4B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Model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9C1775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OR (95% CI)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CBD0A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P value</w:t>
            </w:r>
          </w:p>
        </w:tc>
      </w:tr>
      <w:tr w:rsidR="003652F3" w:rsidRPr="00E30C60" w14:paraId="1DA62D40" w14:textId="77777777" w:rsidTr="002A09D0">
        <w:tc>
          <w:tcPr>
            <w:tcW w:w="9062" w:type="dxa"/>
            <w:gridSpan w:val="5"/>
            <w:tcBorders>
              <w:top w:val="single" w:sz="4" w:space="0" w:color="auto"/>
            </w:tcBorders>
            <w:vAlign w:val="center"/>
          </w:tcPr>
          <w:p w14:paraId="10DD878F" w14:textId="40FB90F2" w:rsidR="003652F3" w:rsidRPr="00E30C60" w:rsidRDefault="00F431B1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Univariable</w:t>
            </w:r>
            <w:r w:rsidR="00A106AC">
              <w:rPr>
                <w:rFonts w:ascii="Arial" w:hAnsi="Arial" w:cs="Arial"/>
                <w:sz w:val="24"/>
                <w:szCs w:val="24"/>
              </w:rPr>
              <w:t xml:space="preserve"> regression model</w:t>
            </w:r>
          </w:p>
        </w:tc>
      </w:tr>
      <w:tr w:rsidR="003652F3" w:rsidRPr="00E30C60" w14:paraId="75E7AFBE" w14:textId="77777777" w:rsidTr="002A09D0">
        <w:tc>
          <w:tcPr>
            <w:tcW w:w="3030" w:type="dxa"/>
            <w:gridSpan w:val="2"/>
            <w:tcBorders>
              <w:top w:val="single" w:sz="4" w:space="0" w:color="auto"/>
            </w:tcBorders>
            <w:vAlign w:val="center"/>
          </w:tcPr>
          <w:p w14:paraId="0B22C1DA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MASLD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</w:tcBorders>
            <w:vAlign w:val="center"/>
          </w:tcPr>
          <w:p w14:paraId="4F737441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3.22 (1.80 - 5.76)</w:t>
            </w:r>
          </w:p>
        </w:tc>
        <w:tc>
          <w:tcPr>
            <w:tcW w:w="3015" w:type="dxa"/>
            <w:tcBorders>
              <w:top w:val="single" w:sz="4" w:space="0" w:color="auto"/>
            </w:tcBorders>
            <w:vAlign w:val="center"/>
          </w:tcPr>
          <w:p w14:paraId="1B3FB3F6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&lt; 0.001</w:t>
            </w:r>
          </w:p>
        </w:tc>
      </w:tr>
      <w:tr w:rsidR="00A106AC" w:rsidRPr="00E30C60" w14:paraId="5267C940" w14:textId="77777777" w:rsidTr="002A09D0">
        <w:tc>
          <w:tcPr>
            <w:tcW w:w="3030" w:type="dxa"/>
            <w:gridSpan w:val="2"/>
            <w:tcBorders>
              <w:top w:val="single" w:sz="4" w:space="0" w:color="auto"/>
            </w:tcBorders>
            <w:vAlign w:val="center"/>
          </w:tcPr>
          <w:p w14:paraId="7A0B2D40" w14:textId="5449485A" w:rsidR="00A106AC" w:rsidRPr="00E30C60" w:rsidRDefault="00A106AC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eGDR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</w:tcBorders>
            <w:vAlign w:val="center"/>
          </w:tcPr>
          <w:p w14:paraId="19D3E1C5" w14:textId="272732C7" w:rsidR="00A106AC" w:rsidRPr="00E30C60" w:rsidRDefault="00FB22A1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0.64 (0.55 - 0.75)</w:t>
            </w:r>
          </w:p>
        </w:tc>
        <w:tc>
          <w:tcPr>
            <w:tcW w:w="3015" w:type="dxa"/>
            <w:tcBorders>
              <w:top w:val="single" w:sz="4" w:space="0" w:color="auto"/>
            </w:tcBorders>
            <w:vAlign w:val="center"/>
          </w:tcPr>
          <w:p w14:paraId="7088FD3C" w14:textId="7F1B4420" w:rsidR="00A106AC" w:rsidRPr="00E30C60" w:rsidRDefault="00FB22A1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 0.001</w:t>
            </w:r>
          </w:p>
        </w:tc>
      </w:tr>
      <w:tr w:rsidR="00A106AC" w:rsidRPr="00E30C60" w14:paraId="74017338" w14:textId="77777777" w:rsidTr="002A09D0">
        <w:tc>
          <w:tcPr>
            <w:tcW w:w="3030" w:type="dxa"/>
            <w:gridSpan w:val="2"/>
            <w:tcBorders>
              <w:top w:val="single" w:sz="4" w:space="0" w:color="auto"/>
            </w:tcBorders>
            <w:vAlign w:val="center"/>
          </w:tcPr>
          <w:p w14:paraId="51EA1EC3" w14:textId="6BD2358B" w:rsidR="00A106AC" w:rsidRPr="00E30C60" w:rsidRDefault="00FB22A1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MetS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</w:tcBorders>
            <w:vAlign w:val="center"/>
          </w:tcPr>
          <w:p w14:paraId="1DAAF203" w14:textId="01F79C72" w:rsidR="00A106AC" w:rsidRPr="00E30C60" w:rsidRDefault="00FB22A1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4.90 (2.78 </w:t>
            </w:r>
            <w:r w:rsidR="00C40721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8.62)</w:t>
            </w:r>
          </w:p>
        </w:tc>
        <w:tc>
          <w:tcPr>
            <w:tcW w:w="3015" w:type="dxa"/>
            <w:tcBorders>
              <w:top w:val="single" w:sz="4" w:space="0" w:color="auto"/>
            </w:tcBorders>
            <w:vAlign w:val="center"/>
          </w:tcPr>
          <w:p w14:paraId="42132865" w14:textId="07890AB7" w:rsidR="00A106AC" w:rsidRPr="00E30C60" w:rsidRDefault="00FB22A1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 0.001</w:t>
            </w:r>
          </w:p>
        </w:tc>
      </w:tr>
      <w:tr w:rsidR="003652F3" w:rsidRPr="00E30C60" w14:paraId="4FAB30AA" w14:textId="77777777" w:rsidTr="002A09D0">
        <w:tc>
          <w:tcPr>
            <w:tcW w:w="9062" w:type="dxa"/>
            <w:gridSpan w:val="5"/>
            <w:vAlign w:val="center"/>
          </w:tcPr>
          <w:p w14:paraId="544E01E2" w14:textId="5E23A4FB" w:rsidR="003652F3" w:rsidRPr="00E30C60" w:rsidRDefault="00F431B1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Adjusted </w:t>
            </w:r>
            <w:r w:rsidR="00D16626">
              <w:rPr>
                <w:rFonts w:ascii="Arial" w:hAnsi="Arial" w:cs="Arial"/>
                <w:sz w:val="24"/>
                <w:szCs w:val="24"/>
              </w:rPr>
              <w:t>multivariable</w:t>
            </w:r>
            <w:r w:rsidR="00F55B82">
              <w:rPr>
                <w:rFonts w:ascii="Arial" w:hAnsi="Arial" w:cs="Arial"/>
                <w:sz w:val="24"/>
                <w:szCs w:val="24"/>
              </w:rPr>
              <w:t xml:space="preserve"> regression model</w:t>
            </w:r>
          </w:p>
        </w:tc>
      </w:tr>
      <w:tr w:rsidR="003652F3" w:rsidRPr="00E30C60" w14:paraId="438784DA" w14:textId="77777777" w:rsidTr="002A09D0">
        <w:tc>
          <w:tcPr>
            <w:tcW w:w="3030" w:type="dxa"/>
            <w:gridSpan w:val="2"/>
            <w:vAlign w:val="center"/>
          </w:tcPr>
          <w:p w14:paraId="7576C35E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Model 1</w:t>
            </w:r>
          </w:p>
        </w:tc>
        <w:tc>
          <w:tcPr>
            <w:tcW w:w="3017" w:type="dxa"/>
            <w:gridSpan w:val="2"/>
            <w:vAlign w:val="center"/>
          </w:tcPr>
          <w:p w14:paraId="6831F6A4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3.71 (1.90 - 7.24)</w:t>
            </w:r>
          </w:p>
        </w:tc>
        <w:tc>
          <w:tcPr>
            <w:tcW w:w="3015" w:type="dxa"/>
            <w:vAlign w:val="center"/>
          </w:tcPr>
          <w:p w14:paraId="5FCFD767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&lt; 0.001</w:t>
            </w:r>
          </w:p>
        </w:tc>
      </w:tr>
      <w:tr w:rsidR="003652F3" w:rsidRPr="00E30C60" w14:paraId="57C1AC18" w14:textId="77777777" w:rsidTr="002A09D0">
        <w:tc>
          <w:tcPr>
            <w:tcW w:w="3030" w:type="dxa"/>
            <w:gridSpan w:val="2"/>
            <w:vAlign w:val="center"/>
          </w:tcPr>
          <w:p w14:paraId="41007164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 xml:space="preserve">Model 2 </w:t>
            </w:r>
          </w:p>
        </w:tc>
        <w:tc>
          <w:tcPr>
            <w:tcW w:w="3017" w:type="dxa"/>
            <w:gridSpan w:val="2"/>
            <w:vAlign w:val="center"/>
          </w:tcPr>
          <w:p w14:paraId="490AED22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4.34 (2.17 - 8.69)</w:t>
            </w:r>
          </w:p>
        </w:tc>
        <w:tc>
          <w:tcPr>
            <w:tcW w:w="3015" w:type="dxa"/>
            <w:vAlign w:val="center"/>
          </w:tcPr>
          <w:p w14:paraId="43380918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&lt; 0.001</w:t>
            </w:r>
          </w:p>
        </w:tc>
      </w:tr>
      <w:tr w:rsidR="003652F3" w:rsidRPr="00E30C60" w14:paraId="6194FBFC" w14:textId="77777777" w:rsidTr="002A09D0">
        <w:tc>
          <w:tcPr>
            <w:tcW w:w="3030" w:type="dxa"/>
            <w:gridSpan w:val="2"/>
            <w:vAlign w:val="center"/>
          </w:tcPr>
          <w:p w14:paraId="3BF3EE69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Model 3</w:t>
            </w:r>
          </w:p>
        </w:tc>
        <w:tc>
          <w:tcPr>
            <w:tcW w:w="3017" w:type="dxa"/>
            <w:gridSpan w:val="2"/>
            <w:vAlign w:val="center"/>
          </w:tcPr>
          <w:p w14:paraId="180DF5E2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4.27 (2.07 - 8.80)</w:t>
            </w:r>
          </w:p>
        </w:tc>
        <w:tc>
          <w:tcPr>
            <w:tcW w:w="3015" w:type="dxa"/>
            <w:vAlign w:val="center"/>
          </w:tcPr>
          <w:p w14:paraId="6A9E9A5E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&lt; 0.001</w:t>
            </w:r>
          </w:p>
        </w:tc>
      </w:tr>
      <w:tr w:rsidR="003652F3" w:rsidRPr="00E30C60" w14:paraId="23F1864B" w14:textId="77777777" w:rsidTr="002A09D0">
        <w:tc>
          <w:tcPr>
            <w:tcW w:w="3030" w:type="dxa"/>
            <w:gridSpan w:val="2"/>
            <w:vAlign w:val="center"/>
          </w:tcPr>
          <w:p w14:paraId="2B93EBB5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Model 4a*</w:t>
            </w:r>
          </w:p>
        </w:tc>
        <w:tc>
          <w:tcPr>
            <w:tcW w:w="3017" w:type="dxa"/>
            <w:gridSpan w:val="2"/>
            <w:vAlign w:val="center"/>
          </w:tcPr>
          <w:p w14:paraId="64C64D94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3.36 (1.51 - 7.48)</w:t>
            </w:r>
          </w:p>
        </w:tc>
        <w:tc>
          <w:tcPr>
            <w:tcW w:w="3015" w:type="dxa"/>
            <w:vAlign w:val="center"/>
          </w:tcPr>
          <w:p w14:paraId="269B03E7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0.003</w:t>
            </w:r>
          </w:p>
        </w:tc>
      </w:tr>
      <w:tr w:rsidR="003652F3" w:rsidRPr="00E30C60" w14:paraId="253AD863" w14:textId="77777777" w:rsidTr="002A09D0">
        <w:tc>
          <w:tcPr>
            <w:tcW w:w="3030" w:type="dxa"/>
            <w:gridSpan w:val="2"/>
            <w:vAlign w:val="center"/>
          </w:tcPr>
          <w:p w14:paraId="03B9A8C4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Model 4b</w:t>
            </w:r>
            <w:r w:rsidRPr="00E30C60">
              <w:rPr>
                <w:rFonts w:ascii="Arial" w:hAnsi="Arial" w:cs="Arial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3017" w:type="dxa"/>
            <w:gridSpan w:val="2"/>
            <w:vAlign w:val="center"/>
          </w:tcPr>
          <w:p w14:paraId="048C1F8E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3.24 (1.44 - 7.29)</w:t>
            </w:r>
          </w:p>
        </w:tc>
        <w:tc>
          <w:tcPr>
            <w:tcW w:w="3015" w:type="dxa"/>
            <w:vAlign w:val="center"/>
          </w:tcPr>
          <w:p w14:paraId="0EA32E7B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0.005</w:t>
            </w:r>
          </w:p>
        </w:tc>
      </w:tr>
      <w:tr w:rsidR="003652F3" w:rsidRPr="00E30C60" w14:paraId="37D9CD47" w14:textId="77777777" w:rsidTr="002A09D0">
        <w:tc>
          <w:tcPr>
            <w:tcW w:w="3030" w:type="dxa"/>
            <w:gridSpan w:val="2"/>
            <w:vAlign w:val="center"/>
          </w:tcPr>
          <w:p w14:paraId="5D8C0E2D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Model 5</w:t>
            </w:r>
          </w:p>
        </w:tc>
        <w:tc>
          <w:tcPr>
            <w:tcW w:w="3017" w:type="dxa"/>
            <w:gridSpan w:val="2"/>
            <w:vAlign w:val="center"/>
          </w:tcPr>
          <w:p w14:paraId="6108C7BC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2.92 (1.24 - 6.91)</w:t>
            </w:r>
          </w:p>
        </w:tc>
        <w:tc>
          <w:tcPr>
            <w:tcW w:w="3015" w:type="dxa"/>
            <w:vAlign w:val="center"/>
          </w:tcPr>
          <w:p w14:paraId="28E36D03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0.014</w:t>
            </w:r>
          </w:p>
        </w:tc>
      </w:tr>
      <w:tr w:rsidR="003652F3" w:rsidRPr="00E30C60" w14:paraId="64C6FF9A" w14:textId="77777777" w:rsidTr="002A09D0">
        <w:tc>
          <w:tcPr>
            <w:tcW w:w="3030" w:type="dxa"/>
            <w:gridSpan w:val="2"/>
            <w:vAlign w:val="center"/>
          </w:tcPr>
          <w:p w14:paraId="39A4F7AF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 xml:space="preserve">Model 6 </w:t>
            </w:r>
          </w:p>
        </w:tc>
        <w:tc>
          <w:tcPr>
            <w:tcW w:w="3017" w:type="dxa"/>
            <w:gridSpan w:val="2"/>
            <w:vAlign w:val="center"/>
          </w:tcPr>
          <w:p w14:paraId="08BEB4B7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4.27 (1.80 - 10.14)</w:t>
            </w:r>
          </w:p>
        </w:tc>
        <w:tc>
          <w:tcPr>
            <w:tcW w:w="3015" w:type="dxa"/>
            <w:vAlign w:val="center"/>
          </w:tcPr>
          <w:p w14:paraId="1727968B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3652F3" w:rsidRPr="00E30C60" w14:paraId="19E6E9AD" w14:textId="77777777" w:rsidTr="002A09D0">
        <w:tc>
          <w:tcPr>
            <w:tcW w:w="9062" w:type="dxa"/>
            <w:gridSpan w:val="5"/>
            <w:vAlign w:val="center"/>
          </w:tcPr>
          <w:p w14:paraId="41489E1F" w14:textId="136F9093" w:rsidR="003652F3" w:rsidRPr="00E30C60" w:rsidRDefault="00D16626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Adjusted multivariable regression model, MASLD replaced by MetS</w:t>
            </w:r>
          </w:p>
        </w:tc>
      </w:tr>
      <w:tr w:rsidR="003652F3" w:rsidRPr="00E30C60" w14:paraId="6096206E" w14:textId="77777777" w:rsidTr="002A09D0">
        <w:tc>
          <w:tcPr>
            <w:tcW w:w="3020" w:type="dxa"/>
            <w:vAlign w:val="center"/>
          </w:tcPr>
          <w:p w14:paraId="4A9F403A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MetS model 3</w:t>
            </w:r>
          </w:p>
        </w:tc>
        <w:tc>
          <w:tcPr>
            <w:tcW w:w="3021" w:type="dxa"/>
            <w:gridSpan w:val="2"/>
            <w:vAlign w:val="center"/>
          </w:tcPr>
          <w:p w14:paraId="5A6FDB9E" w14:textId="1DC1E674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 xml:space="preserve">2.55 (1.33 </w:t>
            </w:r>
            <w:r w:rsidR="00C40721">
              <w:rPr>
                <w:rFonts w:ascii="Arial" w:hAnsi="Arial" w:cs="Arial"/>
                <w:sz w:val="24"/>
                <w:szCs w:val="24"/>
              </w:rPr>
              <w:t>-</w:t>
            </w:r>
            <w:r w:rsidRPr="00E30C60">
              <w:rPr>
                <w:rFonts w:ascii="Arial" w:hAnsi="Arial" w:cs="Arial"/>
                <w:sz w:val="24"/>
                <w:szCs w:val="24"/>
              </w:rPr>
              <w:t xml:space="preserve"> 4.88)</w:t>
            </w:r>
          </w:p>
        </w:tc>
        <w:tc>
          <w:tcPr>
            <w:tcW w:w="3021" w:type="dxa"/>
            <w:gridSpan w:val="2"/>
            <w:vAlign w:val="center"/>
          </w:tcPr>
          <w:p w14:paraId="1049217B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0.005</w:t>
            </w:r>
          </w:p>
        </w:tc>
      </w:tr>
      <w:tr w:rsidR="003652F3" w:rsidRPr="00E30C60" w14:paraId="5FF85134" w14:textId="77777777" w:rsidTr="002A09D0">
        <w:tc>
          <w:tcPr>
            <w:tcW w:w="9062" w:type="dxa"/>
            <w:gridSpan w:val="5"/>
            <w:vAlign w:val="center"/>
          </w:tcPr>
          <w:p w14:paraId="7A67175D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 xml:space="preserve">Akaike information criteria </w:t>
            </w:r>
          </w:p>
        </w:tc>
      </w:tr>
      <w:tr w:rsidR="003652F3" w:rsidRPr="00E30C60" w14:paraId="2313C648" w14:textId="77777777" w:rsidTr="002A09D0">
        <w:tc>
          <w:tcPr>
            <w:tcW w:w="3020" w:type="dxa"/>
            <w:vAlign w:val="center"/>
          </w:tcPr>
          <w:p w14:paraId="545032FF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MASLD model 3</w:t>
            </w:r>
          </w:p>
        </w:tc>
        <w:tc>
          <w:tcPr>
            <w:tcW w:w="3021" w:type="dxa"/>
            <w:gridSpan w:val="2"/>
            <w:vAlign w:val="center"/>
          </w:tcPr>
          <w:p w14:paraId="23C14B30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MetS model 3</w:t>
            </w:r>
          </w:p>
        </w:tc>
        <w:tc>
          <w:tcPr>
            <w:tcW w:w="3021" w:type="dxa"/>
            <w:gridSpan w:val="2"/>
            <w:vAlign w:val="center"/>
          </w:tcPr>
          <w:p w14:paraId="496E2F27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ΔAIC</w:t>
            </w:r>
          </w:p>
        </w:tc>
      </w:tr>
      <w:tr w:rsidR="003652F3" w:rsidRPr="00E30C60" w14:paraId="79AA409A" w14:textId="77777777" w:rsidTr="002A09D0">
        <w:tc>
          <w:tcPr>
            <w:tcW w:w="3020" w:type="dxa"/>
            <w:vAlign w:val="center"/>
          </w:tcPr>
          <w:p w14:paraId="48AA8D33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3021" w:type="dxa"/>
            <w:gridSpan w:val="2"/>
            <w:vAlign w:val="center"/>
          </w:tcPr>
          <w:p w14:paraId="51F7BD96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3021" w:type="dxa"/>
            <w:gridSpan w:val="2"/>
            <w:vAlign w:val="center"/>
          </w:tcPr>
          <w:p w14:paraId="2830F817" w14:textId="77777777" w:rsidR="003652F3" w:rsidRPr="00E30C60" w:rsidRDefault="003652F3" w:rsidP="002A09D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E30C6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</w:tbl>
    <w:p w14:paraId="0433CD36" w14:textId="3245EFFA" w:rsidR="00D16626" w:rsidRPr="009420DF" w:rsidRDefault="003652F3" w:rsidP="00D16626">
      <w:pPr>
        <w:spacing w:line="480" w:lineRule="auto"/>
        <w:rPr>
          <w:rFonts w:ascii="Arial" w:hAnsi="Arial" w:cs="Arial"/>
          <w:sz w:val="24"/>
          <w:szCs w:val="24"/>
        </w:rPr>
      </w:pPr>
      <w:r w:rsidRPr="00E30C60">
        <w:rPr>
          <w:rFonts w:ascii="Arial" w:hAnsi="Arial" w:cs="Arial"/>
          <w:sz w:val="24"/>
          <w:szCs w:val="24"/>
        </w:rPr>
        <w:t>Data are expressed as odds ratios (OR) ± 95% confidence intervals (CI) as assessed by univariable (unadjusted) or multivariable logistic regression analyses. Multivariable logistic regression models were adjusted as follows: model 1: age and sex</w:t>
      </w:r>
      <w:r w:rsidR="001D2F10">
        <w:rPr>
          <w:rFonts w:ascii="Arial" w:hAnsi="Arial" w:cs="Arial"/>
          <w:sz w:val="24"/>
          <w:szCs w:val="24"/>
        </w:rPr>
        <w:t>,</w:t>
      </w:r>
      <w:r w:rsidRPr="00E30C60">
        <w:rPr>
          <w:rFonts w:ascii="Arial" w:hAnsi="Arial" w:cs="Arial"/>
          <w:sz w:val="24"/>
          <w:szCs w:val="24"/>
        </w:rPr>
        <w:t xml:space="preserve"> model 2: age, sex and diabetes duration</w:t>
      </w:r>
      <w:r w:rsidR="001D2F10">
        <w:rPr>
          <w:rFonts w:ascii="Arial" w:hAnsi="Arial" w:cs="Arial"/>
          <w:sz w:val="24"/>
          <w:szCs w:val="24"/>
        </w:rPr>
        <w:t>,</w:t>
      </w:r>
      <w:r w:rsidRPr="00E30C60">
        <w:rPr>
          <w:rFonts w:ascii="Arial" w:hAnsi="Arial" w:cs="Arial"/>
          <w:sz w:val="24"/>
          <w:szCs w:val="24"/>
        </w:rPr>
        <w:t xml:space="preserve"> model 3: age, sex, diabetes duration, smoking status, LDL, </w:t>
      </w:r>
      <w:r w:rsidR="00D16626">
        <w:rPr>
          <w:rFonts w:ascii="Arial" w:hAnsi="Arial" w:cs="Arial"/>
          <w:sz w:val="24"/>
          <w:szCs w:val="24"/>
        </w:rPr>
        <w:t>lipid-lowering medication use</w:t>
      </w:r>
      <w:r w:rsidRPr="00E30C60">
        <w:rPr>
          <w:rFonts w:ascii="Arial" w:hAnsi="Arial" w:cs="Arial"/>
          <w:sz w:val="24"/>
          <w:szCs w:val="24"/>
        </w:rPr>
        <w:t>, HbA1c</w:t>
      </w:r>
      <w:r w:rsidR="001D2F10">
        <w:rPr>
          <w:rFonts w:ascii="Arial" w:hAnsi="Arial" w:cs="Arial"/>
          <w:sz w:val="24"/>
          <w:szCs w:val="24"/>
        </w:rPr>
        <w:t>,</w:t>
      </w:r>
      <w:r w:rsidRPr="00E30C60">
        <w:rPr>
          <w:rFonts w:ascii="Arial" w:hAnsi="Arial" w:cs="Arial"/>
          <w:sz w:val="24"/>
          <w:szCs w:val="24"/>
        </w:rPr>
        <w:t xml:space="preserve"> model 4a: model 3 plus further </w:t>
      </w:r>
      <w:r w:rsidRPr="00E30C60">
        <w:rPr>
          <w:rFonts w:ascii="Arial" w:hAnsi="Arial" w:cs="Arial"/>
          <w:sz w:val="24"/>
          <w:szCs w:val="24"/>
        </w:rPr>
        <w:lastRenderedPageBreak/>
        <w:t xml:space="preserve">adjustment for the presence of </w:t>
      </w:r>
      <w:r w:rsidR="00D16626">
        <w:rPr>
          <w:rFonts w:ascii="Arial" w:hAnsi="Arial" w:cs="Arial"/>
          <w:sz w:val="24"/>
          <w:szCs w:val="24"/>
        </w:rPr>
        <w:t>MetS</w:t>
      </w:r>
      <w:r w:rsidRPr="00E30C60">
        <w:rPr>
          <w:rFonts w:ascii="Arial" w:hAnsi="Arial" w:cs="Arial"/>
          <w:sz w:val="24"/>
          <w:szCs w:val="24"/>
        </w:rPr>
        <w:t xml:space="preserve"> (as a categorical variable)</w:t>
      </w:r>
      <w:r w:rsidR="001D2F10">
        <w:rPr>
          <w:rFonts w:ascii="Arial" w:hAnsi="Arial" w:cs="Arial"/>
          <w:sz w:val="24"/>
          <w:szCs w:val="24"/>
        </w:rPr>
        <w:t>,</w:t>
      </w:r>
      <w:r w:rsidRPr="00E30C60">
        <w:rPr>
          <w:rFonts w:ascii="Arial" w:hAnsi="Arial" w:cs="Arial"/>
          <w:sz w:val="24"/>
          <w:szCs w:val="24"/>
        </w:rPr>
        <w:t xml:space="preserve"> model 4b: model 3 minus HbA1c (collinearity with eGDR) plus further adjustment for eGDR (as a continuous variable)</w:t>
      </w:r>
      <w:r w:rsidR="001D2F10">
        <w:rPr>
          <w:rFonts w:ascii="Arial" w:hAnsi="Arial" w:cs="Arial"/>
          <w:sz w:val="24"/>
          <w:szCs w:val="24"/>
        </w:rPr>
        <w:t>,</w:t>
      </w:r>
      <w:r w:rsidRPr="00E30C60">
        <w:rPr>
          <w:rFonts w:ascii="Arial" w:hAnsi="Arial" w:cs="Arial"/>
          <w:sz w:val="24"/>
          <w:szCs w:val="24"/>
        </w:rPr>
        <w:t xml:space="preserve"> model 5: model 3 plus </w:t>
      </w:r>
      <w:r w:rsidR="00D16626">
        <w:rPr>
          <w:rFonts w:ascii="Arial" w:hAnsi="Arial" w:cs="Arial"/>
          <w:sz w:val="24"/>
          <w:szCs w:val="24"/>
        </w:rPr>
        <w:t>WC</w:t>
      </w:r>
      <w:r w:rsidRPr="00E30C60">
        <w:rPr>
          <w:rFonts w:ascii="Arial" w:hAnsi="Arial" w:cs="Arial"/>
          <w:sz w:val="24"/>
          <w:szCs w:val="24"/>
        </w:rPr>
        <w:t xml:space="preserve">, </w:t>
      </w:r>
      <w:r w:rsidR="00D16626">
        <w:rPr>
          <w:rFonts w:ascii="Arial" w:hAnsi="Arial" w:cs="Arial"/>
          <w:sz w:val="24"/>
          <w:szCs w:val="24"/>
        </w:rPr>
        <w:t>SBP</w:t>
      </w:r>
      <w:r w:rsidRPr="00E30C60">
        <w:rPr>
          <w:rFonts w:ascii="Arial" w:hAnsi="Arial" w:cs="Arial"/>
          <w:sz w:val="24"/>
          <w:szCs w:val="24"/>
        </w:rPr>
        <w:t>, HDL,</w:t>
      </w:r>
      <w:r w:rsidR="00D16626">
        <w:rPr>
          <w:rFonts w:ascii="Arial" w:hAnsi="Arial" w:cs="Arial"/>
          <w:sz w:val="24"/>
          <w:szCs w:val="24"/>
        </w:rPr>
        <w:t xml:space="preserve"> TG</w:t>
      </w:r>
      <w:r w:rsidRPr="00E30C60">
        <w:rPr>
          <w:rFonts w:ascii="Arial" w:hAnsi="Arial" w:cs="Arial"/>
          <w:sz w:val="24"/>
          <w:szCs w:val="24"/>
        </w:rPr>
        <w:t xml:space="preserve"> and current use of anti-hypertensive or lipid-lowering medications</w:t>
      </w:r>
      <w:r w:rsidR="001D2F10">
        <w:rPr>
          <w:rFonts w:ascii="Arial" w:hAnsi="Arial" w:cs="Arial"/>
          <w:sz w:val="24"/>
          <w:szCs w:val="24"/>
        </w:rPr>
        <w:t>,</w:t>
      </w:r>
      <w:r w:rsidRPr="00E30C60">
        <w:rPr>
          <w:rFonts w:ascii="Arial" w:hAnsi="Arial" w:cs="Arial"/>
          <w:sz w:val="24"/>
          <w:szCs w:val="24"/>
        </w:rPr>
        <w:t xml:space="preserve"> model 6: model 3 plus </w:t>
      </w:r>
      <w:r w:rsidR="00D16626">
        <w:rPr>
          <w:rFonts w:ascii="Arial" w:hAnsi="Arial" w:cs="Arial"/>
          <w:sz w:val="24"/>
          <w:szCs w:val="24"/>
        </w:rPr>
        <w:t>eGFR</w:t>
      </w:r>
      <w:r w:rsidRPr="00E30C60">
        <w:rPr>
          <w:rFonts w:ascii="Arial" w:hAnsi="Arial" w:cs="Arial"/>
          <w:sz w:val="24"/>
          <w:szCs w:val="24"/>
        </w:rPr>
        <w:t xml:space="preserve"> and albuminuria.* MetS failed to reach statistical significance (OR: 1.65 95% CI 0.80 - 3.39), p = 0.177), </w:t>
      </w:r>
      <w:r w:rsidRPr="00E30C60">
        <w:rPr>
          <w:rFonts w:ascii="Arial" w:hAnsi="Arial" w:cs="Arial"/>
          <w:sz w:val="24"/>
          <w:szCs w:val="24"/>
          <w:vertAlign w:val="superscript"/>
        </w:rPr>
        <w:t xml:space="preserve">§ </w:t>
      </w:r>
      <w:r w:rsidRPr="00E30C60">
        <w:rPr>
          <w:rFonts w:ascii="Arial" w:hAnsi="Arial" w:cs="Arial"/>
          <w:sz w:val="24"/>
          <w:szCs w:val="24"/>
        </w:rPr>
        <w:t>eGDR failed to reach statistical significance (OR: 0.85, 95% CI 0.69 - 1.06), p = 0.150). ΔAIC &gt; 2 is defined a significant difference in predictive outcome (in favour of smallest AIC). AIC</w:t>
      </w:r>
      <w:r w:rsidR="00D16626">
        <w:rPr>
          <w:rFonts w:ascii="Arial" w:hAnsi="Arial" w:cs="Arial"/>
          <w:sz w:val="24"/>
          <w:szCs w:val="24"/>
        </w:rPr>
        <w:t>:</w:t>
      </w:r>
      <w:r w:rsidRPr="00E30C60">
        <w:rPr>
          <w:rFonts w:ascii="Arial" w:hAnsi="Arial" w:cs="Arial"/>
          <w:sz w:val="24"/>
          <w:szCs w:val="24"/>
        </w:rPr>
        <w:t xml:space="preserve"> Akaike information </w:t>
      </w:r>
      <w:r w:rsidR="00D16626">
        <w:rPr>
          <w:rFonts w:ascii="Arial" w:hAnsi="Arial" w:cs="Arial"/>
          <w:sz w:val="24"/>
          <w:szCs w:val="24"/>
        </w:rPr>
        <w:t xml:space="preserve">criterion, ASVCD: </w:t>
      </w:r>
      <w:r w:rsidR="00D16626" w:rsidRPr="009420DF">
        <w:rPr>
          <w:rFonts w:ascii="Arial" w:hAnsi="Arial" w:cs="Arial"/>
          <w:sz w:val="24"/>
          <w:szCs w:val="24"/>
        </w:rPr>
        <w:t>atherosclerotic cardiovascular disease</w:t>
      </w:r>
      <w:r w:rsidR="00D16626">
        <w:rPr>
          <w:rFonts w:ascii="Arial" w:hAnsi="Arial" w:cs="Arial"/>
          <w:sz w:val="24"/>
          <w:szCs w:val="24"/>
        </w:rPr>
        <w:t>, eGDR: estimated glucose disposal rate, eGFR</w:t>
      </w:r>
      <w:r w:rsidR="001D2F10">
        <w:rPr>
          <w:rFonts w:ascii="Arial" w:hAnsi="Arial" w:cs="Arial"/>
          <w:sz w:val="24"/>
          <w:szCs w:val="24"/>
        </w:rPr>
        <w:t xml:space="preserve">: estimated glomerular filtration rate, HDL, high-density lipoprotein, LDL: low-density lipoprotein, MASLD: </w:t>
      </w:r>
      <w:r w:rsidR="001D2F10" w:rsidRPr="009420DF">
        <w:rPr>
          <w:rFonts w:ascii="Arial" w:hAnsi="Arial" w:cs="Arial"/>
          <w:sz w:val="24"/>
          <w:szCs w:val="24"/>
        </w:rPr>
        <w:t>metabolic dysfunction-associated steatotic liver disease</w:t>
      </w:r>
      <w:r w:rsidR="001D2F10">
        <w:rPr>
          <w:rFonts w:ascii="Arial" w:hAnsi="Arial" w:cs="Arial"/>
          <w:sz w:val="24"/>
          <w:szCs w:val="24"/>
        </w:rPr>
        <w:t>, MetS;: metabolic syndrome, SBP: systolic blood pressure.</w:t>
      </w:r>
    </w:p>
    <w:p w14:paraId="137D4145" w14:textId="401405D7" w:rsidR="003652F3" w:rsidRPr="00E30C60" w:rsidRDefault="003652F3" w:rsidP="003652F3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7A4BC5D8" w14:textId="77777777" w:rsidR="00C23034" w:rsidRDefault="00C23034"/>
    <w:sectPr w:rsidR="00C23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50CA"/>
    <w:multiLevelType w:val="hybridMultilevel"/>
    <w:tmpl w:val="640C88F8"/>
    <w:lvl w:ilvl="0" w:tplc="90A6D45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154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F3"/>
    <w:rsid w:val="000A2F53"/>
    <w:rsid w:val="00105197"/>
    <w:rsid w:val="001D2F10"/>
    <w:rsid w:val="001D4D35"/>
    <w:rsid w:val="003369A1"/>
    <w:rsid w:val="003652F3"/>
    <w:rsid w:val="008C6688"/>
    <w:rsid w:val="008F6DA9"/>
    <w:rsid w:val="009B489B"/>
    <w:rsid w:val="00A06377"/>
    <w:rsid w:val="00A106AC"/>
    <w:rsid w:val="00C23034"/>
    <w:rsid w:val="00C40721"/>
    <w:rsid w:val="00CA1B93"/>
    <w:rsid w:val="00CB7E15"/>
    <w:rsid w:val="00D16626"/>
    <w:rsid w:val="00D30535"/>
    <w:rsid w:val="00E03A81"/>
    <w:rsid w:val="00F431B1"/>
    <w:rsid w:val="00F55B82"/>
    <w:rsid w:val="00FB22A1"/>
    <w:rsid w:val="00FE3431"/>
    <w:rsid w:val="00FE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ABF88B"/>
  <w15:chartTrackingRefBased/>
  <w15:docId w15:val="{8486D33C-7312-41E7-8D28-1D7C7F1E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652F3"/>
    <w:rPr>
      <w:kern w:val="0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365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5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5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5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5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5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5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5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5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52F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52F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52F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52F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52F3"/>
    <w:rPr>
      <w:rFonts w:eastAsiaTheme="majorEastAsia" w:cstheme="majorBidi"/>
      <w:color w:val="0F4761" w:themeColor="accent1" w:themeShade="BF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52F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52F3"/>
    <w:rPr>
      <w:rFonts w:eastAsiaTheme="majorEastAsia" w:cstheme="majorBidi"/>
      <w:color w:val="595959" w:themeColor="text1" w:themeTint="A6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52F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52F3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365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52F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2F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at">
    <w:name w:val="Quote"/>
    <w:basedOn w:val="Standaard"/>
    <w:next w:val="Standaard"/>
    <w:link w:val="CitaatChar"/>
    <w:uiPriority w:val="29"/>
    <w:qFormat/>
    <w:rsid w:val="00365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52F3"/>
    <w:rPr>
      <w:i/>
      <w:iCs/>
      <w:color w:val="404040" w:themeColor="text1" w:themeTint="BF"/>
      <w:lang w:val="en-GB"/>
    </w:rPr>
  </w:style>
  <w:style w:type="paragraph" w:styleId="Lijstalinea">
    <w:name w:val="List Paragraph"/>
    <w:basedOn w:val="Standaard"/>
    <w:uiPriority w:val="34"/>
    <w:qFormat/>
    <w:rsid w:val="003652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52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5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52F3"/>
    <w:rPr>
      <w:i/>
      <w:iCs/>
      <w:color w:val="0F4761" w:themeColor="accent1" w:themeShade="BF"/>
      <w:lang w:val="en-GB"/>
    </w:rPr>
  </w:style>
  <w:style w:type="character" w:styleId="Intensieveverwijzing">
    <w:name w:val="Intense Reference"/>
    <w:basedOn w:val="Standaardalinea-lettertype"/>
    <w:uiPriority w:val="32"/>
    <w:qFormat/>
    <w:rsid w:val="003652F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3652F3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3652F3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e">
    <w:name w:val="Revision"/>
    <w:hidden/>
    <w:uiPriority w:val="99"/>
    <w:semiHidden/>
    <w:rsid w:val="00F431B1"/>
    <w:pPr>
      <w:spacing w:after="0" w:line="240" w:lineRule="auto"/>
    </w:pPr>
    <w:rPr>
      <w:kern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998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mertens</dc:creator>
  <cp:keywords/>
  <dc:description/>
  <cp:lastModifiedBy>Mertens, Jonathan</cp:lastModifiedBy>
  <cp:revision>2</cp:revision>
  <dcterms:created xsi:type="dcterms:W3CDTF">2025-04-14T18:20:00Z</dcterms:created>
  <dcterms:modified xsi:type="dcterms:W3CDTF">2025-04-14T18:20:00Z</dcterms:modified>
</cp:coreProperties>
</file>