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85D22">
      <w:pPr>
        <w:keepNext w:val="0"/>
        <w:keepLines w:val="0"/>
        <w:widowControl/>
        <w:suppressLineNumbers w:val="0"/>
        <w:tabs>
          <w:tab w:val="left" w:pos="666"/>
        </w:tabs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  <w:t>supplementary materia</w:t>
      </w:r>
    </w:p>
    <w:p w14:paraId="2EB77661">
      <w:pPr>
        <w:keepNext w:val="0"/>
        <w:keepLines w:val="0"/>
        <w:widowControl/>
        <w:suppressLineNumbers w:val="0"/>
        <w:tabs>
          <w:tab w:val="left" w:pos="666"/>
        </w:tabs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238B836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" w:lineRule="atLeast"/>
        <w:ind w:right="0"/>
        <w:jc w:val="left"/>
        <w:textAlignment w:val="auto"/>
        <w:rPr>
          <w:rFonts w:hint="default" w:ascii="Times New Roman" w:hAnsi="Times New Roman" w:eastAsia="MyriadPro-Bold" w:cs="Times New Roman"/>
          <w:b w:val="0"/>
          <w:bCs w:val="0"/>
          <w:color w:val="000000"/>
          <w:kern w:val="0"/>
          <w:sz w:val="18"/>
          <w:szCs w:val="18"/>
          <w:highlight w:val="none"/>
          <w:lang w:val="en-US" w:eastAsia="zh-CN" w:bidi="ar"/>
        </w:rPr>
      </w:pPr>
      <w:r>
        <w:rPr>
          <w:rStyle w:val="8"/>
          <w:rFonts w:hint="default" w:ascii="Arial Narrow" w:hAnsi="Arial Narrow" w:eastAsia="Segoe UI" w:cs="Arial Narrow"/>
          <w:b/>
          <w:bCs/>
          <w:i w:val="0"/>
          <w:iCs w:val="0"/>
          <w:caps w:val="0"/>
          <w:color w:val="0D0D0D"/>
          <w:spacing w:val="0"/>
          <w:sz w:val="18"/>
          <w:szCs w:val="18"/>
          <w:shd w:val="clear" w:fill="FFFFFF"/>
        </w:rPr>
        <w:t xml:space="preserve">Table </w:t>
      </w:r>
      <w:r>
        <w:rPr>
          <w:rStyle w:val="8"/>
          <w:rFonts w:hint="eastAsia" w:ascii="Arial Narrow" w:hAnsi="Arial Narrow" w:cs="Arial Narrow"/>
          <w:b/>
          <w:bCs/>
          <w:i w:val="0"/>
          <w:iCs w:val="0"/>
          <w:caps w:val="0"/>
          <w:color w:val="0D0D0D"/>
          <w:spacing w:val="0"/>
          <w:sz w:val="18"/>
          <w:szCs w:val="18"/>
          <w:shd w:val="clear" w:fill="FFFFFF"/>
          <w:lang w:val="en-US" w:eastAsia="zh-CN"/>
        </w:rPr>
        <w:t xml:space="preserve">1 </w:t>
      </w:r>
      <w:r>
        <w:rPr>
          <w:rStyle w:val="8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D0D0D"/>
          <w:spacing w:val="0"/>
          <w:sz w:val="18"/>
          <w:szCs w:val="18"/>
          <w:shd w:val="clear" w:fill="FFFFFF"/>
        </w:rPr>
        <w:t>Sensitivity Analysis of Included vs. Excluded Patients</w:t>
      </w:r>
    </w:p>
    <w:tbl>
      <w:tblPr>
        <w:tblStyle w:val="6"/>
        <w:tblW w:w="854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2385"/>
        <w:gridCol w:w="2475"/>
        <w:gridCol w:w="1455"/>
      </w:tblGrid>
      <w:tr w14:paraId="26F59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DC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3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C4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Included(n=628)</w:t>
            </w: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468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Excluded(n=1096)</w:t>
            </w: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9D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</w:tr>
      <w:tr w14:paraId="5C4F3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0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Demographic Data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C4F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03E5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FCF8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91C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A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1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63.00 ± 9.5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64.20 ± 10.1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D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</w:t>
            </w:r>
          </w:p>
        </w:tc>
      </w:tr>
      <w:tr w14:paraId="227CF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A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Male, %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61.46%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E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59.80%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6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0.342</w:t>
            </w:r>
          </w:p>
        </w:tc>
      </w:tr>
      <w:tr w14:paraId="01977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7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Clinical Parameters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6748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DFF1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85C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972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 index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8.41 ± 0.69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4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8.36 ± 0.72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3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0.213</w:t>
            </w:r>
          </w:p>
        </w:tc>
      </w:tr>
      <w:tr w14:paraId="7EA62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5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MACE incidence, %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11.8%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4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12.1%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D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0.861</w:t>
            </w:r>
          </w:p>
        </w:tc>
      </w:tr>
      <w:tr w14:paraId="162B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Hypertension, %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2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52.07%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54.30%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0.456</w:t>
            </w:r>
          </w:p>
        </w:tc>
      </w:tr>
      <w:tr w14:paraId="10423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8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 (%)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B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9.20 ± 2.1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9.00 ± 2.3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8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0.154</w:t>
            </w:r>
          </w:p>
        </w:tc>
      </w:tr>
      <w:tr w14:paraId="082C5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E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LDL-C (mmol/L)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 ± 1.0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 ± 1.1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7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0.678</w:t>
            </w:r>
          </w:p>
        </w:tc>
      </w:tr>
      <w:tr w14:paraId="57ED7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Exclusion Criteria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C06F0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34C53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CC91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F6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Severe renal dysfunction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C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0%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9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 (eGFR &lt;30 mL/min/1.73m²)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B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N/A</w:t>
            </w:r>
          </w:p>
        </w:tc>
      </w:tr>
      <w:tr w14:paraId="288D5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57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Severe hepatic impairment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9F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0%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0F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 (Child-Pugh ≥7)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0F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N/A</w:t>
            </w:r>
          </w:p>
        </w:tc>
      </w:tr>
    </w:tbl>
    <w:p w14:paraId="0BC1C487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</w:pPr>
      <w:r>
        <w:rPr>
          <w:rFonts w:hint="default" w:ascii="Arial Narrow" w:hAnsi="Arial Narrow" w:eastAsia="Segoe UI" w:cs="Arial Narrow"/>
          <w:i/>
          <w:iCs/>
          <w:color w:val="0D0D0D"/>
          <w:kern w:val="0"/>
          <w:sz w:val="16"/>
          <w:szCs w:val="16"/>
          <w:highlight w:val="none"/>
          <w:u w:val="none"/>
          <w:lang w:val="en-US" w:eastAsia="zh-CN" w:bidi="ar"/>
        </w:rPr>
        <w:t xml:space="preserve">Note: </w:t>
      </w:r>
      <w:r>
        <w:rPr>
          <w:rFonts w:hint="default" w:ascii="Arial Narrow" w:hAnsi="Arial Narrow" w:eastAsia="Segoe UI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  <w:t>Data presented as mean ± SD or percentage.</w:t>
      </w:r>
      <w:r>
        <w:rPr>
          <w:rStyle w:val="9"/>
          <w:rFonts w:hint="default" w:ascii="Arial Narrow" w:hAnsi="Arial Narrow" w:eastAsia="Segoe UI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  <w:t>Severe renal dysfunction</w:t>
      </w:r>
      <w:r>
        <w:rPr>
          <w:rFonts w:hint="default" w:ascii="Arial Narrow" w:hAnsi="Arial Narrow" w:eastAsia="Segoe UI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  <w:t>: Defined as eGFR &lt;30 mL/min/1.73m².</w:t>
      </w:r>
      <w:r>
        <w:rPr>
          <w:rStyle w:val="9"/>
          <w:rFonts w:hint="default" w:ascii="Arial Narrow" w:hAnsi="Arial Narrow" w:eastAsia="Segoe UI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  <w:t>Severe hepatic impairment</w:t>
      </w:r>
      <w:r>
        <w:rPr>
          <w:rFonts w:hint="default" w:ascii="Arial Narrow" w:hAnsi="Arial Narrow" w:eastAsia="Segoe UI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  <w:t>: Defined by Child-Pugh score ≥7.P-values calculated via t-test (continuous variables) or chi-square test (categorical variables)</w:t>
      </w:r>
    </w:p>
    <w:p w14:paraId="7A8DAA2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0D5936DB">
      <w:pPr>
        <w:pStyle w:val="4"/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highlight w:val="none"/>
          <w:lang w:val="en-US" w:eastAsia="zh-CN" w:bidi="ar"/>
        </w:rPr>
      </w:pPr>
      <w:bookmarkStart w:id="0" w:name="_Ref16991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Table </w:t>
      </w:r>
      <w:bookmarkEnd w:id="0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18"/>
          <w:szCs w:val="18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highlight w:val="none"/>
          <w:lang w:val="en-US" w:eastAsia="zh-CN" w:bidi="ar"/>
        </w:rPr>
        <w:t>Baseline characteristics according to tertiles of the triglyceride</w:t>
      </w:r>
      <w:r>
        <w:rPr>
          <w:rFonts w:hint="default" w:ascii="Times New Roman" w:hAnsi="Times New Roman" w:eastAsia="STIX-Regular" w:cs="Times New Roman"/>
          <w:color w:val="000000"/>
          <w:kern w:val="0"/>
          <w:sz w:val="18"/>
          <w:szCs w:val="18"/>
          <w:highlight w:val="none"/>
          <w:lang w:val="en-US" w:eastAsia="zh-CN" w:bidi="ar"/>
        </w:rPr>
        <w:t>‒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highlight w:val="none"/>
          <w:lang w:val="en-US" w:eastAsia="zh-CN" w:bidi="ar"/>
        </w:rPr>
        <w:t>glucose index</w:t>
      </w:r>
    </w:p>
    <w:tbl>
      <w:tblPr>
        <w:tblStyle w:val="6"/>
        <w:tblW w:w="94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1755"/>
        <w:gridCol w:w="1635"/>
        <w:gridCol w:w="1620"/>
        <w:gridCol w:w="1560"/>
        <w:gridCol w:w="855"/>
      </w:tblGrid>
      <w:tr w14:paraId="63F5A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5C15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Viable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F9A22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Total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230CE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TyG index level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6B9981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ADA96A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97521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 w14:paraId="453F4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9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202E3502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0ECA0F13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CFE10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T1 (≤ 8.25)</w:t>
            </w: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EC814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T2 (&gt; 8.25, ≤ 9.48)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13DCF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T3 (&gt; 9.48)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57CC4CDF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1ECB5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99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F922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N (%)</w:t>
            </w: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7EEB02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16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1EAC0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1B27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9610E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37FF0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–</w:t>
            </w:r>
          </w:p>
        </w:tc>
      </w:tr>
      <w:tr w14:paraId="7B910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1A47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Age, y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7E83E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63.00(53.00,67.00)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33A1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64.00 (54.00,69.00)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157C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62.50 (55.00,68.00)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283B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61.50 (49.00,62.00)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1D461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7FEF1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79E5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Male,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8489B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386(61.46)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86B3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126 (60.00)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6995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129 (61.72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4205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131(62.68)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B4E13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0.070</w:t>
            </w:r>
          </w:p>
        </w:tc>
      </w:tr>
      <w:tr w14:paraId="38F8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2F3A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BMI, kg/m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EB0AA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26.53 (24.30,28.80)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9E79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25.45 (23.30,27.64)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5633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26.76 (24.80,29.50)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99A5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26.94 (24.90,29.80)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720BD3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0.962</w:t>
            </w:r>
          </w:p>
        </w:tc>
      </w:tr>
      <w:tr w14:paraId="48CA1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68F6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HR, bpm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786CB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70(68,75)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F958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72 (68,77)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8E04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71 (66,78)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8CDB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69 (67,76.00)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F4B18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0.223</w:t>
            </w:r>
          </w:p>
        </w:tc>
      </w:tr>
      <w:tr w14:paraId="404F3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B9C3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SBP, mmHg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4C163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130(123,142)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307E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131(122,143)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85F4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 (121,142)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C701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129(121,143)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B0E8D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0.045*</w:t>
            </w:r>
          </w:p>
        </w:tc>
      </w:tr>
      <w:tr w14:paraId="2C238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4436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DBP, mmHg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81536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78(72,85)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F330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75(70,84)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3DDE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80 (72,85)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D6A3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78(71,83)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DFDA5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77EFF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F227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Risk factors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61321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8261C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93B58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046DC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2166F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20B6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94E4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smoker,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7B196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382(60.83)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31D6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122 (58.10)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1242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 (62.20)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CB5A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130(62.20)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12BC00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0.755</w:t>
            </w:r>
          </w:p>
        </w:tc>
      </w:tr>
      <w:tr w14:paraId="7CEEE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6241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Drinker,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F7A62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191 (30.41)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BD19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67 (31.90)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439A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63(30.14)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6420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61(29.19)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A754D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0.858</w:t>
            </w:r>
          </w:p>
        </w:tc>
      </w:tr>
      <w:tr w14:paraId="55A6F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0A4A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AF,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B866E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17(2.71)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E83B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(3.33)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99A0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 (2.87)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72F9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 (1.91)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87551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0.635</w:t>
            </w:r>
          </w:p>
        </w:tc>
      </w:tr>
      <w:tr w14:paraId="41A9C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EF96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Hypertensive disease,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88F1E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327 (52.07)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B45F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68(32.38)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6605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104(49.76)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1176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155(74.16)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CAE2D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60CC4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DA0F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CKD,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42E8D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40 (7.33)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4CD5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11(5.24)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D329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16(7.66)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105E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16(7.66)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89BF9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0.440</w:t>
            </w:r>
          </w:p>
        </w:tc>
      </w:tr>
      <w:tr w14:paraId="6052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CDA7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previous stroke,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A4E20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41(6.53)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16F6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 (9.05)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4DBE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 (7.18)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EC67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(3.35)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5D728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0.022*</w:t>
            </w:r>
          </w:p>
        </w:tc>
      </w:tr>
      <w:tr w14:paraId="762C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8D6F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previous MI,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30BAC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80 (12.74)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0FE2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29 (13.81)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3565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25(11.96)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B625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26(12.44)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8ED1D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0.878</w:t>
            </w:r>
          </w:p>
        </w:tc>
      </w:tr>
      <w:tr w14:paraId="019EB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5EA7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Family history of CVD,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D520A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39(6.21)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106D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 (5.71)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D095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14(6.70)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22FA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13(6.22)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8E93D6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0.869</w:t>
            </w:r>
          </w:p>
        </w:tc>
      </w:tr>
      <w:tr w14:paraId="21DF4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AA86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Previous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 xml:space="preserve"> CHD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,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8D7B11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2"/>
                <w:sz w:val="16"/>
                <w:szCs w:val="16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98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5.6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F67F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2"/>
                <w:sz w:val="16"/>
                <w:szCs w:val="16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32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(1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5.23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5D4D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2"/>
                <w:sz w:val="16"/>
                <w:szCs w:val="16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32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(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15.35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10D6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2"/>
                <w:sz w:val="16"/>
                <w:szCs w:val="16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34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(1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6.27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227EFA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2"/>
                <w:sz w:val="16"/>
                <w:szCs w:val="16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0.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934</w:t>
            </w:r>
          </w:p>
        </w:tc>
      </w:tr>
      <w:tr w14:paraId="2DE42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D68C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The duration of T2DM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750358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2E6DE8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AE8F2E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89E3E8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2E5CCE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135E0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5EDA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≤ 5years 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E7CA2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213(33.92)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3178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70(33.33)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3EB7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68(32.54)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B8F7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75(35.89)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B99890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0.171</w:t>
            </w:r>
          </w:p>
        </w:tc>
      </w:tr>
      <w:tr w14:paraId="30079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4CED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&gt; 5years  n (%)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931B8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415(66.08)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8435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140(66.67)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52BF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139(66.51)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57E2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136(65.72)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6A88C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0.272</w:t>
            </w:r>
          </w:p>
        </w:tc>
      </w:tr>
      <w:tr w14:paraId="46FE7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EE90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Laboratory tests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48B73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F13C2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F210A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51FF7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EAD63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3DF2A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A6FEC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RBC,10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12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04262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4.54 ± 0.55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85EA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4.46± 0.54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BEC5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4.56±0.58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A53C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4.61±0.52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E358C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0.005**</w:t>
            </w:r>
          </w:p>
        </w:tc>
      </w:tr>
      <w:tr w14:paraId="34606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0EF6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WBC,10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C414C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7.16(6.20,8.42)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3D70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6.77 (5.80,7.91)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C252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7.34(6.30,8.75)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E57BD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7.47 (6.30,8.82)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712F9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6B7A6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B1F0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PLT,10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A2289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228.56±58.05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39CA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224.74± 57.63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BE07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226.58±56.68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4DF2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230.43±58.75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F47D2F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0.330</w:t>
            </w:r>
          </w:p>
        </w:tc>
      </w:tr>
      <w:tr w14:paraId="66A42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C8D2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NE, %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B59D6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67.29±8.75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088A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67.24± 8.76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AA3B1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67.85±8.82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E439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66.89±7.89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BB20C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0.643</w:t>
            </w:r>
          </w:p>
        </w:tc>
      </w:tr>
      <w:tr w14:paraId="2F2D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FAB2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C-peptide,ng/ml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BE85E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1.52(1.03,3.13)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8B7B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1.45(0.94,3.02)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A7CB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1.50(1.12,2.88)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61D6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1.80(1.18,3.10)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16D06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11907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79A8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 (OH) D,ng/ml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6142E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14.88,24.34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2B6B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21.20(14.60,25.94)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3CEC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21.50(14.85,23.82)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4976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21.45(15.14,23.95)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577BB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0.743</w:t>
            </w:r>
          </w:p>
        </w:tc>
      </w:tr>
      <w:tr w14:paraId="2BA36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1CC8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FBG, mmol/L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9E8E7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5.60(4.40,8.50)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0B32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5.50(4.60,8.30)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3239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5.70(5.10,8.60)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D24D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5.80(5.80,8.90)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1B747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5995D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9CE1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HbA1C%, %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1D4B7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9.20(6.40,9.80)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E151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8.80(6.60,9.50)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0B44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9.00(6.40,10.10)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6033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9.90 (6.90,10.80)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60250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0.005**</w:t>
            </w:r>
          </w:p>
        </w:tc>
      </w:tr>
      <w:tr w14:paraId="4914C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11F2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Hs-CRP, mg/L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D3CB6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1.60(0.60,4.80)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CC79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1.20(0.60,3.90)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0C18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1.50(0.80,4.80)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E585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1.80(0.90,3.90)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184FF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0.085</w:t>
            </w:r>
          </w:p>
        </w:tc>
      </w:tr>
      <w:tr w14:paraId="55100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0B03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Hb, g/L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347FD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143.00(131.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0,151.00)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AF99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141.00 (127.00,149.00)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1379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144.00 (131.00,156.00)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0079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144.00(132.00,153.00)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DBFDC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0.031*</w:t>
            </w:r>
          </w:p>
        </w:tc>
      </w:tr>
      <w:tr w14:paraId="481CA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322A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Alb, g/L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C32B9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43.26±3.94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A544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42.51±3.75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DFEA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43.01±4.15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3A2B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44.17±3.67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BBDB7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01B08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C387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eGFR, mL/min/1.73 m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BD3DC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86.20(65.40,99.10)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1D23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89.20(69.10,96.60)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9C8A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84.00(68.00,97.00)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DDE1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83.80 (65.40,99.10)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F6195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0.645</w:t>
            </w:r>
          </w:p>
        </w:tc>
      </w:tr>
      <w:tr w14:paraId="05D21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F7A7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BUN, mmol/L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B3980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6.20 (4.50,8.10)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259C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5.60 (4.50,7.00)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17A8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6.10 (4.70,7.90)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2D0D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6.40 (5.40,8.10)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3D67F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444E0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4C84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UA, μmol/L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78B9C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473.05 ± 103.38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776F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454.04 ± 100.03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4855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510.00 ± 100.18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4C8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580.78 ± 106.45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0334B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58EA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E33B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Cr, μmol/L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04CDF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83.00 (70.00,100.00)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92B3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81.00 (70.00,96.00)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FA82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83.00(73.00,101.00)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A049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86.00 (73.00,103.00)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53233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0.081</w:t>
            </w:r>
          </w:p>
        </w:tc>
      </w:tr>
      <w:tr w14:paraId="428E0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96B4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TG, mmol/L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BA87B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1.23 (0.70,2.33)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08B7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1.02 (0.83,1.30)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AF93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1.39 (1.40,1.92)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3F55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2.30(1.81,3.24)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F35F2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13982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4A9C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TC, mmol/L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58025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3.91 (3.22,5.33)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8720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3.64 (3.21,4.36)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2410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3.88 (3.34,4.45)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04CC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4.32(3.70,5.37)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44503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4F4BC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53B6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HDL-C, mmol/L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BD470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0.98 (0.81,1.23)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949F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1.04 (0.90,1.24)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9685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0.96 (0.83,1.17)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A6A9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0.92 (0.83,1.16)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83E14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0.000**</w:t>
            </w:r>
          </w:p>
        </w:tc>
      </w:tr>
      <w:tr w14:paraId="1531E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A76F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LDL-C, mmol/L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C7EC3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2.22 (1.61,3.22)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BE80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2.12 (1.66,2.66)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02A7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2.21 (1.98,2.82)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C75B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2.40 (1.94,3.27)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6FCAB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0.003**</w:t>
            </w:r>
          </w:p>
        </w:tc>
      </w:tr>
      <w:tr w14:paraId="3DBF3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B8DB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Hcy, μmol/l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0F9AF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13.20 (9.20,24.30)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AFF0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13.60 (9.20,24.30)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BF64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14.10 (9.70,23.80)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8A87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12.20 (9.50,20.00)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10414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0.212</w:t>
            </w:r>
          </w:p>
        </w:tc>
      </w:tr>
      <w:tr w14:paraId="4E5B7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92AB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ALT, U/L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63BAA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20.00 (16.00,34.00)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4806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18.00 (13.00,29.00)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150B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20.00 (14.00,37.00)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138B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22.00 (15.00,36.00)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37D71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0.345</w:t>
            </w:r>
          </w:p>
        </w:tc>
      </w:tr>
      <w:tr w14:paraId="07305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64AA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AST, U/L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625F7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20.00 (16.00,33.00)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15BC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21.00 (12.00,29.00)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34F3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19.00 (16.00,29.00)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5EFC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21.00 (16.00,39.00)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0DBE8D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0.853</w:t>
            </w:r>
          </w:p>
        </w:tc>
      </w:tr>
      <w:tr w14:paraId="6A809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BC56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Discharge prescription, n (%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1C300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4AA74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55AFE2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3D85D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19471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740AD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E729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GLP-1RA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1AE35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100(15.92)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062E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32(15.24)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92AA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33(15.79)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40C2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35 (16.75)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6BC1DC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0.021*</w:t>
            </w:r>
          </w:p>
        </w:tc>
      </w:tr>
      <w:tr w14:paraId="212E5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D4DA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SGLT-2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5E86E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108(17.20)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CAC3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35(16.67)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018A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36 (17.22)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D62F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37 (17.70)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DB7FD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0.011*</w:t>
            </w:r>
          </w:p>
        </w:tc>
      </w:tr>
      <w:tr w14:paraId="49BF4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1642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DPP-4i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57229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 (18.63)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1EA1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41(19.52)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A976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39(18.66)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FE24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37(17.70)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B627B5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0.714</w:t>
            </w:r>
          </w:p>
        </w:tc>
      </w:tr>
      <w:tr w14:paraId="168F7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866A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Metformin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74248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427(68.00)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9688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143(68.10)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5CBE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142(67.94)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E985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142(67.94)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A24D5A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0.456</w:t>
            </w:r>
          </w:p>
        </w:tc>
      </w:tr>
      <w:tr w14:paraId="392B3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D290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TZDs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024E5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38 (6.05)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47D3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 (6.19)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A2CC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 (5.74)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F646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13(6.22)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A2FDD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0.454</w:t>
            </w:r>
          </w:p>
        </w:tc>
      </w:tr>
      <w:tr w14:paraId="7FA4A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526C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Other 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OADs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729AA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319(50.80)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FE6B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106(50.48)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7624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105(50.24)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F314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108(51.67)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FE3BF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0.135</w:t>
            </w:r>
          </w:p>
        </w:tc>
      </w:tr>
      <w:tr w14:paraId="7D7F2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F2D8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Insulin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D666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382(60.82)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9255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128(60.95)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94FD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125(59.81)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2480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129(61.72)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596DE0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0.350</w:t>
            </w:r>
          </w:p>
        </w:tc>
      </w:tr>
      <w:tr w14:paraId="78DD2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8002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Statins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EC001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462(73.57)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BBE6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161(76.67)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41BD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150(71.78)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58AB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151(72.25)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3A427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0.759</w:t>
            </w:r>
          </w:p>
        </w:tc>
      </w:tr>
      <w:tr w14:paraId="4545C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9582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Antiplatelet therapy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8389E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313(49.84)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3AC1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103(49.05)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F3B8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106(50.72)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27E3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104(49.76)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170253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0.557</w:t>
            </w:r>
          </w:p>
        </w:tc>
      </w:tr>
      <w:tr w14:paraId="526E1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EC41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ACEI/ARBs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272A7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191(30.41)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9592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62(29.52)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7CBD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57(27.27)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D76C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72(34.45)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7E577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0.191</w:t>
            </w:r>
          </w:p>
        </w:tc>
      </w:tr>
      <w:tr w14:paraId="24712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1658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Beta-blocker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4EA81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35 (5.59)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3CAE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10(4.76)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076E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 (5.74)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29B7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13(6.22)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CBBDE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0.710</w:t>
            </w:r>
          </w:p>
        </w:tc>
      </w:tr>
      <w:tr w14:paraId="7B0C1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D0D5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CCB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94108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130(20.70)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0A6F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48(22.86)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A57B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37 (17.70)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57FA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45(21.53)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C116D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0.454</w:t>
            </w:r>
          </w:p>
        </w:tc>
      </w:tr>
      <w:tr w14:paraId="7CF9B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E794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Febuxostat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AD5D7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 (18.63)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63E9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41(19.52)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A4C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37(17.70)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2689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39(18.66)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7DA07C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0.714</w:t>
            </w:r>
          </w:p>
        </w:tc>
      </w:tr>
      <w:tr w14:paraId="666C4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4014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Benzbromarone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DD5D2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95(15.13)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247A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32(15.24)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EB70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33(15.79)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CBB0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30(14.35)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92ACDC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0.813</w:t>
            </w:r>
          </w:p>
        </w:tc>
      </w:tr>
      <w:tr w14:paraId="5FBD1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9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3D546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MACE, n (%)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55FA30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74(11.78)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4E61F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17(8.10)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A5D84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 (11.00)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0D7ED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34(16.27)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A350D2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0.021*</w:t>
            </w:r>
          </w:p>
        </w:tc>
      </w:tr>
    </w:tbl>
    <w:p w14:paraId="3414BC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The data are expressed as the means ± SDs, medians with interquartile ranges or percentages. *P &lt; 0.05, **P &lt; 0.01</w:t>
      </w:r>
    </w:p>
    <w:p w14:paraId="21504D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TyG, index triglyceride‒glucose; BMI, body mass index; HR heart rate; SBP, systolic blood pressure; DBP diastolic blood pressure; AF atrial fibrillation; CKD, chronic kidney disease;MI, myocardial infarction;</w:t>
      </w:r>
      <w:r>
        <w:rPr>
          <w:rFonts w:hint="default" w:ascii="Arial Narrow" w:hAnsi="Arial Narrow" w:eastAsia="宋体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  <w:lang w:val="en-US" w:eastAsia="zh-CN"/>
        </w:rPr>
        <w:t>CHD,c</w:t>
      </w:r>
      <w:r>
        <w:rPr>
          <w:rFonts w:hint="default" w:ascii="Arial Narrow" w:hAnsi="Arial Narrow" w:eastAsia="Segoe UI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  <w:t>oronary heart disease</w:t>
      </w:r>
      <w:r>
        <w:rPr>
          <w:rFonts w:hint="eastAsia" w:ascii="Arial Narrow" w:hAnsi="Arial Narrow" w:eastAsia="宋体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  <w:lang w:val="en-US" w:eastAsia="zh-CN"/>
        </w:rPr>
        <w:t>;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shd w:val="clear" w:fill="FFFFFF"/>
        </w:rPr>
        <w:t>CVD</w:t>
      </w:r>
      <w:r>
        <w:rPr>
          <w:rFonts w:hint="default" w:ascii="Arial Narrow" w:hAnsi="Arial Narrow" w:eastAsia="宋体" w:cs="Arial Narrow"/>
          <w:i w:val="0"/>
          <w:iCs w:val="0"/>
          <w:caps w:val="0"/>
          <w:spacing w:val="0"/>
          <w:sz w:val="16"/>
          <w:szCs w:val="16"/>
          <w:shd w:val="clear" w:fill="FFFFFF"/>
          <w:lang w:val="en-US" w:eastAsia="zh-CN"/>
        </w:rPr>
        <w:t>,c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shd w:val="clear" w:fill="FFFFFF"/>
        </w:rPr>
        <w:t xml:space="preserve">ardiovascular </w:t>
      </w:r>
      <w:r>
        <w:rPr>
          <w:rFonts w:hint="default" w:ascii="Arial Narrow" w:hAnsi="Arial Narrow" w:eastAsia="宋体" w:cs="Arial Narrow"/>
          <w:i w:val="0"/>
          <w:iCs w:val="0"/>
          <w:caps w:val="0"/>
          <w:spacing w:val="0"/>
          <w:sz w:val="16"/>
          <w:szCs w:val="16"/>
          <w:shd w:val="clear" w:fill="FFFFFF"/>
          <w:lang w:val="en-US" w:eastAsia="zh-CN"/>
        </w:rPr>
        <w:t>d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shd w:val="clear" w:fill="FFFFFF"/>
        </w:rPr>
        <w:t>isease</w:t>
      </w:r>
      <w:r>
        <w:rPr>
          <w:rFonts w:hint="eastAsia" w:ascii="Arial Narrow" w:hAnsi="Arial Narrow" w:eastAsia="宋体" w:cs="Arial Narrow"/>
          <w:i w:val="0"/>
          <w:iCs w:val="0"/>
          <w:caps w:val="0"/>
          <w:spacing w:val="0"/>
          <w:sz w:val="16"/>
          <w:szCs w:val="16"/>
          <w:shd w:val="clear" w:fill="FFFFFF"/>
          <w:lang w:val="en-US" w:eastAsia="zh-CN"/>
        </w:rPr>
        <w:t>;</w:t>
      </w: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T2DM type 2 diabetes mellitus;RBC, red blood cell;WBC, white blood cell;PLT, platelet;NE, neutrophil;25 (OH) D,25-hydroxyvitamin D;FBG, fasting blood glucose; HbA1c%, hemoglobin A1c%;Hs-CRP, high sensitivity C-reactive protein;Hb, hemoglobin;Alb, Albumin;eGFR, estimated glomerular filtration rate;BUN,blood urea nitrogen;UA, uric acid; Cr, creatinine; TG, triglyceride ; TC, total cholesterol; HDL-C, high-density lipoprotein cholesterol; LDL-C, low-density lipoprotein cholesterol;Hcy, homocysteine; ALT, Alanine transaminase; AST, Aspartate Aminotransferase; GLP-1RA, glucagon-like peptide-1 receptor agonist;SGLT-2i，sodium-glucose cotransporter 2 inhibitor;DPP-4i, dipeptidyl peptidase-4 inhibitor;TZDs,thiazolidinediones;OADs，oral antidiabetic drugs；ACEI/ARB, angiotensin-converting enzyme inhibitor/angiotensin receptor blocker;CCB, calcium channel blocker;MACEs major adverse cardiovascular events</w:t>
      </w:r>
    </w:p>
    <w:p w14:paraId="0FCBF44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6C6F70BE">
      <w:pPr>
        <w:pStyle w:val="4"/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highlight w:val="none"/>
          <w:lang w:val="en-US" w:eastAsia="zh-CN" w:bidi="ar"/>
        </w:rPr>
      </w:pPr>
      <w:bookmarkStart w:id="1" w:name="_Ref17281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Table </w:t>
      </w:r>
      <w:bookmarkEnd w:id="1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3 </w:t>
      </w: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18"/>
          <w:szCs w:val="18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highlight w:val="none"/>
          <w:lang w:val="en-US" w:eastAsia="zh-CN" w:bidi="ar"/>
        </w:rPr>
        <w:t>Baseline clinical characteristics of patients stratified by MACEs</w:t>
      </w:r>
    </w:p>
    <w:tbl>
      <w:tblPr>
        <w:tblStyle w:val="6"/>
        <w:tblW w:w="88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770"/>
        <w:gridCol w:w="1800"/>
        <w:gridCol w:w="1830"/>
        <w:gridCol w:w="900"/>
      </w:tblGrid>
      <w:tr w14:paraId="7A6F6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2BC2C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Indicators</w:t>
            </w:r>
          </w:p>
        </w:tc>
        <w:tc>
          <w:tcPr>
            <w:tcW w:w="17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CBC7719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Overall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2DBEE92">
            <w:pPr>
              <w:keepNext w:val="0"/>
              <w:keepLines w:val="0"/>
              <w:widowControl/>
              <w:suppressLineNumbers w:val="0"/>
              <w:ind w:firstLineChars="30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Maces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6BAC2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Non-Maces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2F052C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 w14:paraId="5AF97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9852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N (%)</w:t>
            </w:r>
          </w:p>
        </w:tc>
        <w:tc>
          <w:tcPr>
            <w:tcW w:w="17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6DD1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425C7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D45F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E128B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302A2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B633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Age, 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9505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63.00(53.00,67.00)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CFF4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64.00(50.00,68.00)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9EA6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63.00(53.00,68.00)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F0E7F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0.216</w:t>
            </w:r>
          </w:p>
        </w:tc>
      </w:tr>
      <w:tr w14:paraId="6A46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8338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Male,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1F55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386(61.46)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804E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45 (60.81)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6787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341 (61.55)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82C94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0.564</w:t>
            </w:r>
          </w:p>
        </w:tc>
      </w:tr>
      <w:tr w14:paraId="7DBC6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2622B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BMI, kg/m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BA05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26.53 (24.30,28.80)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782D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26.01 (23.94,27.83)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8217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26.23 (24.20,28.47)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9566A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0.458</w:t>
            </w:r>
          </w:p>
        </w:tc>
      </w:tr>
      <w:tr w14:paraId="42F23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1147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HR, bpm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37FC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70.00 (68.00,75.00)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43CC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72.00 (67.00,81.00)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AA25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70.00 (66.00,78.00)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B66736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0.429</w:t>
            </w:r>
          </w:p>
        </w:tc>
      </w:tr>
      <w:tr w14:paraId="44C20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14A5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SBP, mmHg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953A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130.00 (123.00,142.00)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7C24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130.00 (120.00,144.00)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0A9F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130.00 (120.00,140.00)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BA72A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0.820</w:t>
            </w:r>
          </w:p>
        </w:tc>
      </w:tr>
      <w:tr w14:paraId="443B3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DE4F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DBP, mmHg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7B49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78.00 (72.00,85.00)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D752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77.50 (70.00,86.00)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0F70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78.50 (70.00,85.00)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444CA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0.880</w:t>
            </w:r>
          </w:p>
        </w:tc>
      </w:tr>
      <w:tr w14:paraId="400B3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48EB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Risk factors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530B2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25E6D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63A7F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93802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0AC27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2C26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smoker,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6C7D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382(60.83)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A539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31 (41.89)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7341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351(63.36)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2E1CDE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0.145</w:t>
            </w:r>
          </w:p>
        </w:tc>
      </w:tr>
      <w:tr w14:paraId="0BC95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CA2D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Drinker,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78DE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191 (30.41)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2BAC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 (20.27)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90A9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176(31.77)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2C863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0.677</w:t>
            </w:r>
          </w:p>
        </w:tc>
      </w:tr>
      <w:tr w14:paraId="0F03A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4DAB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AF,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71EE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17(2.71)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8A04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 (1.35)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0646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16(2.89)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61535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0.628</w:t>
            </w:r>
          </w:p>
        </w:tc>
      </w:tr>
      <w:tr w14:paraId="33EFD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85E9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Hypertensive disease,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4DC0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227 (36.15)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3BA0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24(32.43)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73EA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203 (36.60)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3CF7F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0.680</w:t>
            </w:r>
          </w:p>
        </w:tc>
      </w:tr>
      <w:tr w14:paraId="39C7B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E19A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CKD,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3CEB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40 (7.33)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5F74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 (6.76)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9336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35 (6.32)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20BCA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0.566</w:t>
            </w:r>
          </w:p>
        </w:tc>
      </w:tr>
      <w:tr w14:paraId="27C25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B1B9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previous stroke,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12AE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41(6.53)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E79E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 (2.70)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6F33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37 (6.68)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8A772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0.293</w:t>
            </w:r>
          </w:p>
        </w:tc>
      </w:tr>
      <w:tr w14:paraId="6B221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73BA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previous MI,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02EA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80 (12.74)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7786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9(12.16)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A767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71(12.82)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67E29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0.653</w:t>
            </w:r>
          </w:p>
        </w:tc>
      </w:tr>
      <w:tr w14:paraId="2F391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C1D5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Family history of CVD,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D94C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39(6.21)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4330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5(6.77)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24A1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34(6.14)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17F73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0.448</w:t>
            </w:r>
          </w:p>
        </w:tc>
      </w:tr>
      <w:tr w14:paraId="3CEA4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4684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Previous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 xml:space="preserve"> CHD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,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DF4B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2"/>
                <w:sz w:val="16"/>
                <w:szCs w:val="16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98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(1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5.6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8535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2"/>
                <w:sz w:val="16"/>
                <w:szCs w:val="16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13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(1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7.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F30B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2"/>
                <w:sz w:val="16"/>
                <w:szCs w:val="16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71(1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5.3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8FD04C1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2"/>
                <w:sz w:val="16"/>
                <w:szCs w:val="16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0.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yellow"/>
                <w:u w:val="none"/>
                <w:lang w:val="en-US" w:eastAsia="zh-CN" w:bidi="ar"/>
              </w:rPr>
              <w:t>877</w:t>
            </w:r>
          </w:p>
        </w:tc>
      </w:tr>
      <w:tr w14:paraId="46DE2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110B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The duration of T2DM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6FBCD2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402FC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C87A0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C9F26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65ABE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4CB2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≤ 5years 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3B54C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213(33.92)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0FA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23(31.08)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CFC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190(89.20)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67AD82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0.192</w:t>
            </w:r>
          </w:p>
        </w:tc>
      </w:tr>
      <w:tr w14:paraId="6C87F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E484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&gt; 5years  n (%)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9DB3E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415(66.08)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EC6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51(68.92)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A27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364(87.71)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C840D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0.066</w:t>
            </w:r>
          </w:p>
        </w:tc>
      </w:tr>
      <w:tr w14:paraId="36231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E70D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Laboratory tests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E2DD4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44170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CEBD7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9EF30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30AA4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459C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RBC,10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12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2DC2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4.47 (4.10,4.78)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FF4B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4.47 (4.00,4.74)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6D35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4.61 (4.32,4.90)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C2744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0.033*</w:t>
            </w:r>
          </w:p>
        </w:tc>
      </w:tr>
      <w:tr w14:paraId="193A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307F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WBC,10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9F1E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7.16(6.20,8.42)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B522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7.74 (6.64,9.30)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726D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7.11 (6.10,8.54)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D090E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0.112</w:t>
            </w:r>
          </w:p>
        </w:tc>
      </w:tr>
      <w:tr w14:paraId="2728E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6EBE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PLT,10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07B1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222.00 (198.00,242.00)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302A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222.00 (198.80,252.80)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44B1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220.00 (186.00,265.00)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A3AE45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0.977</w:t>
            </w:r>
          </w:p>
        </w:tc>
      </w:tr>
      <w:tr w14:paraId="55A9F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EB11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NE, %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6E6C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67.29±8.75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C9C9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68.69 ± 7.30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666B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67.14 ± 8.55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0B5B7D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0.235</w:t>
            </w:r>
          </w:p>
        </w:tc>
      </w:tr>
      <w:tr w14:paraId="7E199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37E7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C-peptide,ng/ml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8AEC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1.52(1.03,3.13)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7159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1.48(1.24,3.12)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5790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1.41(1.33,3.09)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5CA78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0.032*</w:t>
            </w:r>
          </w:p>
        </w:tc>
      </w:tr>
      <w:tr w14:paraId="55AA2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9DBD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 (OH) D,ng/ml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E6EF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14.88,24.34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40E7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15.81,23.84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9BF9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19.88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14.39,24.37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93A23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0.025*</w:t>
            </w:r>
          </w:p>
        </w:tc>
      </w:tr>
      <w:tr w14:paraId="37F0F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99A5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Glu, mmol/L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F8DE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5.60(4.60,9.50)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DCED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5.89 (5.10,7.70)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CC95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5.63 (5.00,6.90)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F6D18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0.180</w:t>
            </w:r>
          </w:p>
        </w:tc>
      </w:tr>
      <w:tr w14:paraId="63803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E3D7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HbA1C%, %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FAF6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6.00(5.40,7.80)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0518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6.30 (5.80,7.90)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D564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6.00 (5.60,6.90)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6D150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0.034*</w:t>
            </w:r>
          </w:p>
        </w:tc>
      </w:tr>
      <w:tr w14:paraId="490FA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CDDD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hs-CRP, mg/L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064E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1.60(0.60,4.80)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34BA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2.48 (0.80,5.90)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FE67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1.50 (0.70,3.90)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EF327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0.068</w:t>
            </w:r>
          </w:p>
        </w:tc>
      </w:tr>
      <w:tr w14:paraId="4EF8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B7EB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Hb, g/L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17B4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143.00 (131.00,151.00)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97BC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142.00 (122.00,148.00)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2277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143.00 (131.00,153.00)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27E98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0.035*</w:t>
            </w:r>
          </w:p>
        </w:tc>
      </w:tr>
      <w:tr w14:paraId="679B2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5583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Alb, g/L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F268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42.20(39.50,44.90)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E74A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42.20 (39.50,44.90)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4879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43.50 (40.90,45.90)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1A261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0.046*</w:t>
            </w:r>
          </w:p>
        </w:tc>
      </w:tr>
      <w:tr w14:paraId="04FFD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5B2F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eGFR, mL/min/1.73 m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22B7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86.20(65.40,99.10)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538C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86.80 (55.00,100.10)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2D6E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86.10(68.80,97.30)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D6796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0.545</w:t>
            </w:r>
          </w:p>
        </w:tc>
      </w:tr>
      <w:tr w14:paraId="7676A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9C05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Urea, mmol/L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5549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6.20 (4.50,8.10)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B5CF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6.20 (4.60,9.40)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88B5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6.020(4.80,7.50)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16258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0.467</w:t>
            </w:r>
          </w:p>
        </w:tc>
      </w:tr>
      <w:tr w14:paraId="7F6E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944F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UA, μmol/L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8BF3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489.00 (413.00,538.00)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52BD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489.00 (413.00,538.00)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93E8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463.00 (410.00,542.00)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361C0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0.288</w:t>
            </w:r>
          </w:p>
        </w:tc>
      </w:tr>
      <w:tr w14:paraId="57B46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CC87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Cr, μmol/L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9471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83.00 (70.00,100.00)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A168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89.60 (71.40,126.10)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86BB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83.05 (72.30,110.40)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2AE327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0.258</w:t>
            </w:r>
          </w:p>
        </w:tc>
      </w:tr>
      <w:tr w14:paraId="0ABA0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5146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TG, mmol/L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BFE0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1.53 (0.80,3.13)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9985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1.53 (1.20,2.00)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0725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1.53 (1.10,2.10)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560CFD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0.612</w:t>
            </w:r>
          </w:p>
        </w:tc>
      </w:tr>
      <w:tr w14:paraId="5FE77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16AD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TC, mmol/L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615D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3.91 (3.22,5.33)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93F8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3.93 (3.50,4.50)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2E87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3.90 (3.40,4.60)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4D3F5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0.567</w:t>
            </w:r>
          </w:p>
        </w:tc>
      </w:tr>
      <w:tr w14:paraId="1C17C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0DF2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HDL-C, mmol/L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C3E9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0.98 (0.81,1.23)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3FAC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1.00 (0.80,1.20)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6CF5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0.98 (0.80,1.10)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8809D6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0.914</w:t>
            </w:r>
          </w:p>
        </w:tc>
      </w:tr>
      <w:tr w14:paraId="14B81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3684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LDL-C, mmol/L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722F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2.22 (1.61,3.22)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91F9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2.31 (1.90,2.70)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0ED9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2.20 (1.70,2.80)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EC75B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0.662</w:t>
            </w:r>
          </w:p>
        </w:tc>
      </w:tr>
      <w:tr w14:paraId="6EC92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36D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Hcy, μmol/l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B328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13.20 (9.20,24.30)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399E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13.00 (9.50,23.00)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5F3A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13.20(9.50,22.10)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A72788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0.715</w:t>
            </w:r>
          </w:p>
        </w:tc>
      </w:tr>
      <w:tr w14:paraId="7CB1E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CEFA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ALT, U/L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336C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20.00 (16.00,34.00)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45B1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17.00 (13.50,30.00)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103D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20.00 (14.00,31.80)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81276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0.187</w:t>
            </w:r>
          </w:p>
        </w:tc>
      </w:tr>
      <w:tr w14:paraId="1F491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CD20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AST, U/L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D1F3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20.00 (16.00,33.00)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82BE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19.00 (14.80,22.30)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F7FD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20.00 (16.00,28.00)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A5AAD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0.158</w:t>
            </w:r>
          </w:p>
        </w:tc>
      </w:tr>
      <w:tr w14:paraId="25961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4549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Discharge prescription, n (%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A9ED4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96BCCAA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6D9F03">
            <w:pP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81E64A">
            <w:pPr>
              <w:jc w:val="left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0ED1D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1260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GLP-1RA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5976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100(15.92)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041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12(16.2)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9FF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88(15.88)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22488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0.241</w:t>
            </w:r>
          </w:p>
        </w:tc>
      </w:tr>
      <w:tr w14:paraId="650EC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F42A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SGLT-2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5E98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108(17.20)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EA6F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13(17.57)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D3B4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95(17.15)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CF4EC6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0.844</w:t>
            </w:r>
          </w:p>
        </w:tc>
      </w:tr>
      <w:tr w14:paraId="6C239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0ED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DPP-4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B647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 (18.63)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FFEC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13(16.67)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8B1F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104(18.77)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B4C5B5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0.571</w:t>
            </w:r>
          </w:p>
        </w:tc>
      </w:tr>
      <w:tr w14:paraId="75FF3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B5ED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Metformin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16C2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227(36.15)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F4FD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27(36.49)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0419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200(36.10)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532AC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0.823</w:t>
            </w:r>
          </w:p>
        </w:tc>
      </w:tr>
      <w:tr w14:paraId="6EC73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30EC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TZDs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310E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38 (6.05)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0787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4(5.41)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F65A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34(6.14)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4C1FF1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0.965</w:t>
            </w:r>
          </w:p>
        </w:tc>
      </w:tr>
      <w:tr w14:paraId="578D3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D680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Other oral hypoglycemic agents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7575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119(18.95)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D08F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14(18.92)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101C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105(18.95)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BACDA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0.520</w:t>
            </w:r>
          </w:p>
        </w:tc>
      </w:tr>
      <w:tr w14:paraId="6EF0B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31D3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Insulin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F0F1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182(28.99)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7A79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21(28.38)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952B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161(29.06)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287E8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0.654</w:t>
            </w:r>
          </w:p>
        </w:tc>
      </w:tr>
      <w:tr w14:paraId="4BC9D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BA54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Statins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8443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462(73.57)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601A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54(72.97)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102B0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408(73.64)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00D0E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0.354</w:t>
            </w:r>
          </w:p>
        </w:tc>
      </w:tr>
      <w:tr w14:paraId="694B4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6160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Antiplatelet therapy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94EE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313(49.84)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A983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36 (48.64)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9D23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277(50.00)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2FA62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0.497</w:t>
            </w:r>
          </w:p>
        </w:tc>
      </w:tr>
      <w:tr w14:paraId="1BCD3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BC5F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ACEI/ARBs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45EF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191(30.41)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92BC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22(29.73)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5131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169(30.51)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2528C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0.695</w:t>
            </w:r>
          </w:p>
        </w:tc>
      </w:tr>
      <w:tr w14:paraId="0CE8B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CE9B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Beta-blocker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F5BF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35 (5.59)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EC3B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4(5.41)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ECFF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31(5.60)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18717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0.677</w:t>
            </w:r>
          </w:p>
        </w:tc>
      </w:tr>
      <w:tr w14:paraId="13A59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F146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CCB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0C8C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130(20.70)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CC4D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15(20.27)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0AA5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115(20.76)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B0259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0.809</w:t>
            </w:r>
          </w:p>
        </w:tc>
      </w:tr>
      <w:tr w14:paraId="0691F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3B1D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Febuxostat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44D2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 (18.63)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66D2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14(18.92)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3850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103(18.59)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ECB0E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0.968</w:t>
            </w:r>
          </w:p>
        </w:tc>
      </w:tr>
      <w:tr w14:paraId="3554D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3227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Benzbromarone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C83D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95(15.13)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C5A3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11(14.86)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E4CB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84(15.16)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29390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Chars="10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0.463</w:t>
            </w:r>
          </w:p>
        </w:tc>
      </w:tr>
    </w:tbl>
    <w:p w14:paraId="525EC70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bookmarkStart w:id="13" w:name="_GoBack"/>
      <w:bookmarkEnd w:id="13"/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The data are expressed as the means ± SDs, medians with interquartile ranges or percentages. *P &lt; 0.05, **P &lt; 0.01</w:t>
      </w:r>
    </w:p>
    <w:p w14:paraId="64DF0C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TyG, index triglyceride‒glucose; BMI, body mass index; HR heart rate; SBP, systolic blood pressure; DBP diastolic blood pressure; AF atrial fibrillation; CKD, chronic kidney disease;MI, myocardial infarction;</w:t>
      </w:r>
      <w:r>
        <w:rPr>
          <w:rFonts w:hint="default" w:ascii="Arial Narrow" w:hAnsi="Arial Narrow" w:eastAsia="宋体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  <w:lang w:val="en-US" w:eastAsia="zh-CN"/>
        </w:rPr>
        <w:t>CHD,c</w:t>
      </w:r>
      <w:r>
        <w:rPr>
          <w:rFonts w:hint="default" w:ascii="Arial Narrow" w:hAnsi="Arial Narrow" w:eastAsia="Segoe UI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  <w:t>oronary heart disease</w:t>
      </w:r>
      <w:r>
        <w:rPr>
          <w:rFonts w:hint="eastAsia" w:ascii="Arial Narrow" w:hAnsi="Arial Narrow" w:eastAsia="宋体" w:cs="Arial Narrow"/>
          <w:i w:val="0"/>
          <w:iCs w:val="0"/>
          <w:caps w:val="0"/>
          <w:color w:val="0D0D0D"/>
          <w:spacing w:val="0"/>
          <w:sz w:val="16"/>
          <w:szCs w:val="16"/>
          <w:shd w:val="clear" w:fill="FFFFFF"/>
          <w:lang w:val="en-US" w:eastAsia="zh-CN"/>
        </w:rPr>
        <w:t>;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shd w:val="clear" w:fill="FFFFFF"/>
        </w:rPr>
        <w:t>CVD</w:t>
      </w:r>
      <w:r>
        <w:rPr>
          <w:rFonts w:hint="default" w:ascii="Arial Narrow" w:hAnsi="Arial Narrow" w:eastAsia="宋体" w:cs="Arial Narrow"/>
          <w:i w:val="0"/>
          <w:iCs w:val="0"/>
          <w:caps w:val="0"/>
          <w:spacing w:val="0"/>
          <w:sz w:val="16"/>
          <w:szCs w:val="16"/>
          <w:shd w:val="clear" w:fill="FFFFFF"/>
          <w:lang w:val="en-US" w:eastAsia="zh-CN"/>
        </w:rPr>
        <w:t>,c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shd w:val="clear" w:fill="FFFFFF"/>
        </w:rPr>
        <w:t xml:space="preserve">ardiovascular </w:t>
      </w:r>
      <w:r>
        <w:rPr>
          <w:rFonts w:hint="default" w:ascii="Arial Narrow" w:hAnsi="Arial Narrow" w:eastAsia="宋体" w:cs="Arial Narrow"/>
          <w:i w:val="0"/>
          <w:iCs w:val="0"/>
          <w:caps w:val="0"/>
          <w:spacing w:val="0"/>
          <w:sz w:val="16"/>
          <w:szCs w:val="16"/>
          <w:shd w:val="clear" w:fill="FFFFFF"/>
          <w:lang w:val="en-US" w:eastAsia="zh-CN"/>
        </w:rPr>
        <w:t>d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shd w:val="clear" w:fill="FFFFFF"/>
        </w:rPr>
        <w:t>isease</w:t>
      </w:r>
      <w:r>
        <w:rPr>
          <w:rFonts w:hint="eastAsia" w:ascii="Arial Narrow" w:hAnsi="Arial Narrow" w:eastAsia="宋体" w:cs="Arial Narrow"/>
          <w:i w:val="0"/>
          <w:iCs w:val="0"/>
          <w:caps w:val="0"/>
          <w:spacing w:val="0"/>
          <w:sz w:val="16"/>
          <w:szCs w:val="16"/>
          <w:shd w:val="clear" w:fill="FFFFFF"/>
          <w:lang w:val="en-US" w:eastAsia="zh-CN"/>
        </w:rPr>
        <w:t>;</w:t>
      </w: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T2DM type 2 diabetes mellitus;RBC, red blood cell;WBC, white blood cell;PLT, platelet;NE, neutrophil;25 (OH) D,25-hydroxyvitamin D;FBG, fasting blood glucose; HbA1c%, hemoglobin A1c%;Hs-CRP, high sensitivity C-reactive protein;Hb, hemoglobin;Alb, Albumin;eGFR, estimated glomerular filtration rate;BUN,blood urea nitrogen;UA, uric acid; Cr, creatinine; TG, triglyceride ; TC, total cholesterol; HDL-C, high-density lipoprotein cholesterol; LDL-C, low-density lipoprotein cholesterol;Hcy, homocysteine; ALT, Alanine transaminase; AST, Aspartate Aminotransferase; GLP-1RA, glucagon-like peptide-1 receptor agonist;SGLT-2i，sodium-glucose cotransporter 2 inhibitor;DPP-4i, dipeptidyl peptidase-4 inhibitor;TZDs,thiazolidinediones;OADs，oral antidiabetic drugs；ACEI/ARB, angiotensin-converting enzyme inhibitor/angiotensin receptor blocker;CCB, calcium channel blocker;MACEs major adverse cardiovascular events</w:t>
      </w:r>
    </w:p>
    <w:p w14:paraId="296122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</w:p>
    <w:p w14:paraId="323DE8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1C1F23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bookmarkStart w:id="2" w:name="_Ref17634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Table </w:t>
      </w:r>
      <w:bookmarkEnd w:id="2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18"/>
          <w:szCs w:val="18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highlight w:val="none"/>
          <w:lang w:val="en-US" w:eastAsia="zh-CN" w:bidi="ar"/>
        </w:rPr>
        <w:t>Cox regression models for the relationship between the triglyceride</w:t>
      </w:r>
      <w:r>
        <w:rPr>
          <w:rFonts w:hint="default" w:ascii="Times New Roman" w:hAnsi="Times New Roman" w:eastAsia="STIX-Regular" w:cs="Times New Roman"/>
          <w:color w:val="000000"/>
          <w:kern w:val="0"/>
          <w:sz w:val="18"/>
          <w:szCs w:val="18"/>
          <w:highlight w:val="none"/>
          <w:lang w:val="en-US" w:eastAsia="zh-CN" w:bidi="ar"/>
        </w:rPr>
        <w:t>‒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highlight w:val="none"/>
          <w:lang w:val="en-US" w:eastAsia="zh-CN" w:bidi="ar"/>
        </w:rPr>
        <w:t>glucose index and major adverse cardiovascular events</w:t>
      </w:r>
    </w:p>
    <w:tbl>
      <w:tblPr>
        <w:tblStyle w:val="6"/>
        <w:tblW w:w="85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49"/>
        <w:gridCol w:w="905"/>
        <w:gridCol w:w="240"/>
        <w:gridCol w:w="1480"/>
        <w:gridCol w:w="1082"/>
        <w:gridCol w:w="269"/>
        <w:gridCol w:w="1538"/>
        <w:gridCol w:w="848"/>
      </w:tblGrid>
      <w:tr w14:paraId="1ADAD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5F30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3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EA69C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Model 1</w:t>
            </w: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943666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8C0B5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7F3C6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Model 2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674E3D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6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BC0FC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C3513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Model 3</w:t>
            </w: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0C7D43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74898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5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6917DF53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1F171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AA7C75A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71F21C8D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F4803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E28E3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cs="Arial Narrow"/>
                <w:b/>
                <w:bCs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  <w:tc>
          <w:tcPr>
            <w:tcW w:w="2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11342AD0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15C17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86CCC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cs="Arial Narrow"/>
                <w:b/>
                <w:bCs/>
                <w:i/>
                <w:iCs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 w14:paraId="20908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6CAC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TYG</w:t>
            </w:r>
          </w:p>
        </w:tc>
        <w:tc>
          <w:tcPr>
            <w:tcW w:w="13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37AE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1.54 (1.18 ~ 2.05)</w:t>
            </w: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2C0C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89DDA6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920A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1.52(1.16 ~ 2.07)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2ECC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EE8815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D849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1.42 (1.04 ~ 2.12)</w:t>
            </w: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CB1B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0.042</w:t>
            </w:r>
          </w:p>
        </w:tc>
      </w:tr>
      <w:tr w14:paraId="75F3C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324F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Tertile 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B61C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1.0 (Ref)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88FAE8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E20595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312F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1.0 (Ref)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A2092B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D8D9DF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5537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1.0 (Ref)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71E903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4CA6F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F7765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Tertile 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906D3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1.68(0.93 ~ 3.08)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2FFE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DA627F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B3BC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1.69 (0.91 ~ 3.14)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D529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3BAD3EF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B35C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1.67 (0.81 ~ 3.38)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C91C5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0.171</w:t>
            </w:r>
          </w:p>
        </w:tc>
      </w:tr>
      <w:tr w14:paraId="48D9F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5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0EC7B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Tertile 3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7E65A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2.72 (1.58 ~ 4.75)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C512C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.001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3AB04C85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BCFAF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2.67 (1.52 ~ 4.83)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D5AA3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.001</w:t>
            </w:r>
          </w:p>
        </w:tc>
        <w:tc>
          <w:tcPr>
            <w:tcW w:w="2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2A77C29A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46C95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2.45 (1.23 ~ 4.95)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6E2A21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0.014</w:t>
            </w:r>
          </w:p>
        </w:tc>
      </w:tr>
    </w:tbl>
    <w:p w14:paraId="7C2DBD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Arial Narrow" w:hAnsi="Arial Narrow" w:eastAsia="MyriadPro-Regular" w:cs="Arial Narrow"/>
          <w:color w:val="000000"/>
          <w:kern w:val="0"/>
          <w:sz w:val="16"/>
          <w:szCs w:val="16"/>
          <w:highlight w:val="none"/>
          <w:lang w:val="en-US" w:eastAsia="zh-CN" w:bidi="ar"/>
        </w:rPr>
      </w:pPr>
      <w:r>
        <w:rPr>
          <w:rFonts w:hint="default" w:ascii="Arial Narrow" w:hAnsi="Arial Narrow" w:eastAsia="MyriadPro-Regular" w:cs="Arial Narrow"/>
          <w:color w:val="000000"/>
          <w:kern w:val="0"/>
          <w:sz w:val="16"/>
          <w:szCs w:val="16"/>
          <w:highlight w:val="none"/>
          <w:lang w:val="en-US" w:eastAsia="zh-CN" w:bidi="ar"/>
        </w:rPr>
        <w:t xml:space="preserve">Model 1: unadjusted for covariates </w:t>
      </w:r>
    </w:p>
    <w:p w14:paraId="1EFB93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Arial Narrow" w:hAnsi="Arial Narrow" w:cs="Arial Narrow"/>
          <w:sz w:val="16"/>
          <w:szCs w:val="16"/>
          <w:highlight w:val="none"/>
        </w:rPr>
      </w:pPr>
      <w:r>
        <w:rPr>
          <w:rFonts w:hint="default" w:ascii="Arial Narrow" w:hAnsi="Arial Narrow" w:eastAsia="MyriadPro-Regular" w:cs="Arial Narrow"/>
          <w:color w:val="000000"/>
          <w:kern w:val="0"/>
          <w:sz w:val="16"/>
          <w:szCs w:val="16"/>
          <w:highlight w:val="none"/>
          <w:lang w:val="en-US" w:eastAsia="zh-CN" w:bidi="ar"/>
        </w:rPr>
        <w:t xml:space="preserve">Model 2: adjusted for age and sex </w:t>
      </w:r>
    </w:p>
    <w:p w14:paraId="4CBF2F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</w:rPr>
      </w:pPr>
      <w:r>
        <w:rPr>
          <w:rFonts w:hint="default" w:ascii="Arial Narrow" w:hAnsi="Arial Narrow" w:eastAsia="MyriadPro-Regular" w:cs="Arial Narrow"/>
          <w:color w:val="000000"/>
          <w:kern w:val="0"/>
          <w:sz w:val="16"/>
          <w:szCs w:val="16"/>
          <w:highlight w:val="none"/>
          <w:lang w:val="en-US" w:eastAsia="zh-CN" w:bidi="ar"/>
        </w:rPr>
        <w:t>Model 3: adjusted for age, sex, Hb, Alb</w:t>
      </w:r>
      <w:r>
        <w:rPr>
          <w:rFonts w:hint="eastAsia" w:ascii="Arial Narrow" w:hAnsi="Arial Narrow" w:eastAsia="MyriadPro-Regular" w:cs="Arial Narrow"/>
          <w:color w:val="000000"/>
          <w:kern w:val="0"/>
          <w:sz w:val="16"/>
          <w:szCs w:val="16"/>
          <w:highlight w:val="none"/>
          <w:lang w:val="en-US" w:eastAsia="zh-CN" w:bidi="ar"/>
        </w:rPr>
        <w:t>,</w:t>
      </w:r>
      <w:r>
        <w:rPr>
          <w:rFonts w:hint="default" w:ascii="Arial Narrow" w:hAnsi="Arial Narrow" w:cs="Arial Narrow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>C-P</w:t>
      </w:r>
      <w:r>
        <w:rPr>
          <w:rFonts w:hint="default" w:ascii="Arial Narrow" w:hAnsi="Arial Narrow" w:eastAsia="MyriadPro-Regular" w:cs="Arial Narrow"/>
          <w:color w:val="000000"/>
          <w:kern w:val="0"/>
          <w:sz w:val="16"/>
          <w:szCs w:val="16"/>
          <w:highlight w:val="none"/>
          <w:lang w:val="en-US" w:eastAsia="zh-CN" w:bidi="ar"/>
        </w:rPr>
        <w:t>, RBC count, HbA1c%</w:t>
      </w:r>
      <w:r>
        <w:rPr>
          <w:rFonts w:hint="eastAsia" w:ascii="Arial Narrow" w:hAnsi="Arial Narrow" w:eastAsia="MyriadPro-Regular" w:cs="Arial Narrow"/>
          <w:color w:val="000000"/>
          <w:kern w:val="0"/>
          <w:sz w:val="16"/>
          <w:szCs w:val="16"/>
          <w:highlight w:val="none"/>
          <w:lang w:val="en-US" w:eastAsia="zh-CN" w:bidi="ar"/>
        </w:rPr>
        <w:t>,</w:t>
      </w:r>
      <w:r>
        <w:rPr>
          <w:rFonts w:hint="default" w:ascii="Arial Narrow" w:hAnsi="Arial Narrow" w:cs="Arial Narrow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25 (OH) D</w:t>
      </w:r>
      <w:r>
        <w:rPr>
          <w:rFonts w:hint="eastAsia" w:ascii="Arial Narrow" w:hAnsi="Arial Narrow" w:cs="Arial Narrow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Arial Narrow" w:hAnsi="Arial Narrow" w:cs="Arial Narrow"/>
          <w:color w:val="FF0000"/>
          <w:sz w:val="16"/>
          <w:szCs w:val="16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u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</w:rPr>
        <w:t>rate-lowering drugs</w:t>
      </w:r>
      <w:r>
        <w:rPr>
          <w:rFonts w:hint="default" w:ascii="Arial Narrow" w:hAnsi="Arial Narrow" w:eastAsia="宋体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  <w:lang w:val="en-US" w:eastAsia="zh-CN"/>
        </w:rPr>
        <w:t xml:space="preserve"> and </w:t>
      </w:r>
      <w:r>
        <w:rPr>
          <w:rFonts w:hint="eastAsia" w:ascii="Arial Narrow" w:hAnsi="Arial Narrow" w:eastAsia="宋体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  <w:lang w:val="en-US" w:eastAsia="zh-CN"/>
        </w:rPr>
        <w:t>p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</w:rPr>
        <w:t>urine diet</w:t>
      </w:r>
    </w:p>
    <w:p w14:paraId="16FA25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</w:rPr>
      </w:pPr>
    </w:p>
    <w:p w14:paraId="5AAA5023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" w:lineRule="atLeast"/>
        <w:ind w:left="0" w:right="0" w:firstLine="0"/>
        <w:jc w:val="left"/>
        <w:textAlignment w:val="auto"/>
        <w:rPr>
          <w:rFonts w:hint="default" w:ascii="Times New Roman" w:hAnsi="Times New Roman" w:eastAsia="MyriadPro-Bold" w:cs="Times New Roman"/>
          <w:b w:val="0"/>
          <w:bCs w:val="0"/>
          <w:color w:val="000000"/>
          <w:kern w:val="0"/>
          <w:sz w:val="18"/>
          <w:szCs w:val="18"/>
          <w:highlight w:val="none"/>
          <w:lang w:val="en-US" w:eastAsia="zh-CN" w:bidi="ar"/>
        </w:rPr>
      </w:pPr>
      <w:r>
        <w:rPr>
          <w:rStyle w:val="8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18"/>
          <w:szCs w:val="18"/>
          <w:shd w:val="clear" w:fill="FFFFFF"/>
        </w:rPr>
        <w:t xml:space="preserve">Table </w:t>
      </w:r>
      <w:r>
        <w:rPr>
          <w:rStyle w:val="8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18"/>
          <w:szCs w:val="18"/>
          <w:shd w:val="clear" w:fill="FFFFFF"/>
          <w:lang w:val="en-US" w:eastAsia="zh-CN"/>
        </w:rPr>
        <w:t xml:space="preserve">5 </w:t>
      </w:r>
      <w:r>
        <w:rPr>
          <w:rStyle w:val="8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D0D0D"/>
          <w:spacing w:val="0"/>
          <w:sz w:val="18"/>
          <w:szCs w:val="18"/>
          <w:shd w:val="clear" w:fill="FFFFFF"/>
        </w:rPr>
        <w:t>Schoenfeld Residual Test Results for Cox Models</w:t>
      </w:r>
    </w:p>
    <w:tbl>
      <w:tblPr>
        <w:tblStyle w:val="6"/>
        <w:tblW w:w="76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99"/>
        <w:gridCol w:w="1080"/>
        <w:gridCol w:w="1080"/>
        <w:gridCol w:w="1080"/>
        <w:gridCol w:w="2250"/>
      </w:tblGrid>
      <w:tr w14:paraId="1FD74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EB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9F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 Tested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CF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χ²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90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69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 P-value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57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Conclusion</w:t>
            </w:r>
          </w:p>
        </w:tc>
      </w:tr>
      <w:tr w14:paraId="0A24C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F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E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7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Assumption satisfied</w:t>
            </w:r>
          </w:p>
        </w:tc>
      </w:tr>
      <w:tr w14:paraId="728E1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E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A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0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Assumption satisfied</w:t>
            </w:r>
          </w:p>
        </w:tc>
      </w:tr>
      <w:tr w14:paraId="13690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77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F4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TyG_group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27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1E1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34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39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Assumption satisfied</w:t>
            </w:r>
          </w:p>
        </w:tc>
      </w:tr>
    </w:tbl>
    <w:p w14:paraId="672B8EBC">
      <w:pPr>
        <w:keepNext w:val="0"/>
        <w:keepLines w:val="0"/>
        <w:widowControl/>
        <w:suppressLineNumbers w:val="0"/>
        <w:jc w:val="left"/>
        <w:rPr>
          <w:rStyle w:val="9"/>
          <w:rFonts w:hint="default" w:ascii="Arial Narrow" w:hAnsi="Arial Narrow" w:eastAsia="Segoe UI" w:cs="Arial Narrow"/>
          <w:caps w:val="0"/>
          <w:color w:val="0D0D0D"/>
          <w:spacing w:val="0"/>
          <w:sz w:val="16"/>
          <w:szCs w:val="16"/>
          <w:shd w:val="clear" w:fill="FFFFFF"/>
        </w:rPr>
      </w:pPr>
      <w:r>
        <w:rPr>
          <w:rFonts w:hint="default" w:ascii="Arial Narrow" w:hAnsi="Arial Narrow" w:eastAsia="Segoe UI" w:cs="Arial Narrow"/>
          <w:i/>
          <w:iCs/>
          <w:color w:val="0D0D0D"/>
          <w:kern w:val="0"/>
          <w:sz w:val="16"/>
          <w:szCs w:val="16"/>
          <w:highlight w:val="none"/>
          <w:u w:val="none"/>
          <w:lang w:val="en-US" w:eastAsia="zh-CN" w:bidi="ar"/>
        </w:rPr>
        <w:t xml:space="preserve">Note: </w:t>
      </w:r>
      <w:r>
        <w:rPr>
          <w:rStyle w:val="9"/>
          <w:rFonts w:hint="default" w:ascii="Arial Narrow" w:hAnsi="Arial Narrow" w:eastAsia="Segoe UI" w:cs="Arial Narrow"/>
          <w:caps w:val="0"/>
          <w:color w:val="0D0D0D"/>
          <w:spacing w:val="0"/>
          <w:sz w:val="16"/>
          <w:szCs w:val="16"/>
          <w:shd w:val="clear" w:fill="FFFFFF"/>
        </w:rPr>
        <w:t>Schoenfeld residuals for TyG index groups across three Cox models (Model 1-3). The smoothed curve (red line) shows no significant time-dependent trend (P&gt;0.05).</w:t>
      </w:r>
    </w:p>
    <w:p w14:paraId="59A08471">
      <w:pPr>
        <w:keepNext w:val="0"/>
        <w:keepLines w:val="0"/>
        <w:widowControl/>
        <w:suppressLineNumbers w:val="0"/>
        <w:jc w:val="left"/>
        <w:rPr>
          <w:rStyle w:val="9"/>
          <w:rFonts w:hint="default" w:ascii="Arial Narrow" w:hAnsi="Arial Narrow" w:eastAsia="Segoe UI" w:cs="Arial Narrow"/>
          <w:caps w:val="0"/>
          <w:color w:val="0D0D0D"/>
          <w:spacing w:val="0"/>
          <w:sz w:val="16"/>
          <w:szCs w:val="16"/>
          <w:shd w:val="clear" w:fill="FFFFFF"/>
          <w:lang w:val="en-US" w:eastAsia="zh-CN"/>
        </w:rPr>
      </w:pPr>
    </w:p>
    <w:p w14:paraId="490FEA52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" w:lineRule="atLeast"/>
        <w:ind w:left="0" w:right="0" w:firstLine="0"/>
        <w:jc w:val="left"/>
        <w:textAlignment w:val="auto"/>
        <w:rPr>
          <w:rFonts w:hint="default" w:ascii="Times New Roman" w:hAnsi="Times New Roman" w:eastAsia="MyriadPro-Bold" w:cs="Times New Roman"/>
          <w:b w:val="0"/>
          <w:bCs w:val="0"/>
          <w:color w:val="000000"/>
          <w:kern w:val="0"/>
          <w:sz w:val="18"/>
          <w:szCs w:val="18"/>
          <w:highlight w:val="none"/>
          <w:lang w:val="en-US" w:eastAsia="zh-CN" w:bidi="ar"/>
        </w:rPr>
      </w:pPr>
      <w:r>
        <w:rPr>
          <w:rStyle w:val="8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18"/>
          <w:szCs w:val="18"/>
          <w:shd w:val="clear" w:fill="FFFFFF"/>
        </w:rPr>
        <w:t xml:space="preserve">Table </w:t>
      </w:r>
      <w:r>
        <w:rPr>
          <w:rStyle w:val="8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18"/>
          <w:szCs w:val="18"/>
          <w:shd w:val="clear" w:fill="FFFFFF"/>
          <w:lang w:val="en-US" w:eastAsia="zh-CN"/>
        </w:rPr>
        <w:t xml:space="preserve">6 </w:t>
      </w:r>
      <w:r>
        <w:rPr>
          <w:rStyle w:val="8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D0D0D"/>
          <w:spacing w:val="0"/>
          <w:sz w:val="18"/>
          <w:szCs w:val="18"/>
          <w:shd w:val="clear" w:fill="FFFFFF"/>
        </w:rPr>
        <w:t>Correlation Matrix and Variance Inflation Factor (VIF) Values</w:t>
      </w:r>
    </w:p>
    <w:tbl>
      <w:tblPr>
        <w:tblStyle w:val="6"/>
        <w:tblW w:w="100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942"/>
        <w:gridCol w:w="958"/>
        <w:gridCol w:w="825"/>
        <w:gridCol w:w="915"/>
        <w:gridCol w:w="825"/>
        <w:gridCol w:w="750"/>
        <w:gridCol w:w="826"/>
        <w:gridCol w:w="826"/>
        <w:gridCol w:w="840"/>
        <w:gridCol w:w="795"/>
      </w:tblGrid>
      <w:tr w14:paraId="0FF6C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43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D7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 Index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9F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HbA1c%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32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82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D5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65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LDL-C</w:t>
            </w:r>
          </w:p>
        </w:tc>
        <w:tc>
          <w:tcPr>
            <w:tcW w:w="8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65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</w:t>
            </w:r>
          </w:p>
        </w:tc>
        <w:tc>
          <w:tcPr>
            <w:tcW w:w="8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0C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FBG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6E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UA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39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VIF</w:t>
            </w:r>
          </w:p>
        </w:tc>
      </w:tr>
      <w:tr w14:paraId="26466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2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 Index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31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D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6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B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0.85**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1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E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F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</w:t>
            </w:r>
          </w:p>
        </w:tc>
      </w:tr>
      <w:tr w14:paraId="7EE41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C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HbA1c%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A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D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B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6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E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C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0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</w:t>
            </w:r>
          </w:p>
        </w:tc>
      </w:tr>
      <w:tr w14:paraId="328A1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5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3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D8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0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4B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3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6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</w:t>
            </w:r>
          </w:p>
        </w:tc>
      </w:tr>
      <w:tr w14:paraId="5B93D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 (Male=1)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1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6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9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F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6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E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</w:t>
            </w:r>
          </w:p>
        </w:tc>
      </w:tr>
      <w:tr w14:paraId="41877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A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F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07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2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D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F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1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4D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</w:t>
            </w:r>
          </w:p>
        </w:tc>
      </w:tr>
      <w:tr w14:paraId="3AE7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0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LDL-C (mmol/L)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0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B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F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0.23*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2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D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E2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F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</w:t>
            </w:r>
          </w:p>
        </w:tc>
      </w:tr>
      <w:tr w14:paraId="08038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 (mmol/L)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0.85**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8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0.34*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3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5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0.27*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C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C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7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E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6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</w:t>
            </w:r>
          </w:p>
        </w:tc>
      </w:tr>
      <w:tr w14:paraId="09656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2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FBG (mmol/L)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9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0.82**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2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0.67**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1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5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0.55**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9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6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</w:t>
            </w:r>
          </w:p>
        </w:tc>
      </w:tr>
      <w:tr w14:paraId="6EF3D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89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UA (μmol/L)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40F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0.29*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D9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46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90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71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A8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71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0.32*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88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0.25*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86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FE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</w:t>
            </w:r>
          </w:p>
        </w:tc>
      </w:tr>
    </w:tbl>
    <w:p w14:paraId="11B905D3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</w:rPr>
      </w:pPr>
      <w:r>
        <w:rPr>
          <w:rFonts w:hint="default" w:ascii="Arial Narrow" w:hAnsi="Arial Narrow" w:eastAsia="Segoe UI" w:cs="Arial Narrow"/>
          <w:i/>
          <w:iCs/>
          <w:color w:val="0D0D0D"/>
          <w:kern w:val="0"/>
          <w:sz w:val="16"/>
          <w:szCs w:val="16"/>
          <w:highlight w:val="none"/>
          <w:u w:val="none"/>
          <w:lang w:val="en-US" w:eastAsia="zh-CN" w:bidi="ar"/>
        </w:rPr>
        <w:t xml:space="preserve">Note: 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kern w:val="0"/>
          <w:sz w:val="16"/>
          <w:szCs w:val="16"/>
          <w:shd w:val="clear" w:fill="FFFFFF"/>
          <w:lang w:val="en-US" w:eastAsia="zh-CN" w:bidi="ar"/>
        </w:rPr>
        <w:t>Pearson's correlation coefficient (Pearson’s r): The TyG index is highly correlated with triglycerides (TG) (r = 0.85) and fasting blood glucose (FBG) (r = 0.82), but moderately correlated with the percentage of glycated hemoglobin (HbA1c%) (r = 0.38), which supports its independent predictive value (*P &lt; 0.05, **P &lt; 0.01)</w:t>
      </w:r>
      <w:r>
        <w:rPr>
          <w:rFonts w:hint="eastAsia" w:ascii="Arial Narrow" w:hAnsi="Arial Narrow" w:eastAsia="Segoe UI" w:cs="Arial Narrow"/>
          <w:i w:val="0"/>
          <w:iCs w:val="0"/>
          <w:caps w:val="0"/>
          <w:spacing w:val="0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kern w:val="0"/>
          <w:sz w:val="16"/>
          <w:szCs w:val="16"/>
          <w:shd w:val="clear" w:fill="FFFFFF"/>
          <w:lang w:val="en-US" w:eastAsia="zh-CN" w:bidi="ar"/>
        </w:rPr>
        <w:t>Variance Inflation Factor (VIF) values: The VIF values of all variables are less than 3.0 (the threshold is usually 5 or 10), ruling out significant multicollinearity. The risk of collinearity between the TyG index (VIF = 1.85) and HbA1c% (VIF = 1.62) is low, which supports the stability of the model</w:t>
      </w:r>
      <w:r>
        <w:rPr>
          <w:rFonts w:hint="eastAsia" w:ascii="Arial Narrow" w:hAnsi="Arial Narrow" w:eastAsia="Segoe UI" w:cs="Arial Narrow"/>
          <w:i w:val="0"/>
          <w:iCs w:val="0"/>
          <w:caps w:val="0"/>
          <w:spacing w:val="0"/>
          <w:kern w:val="0"/>
          <w:sz w:val="16"/>
          <w:szCs w:val="16"/>
          <w:shd w:val="clear" w:fill="FFFFFF"/>
          <w:lang w:val="en-US" w:eastAsia="zh-CN" w:bidi="ar"/>
        </w:rPr>
        <w:t>,TyG Index, index triglyceride‒glucose; BMI, body mass index; HbA1c%, hemoglobin A1c%;LDL-C, low-density lipoprotein cholesterol; TG, triglyceride;FBG,  fasting blood glucose;UA,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</w:rPr>
        <w:t>Uric acid</w:t>
      </w:r>
      <w:r>
        <w:rPr>
          <w:rFonts w:hint="eastAsia" w:ascii="Arial Narrow" w:hAnsi="Arial Narrow" w:eastAsia="宋体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  <w:lang w:val="en-US" w:eastAsia="zh-CN"/>
        </w:rPr>
        <w:t>;</w:t>
      </w:r>
      <w:r>
        <w:rPr>
          <w:rStyle w:val="8"/>
          <w:rFonts w:hint="default" w:ascii="Arial Narrow" w:hAnsi="Arial Narrow" w:eastAsia="Segoe UI" w:cs="Arial Narrow"/>
          <w:b w:val="0"/>
          <w:bCs w:val="0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  <w:t>VIF</w:t>
      </w:r>
      <w:r>
        <w:rPr>
          <w:rStyle w:val="8"/>
          <w:rFonts w:hint="default" w:ascii="Arial Narrow" w:hAnsi="Arial Narrow" w:eastAsia="宋体" w:cs="Arial Narrow"/>
          <w:b w:val="0"/>
          <w:bCs w:val="0"/>
          <w:i w:val="0"/>
          <w:iCs w:val="0"/>
          <w:caps w:val="0"/>
          <w:color w:val="0D0D0D"/>
          <w:spacing w:val="0"/>
          <w:sz w:val="16"/>
          <w:szCs w:val="16"/>
          <w:shd w:val="clear" w:fill="FFFFFF"/>
          <w:lang w:val="en-US" w:eastAsia="zh-CN"/>
        </w:rPr>
        <w:t>,</w:t>
      </w:r>
      <w:r>
        <w:rPr>
          <w:rStyle w:val="8"/>
          <w:rFonts w:hint="default" w:ascii="Arial Narrow" w:hAnsi="Arial Narrow" w:eastAsia="Segoe UI" w:cs="Arial Narrow"/>
          <w:b w:val="0"/>
          <w:bCs w:val="0"/>
          <w:i w:val="0"/>
          <w:iCs w:val="0"/>
          <w:caps w:val="0"/>
          <w:color w:val="0D0D0D"/>
          <w:spacing w:val="0"/>
          <w:sz w:val="16"/>
          <w:szCs w:val="16"/>
          <w:shd w:val="clear" w:fill="FFFFFF"/>
        </w:rPr>
        <w:t>Variance Inflation Factor</w:t>
      </w:r>
    </w:p>
    <w:p w14:paraId="26F7273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1C1F23"/>
          <w:spacing w:val="0"/>
          <w:kern w:val="0"/>
          <w:sz w:val="18"/>
          <w:szCs w:val="18"/>
          <w:highlight w:val="none"/>
          <w:shd w:val="clear" w:fill="FFFFFF"/>
          <w:lang w:val="en-US" w:eastAsia="zh-CN" w:bidi="ar"/>
        </w:rPr>
      </w:pPr>
      <w:bookmarkStart w:id="3" w:name="_Ref17915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Table </w:t>
      </w:r>
      <w:bookmarkEnd w:id="3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7</w:t>
      </w: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18"/>
          <w:szCs w:val="18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highlight w:val="none"/>
          <w:shd w:val="clear" w:fill="FFFFFF"/>
        </w:rPr>
        <w:t>Clinical characteristics of patients on both sides of the TyG index threshold (8.40)</w:t>
      </w: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18"/>
          <w:szCs w:val="18"/>
          <w:highlight w:val="none"/>
          <w:lang w:val="en-US" w:eastAsia="zh-CN" w:bidi="ar"/>
        </w:rPr>
        <w:t xml:space="preserve"> </w:t>
      </w:r>
    </w:p>
    <w:tbl>
      <w:tblPr>
        <w:tblStyle w:val="6"/>
        <w:tblW w:w="78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3"/>
        <w:gridCol w:w="1905"/>
        <w:gridCol w:w="1755"/>
        <w:gridCol w:w="1440"/>
      </w:tblGrid>
      <w:tr w14:paraId="4ED07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6E98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9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4F178B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TyG ≤8.40 (n=205)</w:t>
            </w: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289B37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TyG &gt;8.40 (n=423)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671D80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 w14:paraId="77E9B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2E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Age (years old)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1F7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61.5±9.2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C7E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63.8±8.7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9D8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0.003</w:t>
            </w:r>
          </w:p>
        </w:tc>
      </w:tr>
      <w:tr w14:paraId="1EE73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567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FBG (mmol/L)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016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5.2±1.5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717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5.8±2.1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D56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07173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88F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TG(mmol/L)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B3C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1.3±0.4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8E0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2.2±0.7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AC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939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A2A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UA(μmol/L)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FC2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458±68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8AC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502±75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9A1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6CD2A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FC5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LDL-C (mmol/L)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617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1.9±0.8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EB1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2.4±1.0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371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2341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E95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Hs-CRP(mg/L)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C0C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1.2±0.8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E527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2.7±1.5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22E2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59FD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1A8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Proportion of Hs-CRP ≥2.0 mg/L (%)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B00D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18.70%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3569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43.10%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572D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D0D0D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25321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61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Usage rate of statins (%)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B94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62.70%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A8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78.90%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795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CE30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ED1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Usage rate of SGLT-2i (%)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BB5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13.90%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C23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20.90%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ECD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2E87B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A4E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Usage rate of GLP-1RA(%)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2D23F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13.80%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2CC89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17.10%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58207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</w:tbl>
    <w:p w14:paraId="61B4813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 xml:space="preserve">The data are expressed as the means ± SDs, medians with interquartile ranges or percentages. </w:t>
      </w:r>
    </w:p>
    <w:p w14:paraId="33B9E1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FBG, fasting blood glucose;TG, triglycerides;UA,uric acid ;LDL-C, low-density lipoprotein cholesterol ;Hs-CRP,  high-sensitivity c-reactive protein;SGLT-2i，sodium-glucose cotransporter 2 inhibitor;GLP-1RA, glucagon-like peptide-1 receptor agonist</w:t>
      </w:r>
    </w:p>
    <w:p w14:paraId="41C1233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1C1F23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br w:type="textWrapping"/>
      </w:r>
      <w:bookmarkStart w:id="4" w:name="_Ref18114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Table </w:t>
      </w:r>
      <w:bookmarkEnd w:id="4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highlight w:val="none"/>
          <w:shd w:val="clear" w:fill="FFFFFF"/>
        </w:rPr>
        <w:t>Uric acid level and TyG index</w:t>
      </w:r>
      <w:r>
        <w:rPr>
          <w:rFonts w:hint="default" w:ascii="Arial Narrow" w:hAnsi="Arial Narrow" w:eastAsia="MyriadPro-Bold" w:cs="Arial Narrow"/>
          <w:b/>
          <w:bCs/>
          <w:color w:val="000000"/>
          <w:kern w:val="0"/>
          <w:sz w:val="16"/>
          <w:szCs w:val="16"/>
          <w:highlight w:val="none"/>
          <w:lang w:val="en-US" w:eastAsia="zh-CN" w:bidi="ar"/>
        </w:rPr>
        <w:t xml:space="preserve"> </w:t>
      </w:r>
    </w:p>
    <w:tbl>
      <w:tblPr>
        <w:tblStyle w:val="6"/>
        <w:tblW w:w="84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2130"/>
        <w:gridCol w:w="2580"/>
        <w:gridCol w:w="1635"/>
        <w:gridCol w:w="915"/>
      </w:tblGrid>
      <w:tr w14:paraId="285FA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7EE36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4C33DE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Low SUA (420-480 μmol/L)(n=216)</w:t>
            </w:r>
          </w:p>
        </w:tc>
        <w:tc>
          <w:tcPr>
            <w:tcW w:w="25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4E314E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Moderate SUA (480-540 μmol/L)(n=287)</w:t>
            </w:r>
          </w:p>
        </w:tc>
        <w:tc>
          <w:tcPr>
            <w:tcW w:w="16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64CED7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High SUA (≥540 μmol/L)(n=125)</w:t>
            </w: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2847B9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 w14:paraId="1D77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6E0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Age (years old)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3F8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61.2±8.5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395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63.7±9.1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015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65.4±7.8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454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0.032</w:t>
            </w:r>
          </w:p>
        </w:tc>
      </w:tr>
      <w:tr w14:paraId="7FD3F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737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TyG  index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EC9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8.32±0.56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140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8.78±0.61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63C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9.12±0.67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1E7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052E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835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HbA1c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029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8.8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868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A0D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54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02D49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C52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LDL-C (mmol/L)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DDB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1.8±0.9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BCA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2.1±1.0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0F0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2.4±1.2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30F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55090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7C808E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Mace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731108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34C98C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14.1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1779F6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15.9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6338FC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</w:tbl>
    <w:p w14:paraId="47C006E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 xml:space="preserve"> The data are expressed as the means ± SDs, medians with interquartile ranges or percentages. </w:t>
      </w:r>
    </w:p>
    <w:p w14:paraId="4F55E7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 xml:space="preserve">SUA, serum uric acid,TyG, triglyceride‒glucose;HbA1c, hemoglobin A1c%;LDL-C, low-density lipoprotein cholesterol </w:t>
      </w:r>
    </w:p>
    <w:p w14:paraId="04FE33C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1C1F23"/>
          <w:spacing w:val="0"/>
          <w:kern w:val="0"/>
          <w:sz w:val="18"/>
          <w:szCs w:val="18"/>
          <w:highlight w:val="none"/>
          <w:shd w:val="clear" w:fill="FFFFFF"/>
          <w:lang w:val="en-US" w:eastAsia="zh-CN" w:bidi="ar"/>
        </w:rPr>
      </w:pPr>
      <w:bookmarkStart w:id="5" w:name="_Ref18297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Table </w:t>
      </w:r>
      <w:bookmarkEnd w:id="5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9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highlight w:val="none"/>
          <w:shd w:val="clear" w:fill="FFFFFF"/>
        </w:rPr>
        <w:t xml:space="preserve">The interaction between the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C1F23"/>
          <w:spacing w:val="0"/>
          <w:kern w:val="0"/>
          <w:sz w:val="18"/>
          <w:szCs w:val="18"/>
          <w:highlight w:val="none"/>
          <w:shd w:val="clear" w:fill="FFFFFF"/>
          <w:lang w:val="en-US" w:eastAsia="zh-CN" w:bidi="ar"/>
        </w:rPr>
        <w:t>uric acid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highlight w:val="none"/>
          <w:shd w:val="clear" w:fill="FFFFFF"/>
        </w:rPr>
        <w:t xml:space="preserve"> grouping and the TyG index</w:t>
      </w:r>
    </w:p>
    <w:tbl>
      <w:tblPr>
        <w:tblStyle w:val="6"/>
        <w:tblW w:w="84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3030"/>
        <w:gridCol w:w="1875"/>
      </w:tblGrid>
      <w:tr w14:paraId="23E4F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35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6D380E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SUA Group</w:t>
            </w:r>
          </w:p>
        </w:tc>
        <w:tc>
          <w:tcPr>
            <w:tcW w:w="30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7EBDD1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TyG Index HR (95% CI)</w:t>
            </w:r>
          </w:p>
        </w:tc>
        <w:tc>
          <w:tcPr>
            <w:tcW w:w="18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0549DC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P-value</w:t>
            </w:r>
          </w:p>
        </w:tc>
      </w:tr>
      <w:tr w14:paraId="4F690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BE68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Low SUA (420-480 μmol/L)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109D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1.48 (1.12-1.95)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31BD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0.006</w:t>
            </w:r>
          </w:p>
        </w:tc>
      </w:tr>
      <w:tr w14:paraId="5A2F1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5FBB7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Moderate SUA (480-540 μmol/L)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7119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1.72 (1.31-2.26)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8FD15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0B3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60D0D9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High SUA (≥540 μmol/L)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03D1C1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1.98 (1.42-2.76)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3D5957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01A79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821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Segoe UI" w:hAnsi="Segoe UI" w:eastAsia="Segoe UI" w:cs="Segoe UI"/>
                <w:i/>
                <w:iCs/>
                <w:color w:val="0D0D0D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Arial Narrow" w:hAnsi="Arial Narrow" w:eastAsia="Segoe UI" w:cs="Arial Narrow"/>
                <w:i/>
                <w:iCs/>
                <w:color w:val="0D0D0D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Note: All models were adjusted for age,  HbA1c%, and LDL-C.</w:t>
            </w:r>
          </w:p>
        </w:tc>
      </w:tr>
    </w:tbl>
    <w:p w14:paraId="0F49117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334FE92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" w:lineRule="atLeast"/>
        <w:ind w:right="0"/>
        <w:jc w:val="left"/>
        <w:textAlignment w:val="auto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1C1F23"/>
          <w:spacing w:val="0"/>
          <w:kern w:val="0"/>
          <w:sz w:val="18"/>
          <w:szCs w:val="18"/>
          <w:highlight w:val="none"/>
          <w:shd w:val="clear" w:fill="FFFFFF"/>
          <w:lang w:val="en-US" w:eastAsia="zh-CN" w:bidi="ar"/>
        </w:rPr>
      </w:pPr>
      <w:r>
        <w:rPr>
          <w:rStyle w:val="8"/>
          <w:rFonts w:hint="default" w:ascii="Arial Narrow" w:hAnsi="Arial Narrow" w:eastAsia="Segoe UI" w:cs="Arial Narrow"/>
          <w:b/>
          <w:bCs/>
          <w:i w:val="0"/>
          <w:iCs w:val="0"/>
          <w:caps w:val="0"/>
          <w:color w:val="0D0D0D"/>
          <w:spacing w:val="0"/>
          <w:sz w:val="18"/>
          <w:szCs w:val="18"/>
          <w:shd w:val="clear" w:fill="FFFFFF"/>
        </w:rPr>
        <w:t xml:space="preserve">Table </w:t>
      </w:r>
      <w:r>
        <w:rPr>
          <w:rStyle w:val="8"/>
          <w:rFonts w:hint="eastAsia" w:ascii="Arial Narrow" w:hAnsi="Arial Narrow" w:cs="Arial Narrow"/>
          <w:b/>
          <w:bCs/>
          <w:i w:val="0"/>
          <w:iCs w:val="0"/>
          <w:caps w:val="0"/>
          <w:color w:val="0D0D0D"/>
          <w:spacing w:val="0"/>
          <w:sz w:val="18"/>
          <w:szCs w:val="18"/>
          <w:shd w:val="clear" w:fill="FFFFFF"/>
          <w:lang w:val="en-US" w:eastAsia="zh-CN"/>
        </w:rPr>
        <w:t xml:space="preserve">10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18"/>
          <w:szCs w:val="18"/>
          <w:highlight w:val="none"/>
        </w:rPr>
        <w:t xml:space="preserve">Exploratory Analysis of ULT Types </w:t>
      </w:r>
    </w:p>
    <w:tbl>
      <w:tblPr>
        <w:tblStyle w:val="6"/>
        <w:tblW w:w="84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2385"/>
        <w:gridCol w:w="2490"/>
        <w:gridCol w:w="1680"/>
      </w:tblGrid>
      <w:tr w14:paraId="36D6E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E2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ULT Agent</w:t>
            </w:r>
          </w:p>
        </w:tc>
        <w:tc>
          <w:tcPr>
            <w:tcW w:w="23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D7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MACE Incidence (%)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F8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Adjusted HR (95% CI)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25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P-value</w:t>
            </w:r>
          </w:p>
        </w:tc>
      </w:tr>
      <w:tr w14:paraId="4E67D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Benzbromarone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F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16.8%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1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7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–</w:t>
            </w:r>
          </w:p>
        </w:tc>
      </w:tr>
      <w:tr w14:paraId="688D2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74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Febuxostat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84C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12.8%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14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0.82 (0.68–1.01)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7B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0.076</w:t>
            </w:r>
          </w:p>
        </w:tc>
      </w:tr>
    </w:tbl>
    <w:p w14:paraId="3C2F1D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</w:pPr>
      <w:r>
        <w:rPr>
          <w:rFonts w:hint="default" w:ascii="Arial Narrow" w:hAnsi="Arial Narrow" w:eastAsia="Segoe UI" w:cs="Arial Narrow"/>
          <w:i/>
          <w:iCs/>
          <w:color w:val="0D0D0D"/>
          <w:kern w:val="0"/>
          <w:sz w:val="16"/>
          <w:szCs w:val="16"/>
          <w:highlight w:val="none"/>
          <w:u w:val="none"/>
          <w:lang w:val="en-US" w:eastAsia="zh-CN" w:bidi="ar"/>
        </w:rPr>
        <w:t xml:space="preserve">Note: </w:t>
      </w:r>
      <w:r>
        <w:rPr>
          <w:rFonts w:hint="default" w:ascii="Arial Narrow" w:hAnsi="Arial Narrow" w:eastAsia="Segoe UI" w:cs="Arial Narrow"/>
          <w:i w:val="0"/>
          <w:iCs w:val="0"/>
          <w:caps w:val="0"/>
          <w:spacing w:val="0"/>
          <w:sz w:val="16"/>
          <w:szCs w:val="16"/>
          <w:highlight w:val="none"/>
        </w:rPr>
        <w:t>Patients receiving febuxostat (n=117) had a non-significant 18% lower MACE risk compared to benzbromarone users (n=95), though this difference requires validation in larger cohorts.</w:t>
      </w:r>
      <w:r>
        <w:rPr>
          <w:rFonts w:hint="default" w:ascii="Arial Narrow" w:hAnsi="Arial Narrow" w:eastAsia="Segoe UI" w:cs="Arial Narrow"/>
          <w:i w:val="0"/>
          <w:iCs w:val="0"/>
          <w:caps w:val="0"/>
          <w:color w:val="1C1F23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 xml:space="preserve"> </w:t>
      </w:r>
      <w:r>
        <w:rPr>
          <w:rStyle w:val="9"/>
          <w:rFonts w:hint="default" w:ascii="Arial Narrow" w:hAnsi="Arial Narrow" w:eastAsia="Segoe UI" w:cs="Arial Narrow"/>
          <w:i w:val="0"/>
          <w:iCs/>
          <w:caps w:val="0"/>
          <w:color w:val="000000" w:themeColor="text1"/>
          <w:spacing w:val="0"/>
          <w:sz w:val="16"/>
          <w:szCs w:val="16"/>
          <w:highlight w:val="none"/>
          <w:shd w:val="clear" w:fill="FFFFFF"/>
          <w14:textFill>
            <w14:solidFill>
              <w14:schemeClr w14:val="tx1"/>
            </w14:solidFill>
          </w14:textFill>
        </w:rPr>
        <w:t>ULT</w:t>
      </w:r>
      <w:r>
        <w:rPr>
          <w:rStyle w:val="9"/>
          <w:rFonts w:hint="eastAsia" w:ascii="Arial Narrow" w:hAnsi="Arial Narrow" w:eastAsia="宋体" w:cs="Arial Narrow"/>
          <w:i w:val="0"/>
          <w:iCs/>
          <w:caps w:val="0"/>
          <w:color w:val="000000" w:themeColor="text1"/>
          <w:spacing w:val="0"/>
          <w:sz w:val="16"/>
          <w:szCs w:val="16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Style w:val="9"/>
          <w:rFonts w:hint="default" w:ascii="Arial Narrow" w:hAnsi="Arial Narrow" w:eastAsia="Segoe UI" w:cs="Arial Narrow"/>
          <w:i w:val="0"/>
          <w:iCs/>
          <w:caps w:val="0"/>
          <w:color w:val="000000" w:themeColor="text1"/>
          <w:spacing w:val="0"/>
          <w:sz w:val="16"/>
          <w:szCs w:val="16"/>
          <w:highlight w:val="none"/>
          <w:shd w:val="clear" w:fill="FFFFFF"/>
          <w14:textFill>
            <w14:solidFill>
              <w14:schemeClr w14:val="tx1"/>
            </w14:solidFill>
          </w14:textFill>
        </w:rPr>
        <w:t>Urate-lowering therapy</w:t>
      </w:r>
    </w:p>
    <w:p w14:paraId="2E8AB27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2BC458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Times New Roman" w:hAnsi="Times New Roman" w:eastAsia="Arial Narrow" w:cs="Times New Roman"/>
          <w:i w:val="0"/>
          <w:iCs w:val="0"/>
          <w:color w:val="000000"/>
          <w:kern w:val="0"/>
          <w:sz w:val="18"/>
          <w:szCs w:val="18"/>
          <w:highlight w:val="none"/>
          <w:u w:val="none"/>
          <w:lang w:val="en-US" w:eastAsia="zh-CN" w:bidi="ar"/>
        </w:rPr>
      </w:pPr>
      <w:bookmarkStart w:id="6" w:name="_Ref18558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Table </w:t>
      </w:r>
      <w:bookmarkEnd w:id="6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highlight w:val="none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rial Narrow" w:cs="Times New Roman"/>
          <w:i w:val="0"/>
          <w:iCs w:val="0"/>
          <w:color w:val="000000"/>
          <w:kern w:val="0"/>
          <w:sz w:val="18"/>
          <w:szCs w:val="18"/>
          <w:highlight w:val="none"/>
          <w:u w:val="none"/>
          <w:lang w:val="en-US" w:eastAsia="zh-CN" w:bidi="ar"/>
        </w:rPr>
        <w:t>Evaluation of predictive models of the TyG index for MACEs</w:t>
      </w:r>
    </w:p>
    <w:tbl>
      <w:tblPr>
        <w:tblStyle w:val="6"/>
        <w:tblW w:w="90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845"/>
        <w:gridCol w:w="990"/>
        <w:gridCol w:w="1605"/>
        <w:gridCol w:w="1200"/>
        <w:gridCol w:w="1710"/>
        <w:gridCol w:w="855"/>
      </w:tblGrid>
      <w:tr w14:paraId="42662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62DF6622">
            <w:pPr>
              <w:jc w:val="left"/>
              <w:rPr>
                <w:rFonts w:hint="default" w:ascii="Arial Narrow" w:hAnsi="Arial Narrow" w:cs="Arial Narrow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B067E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C-statistic (95% CI)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24E47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45B9F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NRI (95% CI)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9C056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7AF0B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IDI (95% CI)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B37C1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cs="Arial Narrow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宋体" w:cs="Arial Narrow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 w14:paraId="761C2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F97F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Baseline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F184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0.64(0.59–0.67)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C43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  <w:lang w:val="en-US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1.0(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Ref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C4F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1.0(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Ref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62672">
            <w:pPr>
              <w:rPr>
                <w:rFonts w:hint="default" w:ascii="Arial Narrow" w:hAnsi="Arial Narrow" w:cs="Arial Narrow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C3FF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1.0(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Ref</w:t>
            </w: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D9A05">
            <w:pPr>
              <w:rPr>
                <w:rFonts w:hint="default" w:ascii="Arial Narrow" w:hAnsi="Arial Narrow" w:cs="Arial Narrow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758A1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A306D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+ TYG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0CDA1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0.67(0.63–0.69)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15D64A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0.029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D2FA1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0.14(0.00–0.27)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3E3414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5D7AF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 (0.00–0.03)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2CBB9F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0.043</w:t>
            </w:r>
          </w:p>
        </w:tc>
      </w:tr>
    </w:tbl>
    <w:p w14:paraId="30BCD6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Arial Narrow" w:hAnsi="Arial Narrow" w:eastAsia="Arial Narrow" w:cs="Arial Narrow"/>
          <w:b/>
          <w:bCs/>
          <w:i w:val="0"/>
          <w:iCs w:val="0"/>
          <w:color w:val="000000"/>
          <w:kern w:val="0"/>
          <w:sz w:val="16"/>
          <w:szCs w:val="16"/>
          <w:highlight w:val="none"/>
          <w:u w:val="none"/>
          <w:lang w:val="en-US" w:eastAsia="zh-CN" w:bidi="ar"/>
        </w:rPr>
      </w:pPr>
      <w:r>
        <w:rPr>
          <w:rFonts w:hint="default" w:ascii="Arial Narrow" w:hAnsi="Arial Narrow" w:eastAsia="Arial Narrow" w:cs="Arial Narrow"/>
          <w:b/>
          <w:bCs/>
          <w:i w:val="0"/>
          <w:iCs w:val="0"/>
          <w:color w:val="000000"/>
          <w:kern w:val="0"/>
          <w:sz w:val="16"/>
          <w:szCs w:val="16"/>
          <w:highlight w:val="none"/>
          <w:u w:val="none"/>
          <w:lang w:val="en-US" w:eastAsia="zh-CN" w:bidi="ar"/>
        </w:rPr>
        <w:t>CI, confidence interval; IDI, integrated discrimination improvement; NRI, net reclassification improvement</w:t>
      </w:r>
    </w:p>
    <w:p w14:paraId="63C0C1F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4BB4A54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2A9FE8E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30135F0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3678255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4AE32CF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6C6FEA0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1BAFCC3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1864A1C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513360E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5ACF72E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370CC49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2B5384C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055FF5F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Graphical Abstract</w:t>
      </w:r>
    </w:p>
    <w:p w14:paraId="2D776A51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6054090" cy="4708525"/>
            <wp:effectExtent l="0" t="0" r="3810" b="15875"/>
            <wp:docPr id="1" name="图片 1" descr="Graphical Abst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raphical Abstrac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4090" cy="47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51B7B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67960" cy="4234180"/>
            <wp:effectExtent l="0" t="0" r="8890" b="13970"/>
            <wp:docPr id="6" name="图片 6" descr="Fig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2BB4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480" w:lineRule="auto"/>
        <w:ind w:left="0" w:right="0" w:firstLine="0"/>
        <w:jc w:val="left"/>
        <w:textAlignment w:val="auto"/>
        <w:rPr>
          <w:rFonts w:hint="eastAsia" w:eastAsiaTheme="minorEastAsia"/>
          <w:b/>
          <w:bCs/>
          <w:lang w:eastAsia="zh-CN"/>
        </w:rPr>
      </w:pPr>
      <w:bookmarkStart w:id="7" w:name="_Ref13343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fldChar w:fldCharType="begin"/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instrText xml:space="preserve"> SEQ Fig. \* ARABIC </w:instrTex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1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fldChar w:fldCharType="end"/>
      </w:r>
      <w:bookmarkEnd w:id="7"/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MyriadPro-Bold" w:cs="Times New Roman"/>
          <w:b w:val="0"/>
          <w:bCs w:val="0"/>
          <w:color w:val="000000"/>
          <w:kern w:val="0"/>
          <w:sz w:val="18"/>
          <w:szCs w:val="18"/>
          <w:lang w:val="en-US" w:eastAsia="zh-CN" w:bidi="ar"/>
        </w:rPr>
        <w:t>D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i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splays the flow chart depicting the patients that were included in the study</w:t>
      </w:r>
    </w:p>
    <w:p w14:paraId="009C600A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73675" cy="3275965"/>
            <wp:effectExtent l="0" t="0" r="3175" b="635"/>
            <wp:docPr id="8" name="图片 8" descr="Fig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3C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1C1F23"/>
          <w:spacing w:val="0"/>
          <w:kern w:val="0"/>
          <w:sz w:val="18"/>
          <w:szCs w:val="18"/>
          <w:highlight w:val="none"/>
          <w:shd w:val="clear" w:fill="FFFFFF"/>
          <w:lang w:val="en-US" w:eastAsia="zh-CN" w:bidi="ar"/>
        </w:rPr>
      </w:pPr>
      <w:bookmarkStart w:id="8" w:name="_Ref14927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fldChar w:fldCharType="begin"/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instrText xml:space="preserve"> SEQ Fig. \* ARABIC </w:instrTex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2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fldChar w:fldCharType="end"/>
      </w:r>
      <w:bookmarkEnd w:id="8"/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The Kaplan–Meier curve shows the cumulative risk of cardiovascular events based on varying levels of the TyG index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lang w:val="en-US" w:eastAsia="zh-CN" w:bidi="ar"/>
        </w:rPr>
        <w:t xml:space="preserve"> </w:t>
      </w:r>
    </w:p>
    <w:p w14:paraId="3FB494EF">
      <w:pPr>
        <w:rPr>
          <w:rFonts w:hint="eastAsia" w:eastAsiaTheme="minorEastAsia"/>
          <w:b/>
          <w:bCs/>
          <w:lang w:eastAsia="zh-CN"/>
        </w:rPr>
      </w:pPr>
    </w:p>
    <w:p w14:paraId="7ECB544A">
      <w:pP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drawing>
          <wp:inline distT="0" distB="0" distL="114300" distR="114300">
            <wp:extent cx="5261610" cy="7929880"/>
            <wp:effectExtent l="0" t="0" r="15240" b="13970"/>
            <wp:docPr id="7" name="图片 7" descr="a43d4cfdb54e6769246c7f7a1cd99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43d4cfdb54e6769246c7f7a1cd99d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92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95EB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480" w:lineRule="auto"/>
        <w:ind w:left="0" w:right="0" w:firstLine="0"/>
        <w:jc w:val="left"/>
        <w:textAlignment w:val="auto"/>
        <w:rPr>
          <w:rFonts w:hint="eastAsia" w:ascii="Times New Roman" w:hAnsi="Times New Roman" w:eastAsia="MyriadPro-Bold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  <w:bookmarkStart w:id="9" w:name="_Ref8282"/>
      <w:r>
        <w:rPr>
          <w:rFonts w:hint="default" w:ascii="Times New Roman" w:hAnsi="Times New Roman" w:eastAsia="Yu Gothic Light" w:cs="Times New Roman"/>
          <w:b/>
          <w:bCs/>
        </w:rPr>
        <w:t xml:space="preserve">Fig. </w:t>
      </w:r>
      <w:r>
        <w:rPr>
          <w:rFonts w:hint="default" w:ascii="Times New Roman" w:hAnsi="Times New Roman" w:eastAsia="Yu Gothic Light" w:cs="Times New Roman"/>
          <w:b/>
          <w:bCs/>
        </w:rPr>
        <w:fldChar w:fldCharType="begin"/>
      </w:r>
      <w:r>
        <w:rPr>
          <w:rFonts w:hint="default" w:ascii="Times New Roman" w:hAnsi="Times New Roman" w:eastAsia="Yu Gothic Light" w:cs="Times New Roman"/>
          <w:b/>
          <w:bCs/>
        </w:rPr>
        <w:instrText xml:space="preserve"> SEQ Fig. \* ARABIC </w:instrText>
      </w:r>
      <w:r>
        <w:rPr>
          <w:rFonts w:hint="default" w:ascii="Times New Roman" w:hAnsi="Times New Roman" w:eastAsia="Yu Gothic Light" w:cs="Times New Roman"/>
          <w:b/>
          <w:bCs/>
        </w:rPr>
        <w:fldChar w:fldCharType="separate"/>
      </w:r>
      <w:r>
        <w:rPr>
          <w:rFonts w:hint="default" w:ascii="Times New Roman" w:hAnsi="Times New Roman" w:eastAsia="Yu Gothic Light" w:cs="Times New Roman"/>
          <w:b/>
          <w:bCs/>
        </w:rPr>
        <w:t>3</w:t>
      </w:r>
      <w:r>
        <w:rPr>
          <w:rFonts w:hint="default" w:ascii="Times New Roman" w:hAnsi="Times New Roman" w:eastAsia="Yu Gothic Light" w:cs="Times New Roman"/>
          <w:b/>
          <w:bCs/>
        </w:rPr>
        <w:fldChar w:fldCharType="end"/>
      </w:r>
      <w:bookmarkEnd w:id="9"/>
      <w:r>
        <w:rPr>
          <w:rFonts w:hint="default" w:ascii="Times New Roman" w:hAnsi="Times New Roman" w:eastAsia="Yu Gothic Light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2"/>
          <w:szCs w:val="22"/>
          <w:shd w:val="clear" w:fill="FFFFFF"/>
        </w:rPr>
        <w:t>The figure displays three models of Schoenfeld residuals plotted against time in months</w:t>
      </w:r>
    </w:p>
    <w:p w14:paraId="7D0E32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240" w:lineRule="atLeast"/>
        <w:ind w:left="0" w:right="0" w:firstLine="0"/>
        <w:jc w:val="left"/>
        <w:textAlignment w:val="auto"/>
        <w:rPr>
          <w:rFonts w:hint="eastAsia" w:eastAsiaTheme="minorEastAsia"/>
          <w:b/>
          <w:bCs/>
          <w:lang w:eastAsia="zh-CN"/>
        </w:rPr>
      </w:pPr>
      <w:bookmarkStart w:id="10" w:name="_Ref15358"/>
      <w:r>
        <w:rPr>
          <w:rFonts w:hint="default" w:ascii="Times New Roman" w:hAnsi="Times New Roman" w:cs="Times New Roman"/>
          <w:b/>
          <w:bCs/>
          <w:sz w:val="18"/>
          <w:szCs w:val="18"/>
        </w:rPr>
        <w:drawing>
          <wp:inline distT="0" distB="0" distL="114300" distR="114300">
            <wp:extent cx="5273675" cy="3856990"/>
            <wp:effectExtent l="0" t="0" r="3175" b="10160"/>
            <wp:docPr id="9" name="图片 9" descr="Fig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Fig. </w:t>
      </w:r>
      <w:bookmarkEnd w:id="10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18"/>
          <w:szCs w:val="18"/>
          <w:lang w:val="en-US" w:eastAsia="zh-CN" w:bidi="ar"/>
        </w:rPr>
        <w:t xml:space="preserve">The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The restricted cubic spline that represents the connection between MACEs and the TyG index.</w:t>
      </w:r>
    </w:p>
    <w:p w14:paraId="0B605A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480" w:lineRule="auto"/>
        <w:ind w:left="0" w:right="0" w:firstLine="0"/>
        <w:jc w:val="left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73040" cy="3989070"/>
            <wp:effectExtent l="0" t="0" r="3810" b="11430"/>
            <wp:docPr id="4" name="图片 4" descr="Fig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" w:name="_Ref15685"/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Fig. </w:t>
      </w:r>
      <w:bookmarkEnd w:id="11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1C1F23"/>
          <w:spacing w:val="0"/>
          <w:kern w:val="0"/>
          <w:sz w:val="18"/>
          <w:szCs w:val="18"/>
          <w:highlight w:val="none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ROC curves that are time-dependent and applied to forecast MACEs</w:t>
      </w:r>
    </w:p>
    <w:p w14:paraId="1AFB1C44">
      <w:pPr>
        <w:rPr>
          <w:rFonts w:hint="eastAsia" w:eastAsiaTheme="minorEastAsia"/>
          <w:b/>
          <w:bCs/>
          <w:lang w:eastAsia="zh-CN"/>
        </w:rPr>
      </w:pPr>
    </w:p>
    <w:p w14:paraId="4F2A87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0" w:afterAutospacing="0" w:line="240" w:lineRule="atLeast"/>
        <w:ind w:left="0" w:right="0" w:firstLine="0"/>
        <w:jc w:val="left"/>
        <w:textAlignment w:val="auto"/>
        <w:rPr>
          <w:rFonts w:hint="default" w:ascii="Times New Roman" w:hAnsi="Times New Roman" w:cs="Times New Roman"/>
          <w:sz w:val="18"/>
          <w:szCs w:val="18"/>
        </w:rPr>
      </w:pPr>
      <w:bookmarkStart w:id="12" w:name="_Ref15995"/>
      <w:r>
        <w:rPr>
          <w:rFonts w:hint="default" w:ascii="Times New Roman" w:hAnsi="Times New Roman" w:cs="Times New Roman"/>
          <w:b/>
          <w:bCs/>
          <w:sz w:val="18"/>
          <w:szCs w:val="18"/>
        </w:rPr>
        <w:drawing>
          <wp:inline distT="0" distB="0" distL="114300" distR="114300">
            <wp:extent cx="5265420" cy="6287770"/>
            <wp:effectExtent l="0" t="0" r="11430" b="17780"/>
            <wp:docPr id="10" name="图片 10" descr="Fig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.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28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Fig. </w:t>
      </w:r>
      <w:bookmarkEnd w:id="12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Subgroup and interaction analyses conducted to explore the association between the TyG index (per unit of standard deviation) and MACEs</w:t>
      </w:r>
    </w:p>
    <w:p w14:paraId="091CC655">
      <w:pPr>
        <w:rPr>
          <w:rFonts w:hint="eastAsia" w:eastAsiaTheme="minorEastAsia"/>
          <w:b/>
          <w:bCs/>
          <w:lang w:eastAsia="zh-CN"/>
        </w:rPr>
      </w:pPr>
    </w:p>
    <w:p w14:paraId="5623D216">
      <w:pPr>
        <w:rPr>
          <w:rFonts w:hint="eastAsia" w:eastAsiaTheme="minorEastAsia"/>
          <w:b/>
          <w:bCs/>
          <w:lang w:eastAsia="zh-CN"/>
        </w:rPr>
      </w:pPr>
    </w:p>
    <w:p w14:paraId="0D52E449">
      <w:pPr>
        <w:rPr>
          <w:rFonts w:hint="eastAsia" w:eastAsiaTheme="minorEastAsia"/>
          <w:b/>
          <w:bCs/>
          <w:lang w:eastAsia="zh-CN"/>
        </w:rPr>
      </w:pPr>
    </w:p>
    <w:p w14:paraId="717C3F5C">
      <w:pPr>
        <w:rPr>
          <w:rFonts w:hint="eastAsia" w:eastAsiaTheme="minorEastAsia"/>
          <w:b/>
          <w:bCs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Pr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A03B9"/>
    <w:rsid w:val="1245667F"/>
    <w:rsid w:val="12850115"/>
    <w:rsid w:val="16E15B36"/>
    <w:rsid w:val="1780001B"/>
    <w:rsid w:val="17BB39CF"/>
    <w:rsid w:val="1D6B2C7F"/>
    <w:rsid w:val="314C70B9"/>
    <w:rsid w:val="315855A0"/>
    <w:rsid w:val="3A3B7187"/>
    <w:rsid w:val="3E13373E"/>
    <w:rsid w:val="3E613B40"/>
    <w:rsid w:val="431A689F"/>
    <w:rsid w:val="47535631"/>
    <w:rsid w:val="4F0911AA"/>
    <w:rsid w:val="52FE08FA"/>
    <w:rsid w:val="536B41B1"/>
    <w:rsid w:val="56547508"/>
    <w:rsid w:val="5FE07D05"/>
    <w:rsid w:val="6795751D"/>
    <w:rsid w:val="679A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595</Words>
  <Characters>3961</Characters>
  <Lines>0</Lines>
  <Paragraphs>0</Paragraphs>
  <TotalTime>0</TotalTime>
  <ScaleCrop>false</ScaleCrop>
  <LinksUpToDate>false</LinksUpToDate>
  <CharactersWithSpaces>4214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2025-04-14T13:42:00Z</dcterms:created>
  <dc:creator>Administrator</dc:creator>
  <cp:lastModifiedBy>赵剑勇</cp:lastModifiedBy>
  <dcterms:modified xsi:type="dcterms:W3CDTF">2025-05-06T09:25:25Z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eyJoZGlkIjoiMmFjMDRhN2MzNjQ3NjhjMTg3ZjE2NDgxYmRkM2M5NjEiLCJ1c2VySWQiOiI0MjM3NDM3MzIifQ==</vt:lpwstr>
  </property>
  <property fmtid="{D5CDD505-2E9C-101B-9397-08002B2CF9AE}" pid="4" name="ICV">
    <vt:lpwstr>7A9FB007050F4B68A56D2EDB1BBD9788_12</vt:lpwstr>
  </property>
</Properties>
</file>