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15B35">
      <w:pPr>
        <w:rPr>
          <w:rFonts w:ascii="Times New Roman" w:hAnsi="Times New Roman" w:eastAsia="宋体" w:cs="Times New Roman"/>
          <w:b/>
          <w:bCs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S1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>. Univariable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correlation between CMR-derived strain indices, 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EATV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 and metabolic/anthropometric variables in MetS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 w:bidi="ar"/>
        </w:rPr>
        <w:t>*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>.</w:t>
      </w:r>
    </w:p>
    <w:p w14:paraId="1C6BF89F"/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05"/>
        <w:gridCol w:w="908"/>
        <w:gridCol w:w="905"/>
        <w:gridCol w:w="908"/>
        <w:gridCol w:w="905"/>
        <w:gridCol w:w="908"/>
        <w:gridCol w:w="905"/>
        <w:gridCol w:w="908"/>
        <w:gridCol w:w="905"/>
        <w:gridCol w:w="908"/>
        <w:gridCol w:w="905"/>
        <w:gridCol w:w="908"/>
        <w:gridCol w:w="905"/>
        <w:gridCol w:w="908"/>
      </w:tblGrid>
      <w:tr w14:paraId="1988A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AED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2507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GRPS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8AD6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GCPS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abs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5F79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GLPS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abs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B498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PDSR-R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abs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46B0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PDSR-C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E2BB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PDSR-L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4198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EATV</w:t>
            </w:r>
          </w:p>
        </w:tc>
      </w:tr>
      <w:tr w14:paraId="54F5F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57844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7AC1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5E5B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EF4E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A3FB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0411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18BA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ADE5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528D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13CF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1773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B958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7D0E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9612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45AC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14:paraId="7AEBE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561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EATV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FF1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-0.174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5F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0.009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3D8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-0.248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3DF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0CD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-0.332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DF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0F9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-0.223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DF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AA1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-0.247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60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003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-0.26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30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FE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3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94F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2A5B4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0B17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5CD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-0.097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AE7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BCB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C4D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86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-0.113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FB6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E74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-0.011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900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0.875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EEB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48F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0.349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FCB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933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B67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0.391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8FD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5331D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9B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SBP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F76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17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0.572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B23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0.055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7C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31D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-0.085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D13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575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2F6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0.789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69B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007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0.137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90E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-0.079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897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0.243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04A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0.059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2A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0.384</w:t>
            </w:r>
          </w:p>
        </w:tc>
      </w:tr>
      <w:tr w14:paraId="0B9A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49E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LV</w:t>
            </w:r>
            <w:r>
              <w:rPr>
                <w:rStyle w:val="8"/>
                <w:rFonts w:eastAsia="宋体"/>
                <w:lang w:bidi="ar"/>
              </w:rPr>
              <w:t>MI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195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-0.373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24A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46F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-0.461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0AA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BBD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-0.531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34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8D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8D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DCA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-0.259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82E2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00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99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B17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0.311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B0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31B67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B4D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Total-C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B8D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53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375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0F5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20E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0.091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AD9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0.173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47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0.156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217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8C9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822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0.071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615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91E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4F4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–0.221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DCC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70BA3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016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Triglyceride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12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0.353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0C1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0.062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9B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-0.054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F27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0.419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36D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-0.148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6CF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1E3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-0.011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CBB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0.871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DA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5EA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0.957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676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-0.028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B7A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0.679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7FF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6AF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0.184</w:t>
            </w:r>
          </w:p>
        </w:tc>
      </w:tr>
      <w:tr w14:paraId="0E589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6169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DF0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EC6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0.086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133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82C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E1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0.181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E9F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69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0.066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17A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B0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1E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6F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DDB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0.348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CD7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–0.184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36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</w:tr>
      <w:tr w14:paraId="226A7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18B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5AD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7DB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0.062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9FE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6F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CC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E44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0.161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FC4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4E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29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89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58A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A34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0.981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CE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–0.087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A0D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0.241</w:t>
            </w:r>
          </w:p>
        </w:tc>
      </w:tr>
      <w:tr w14:paraId="73361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262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FPG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FA7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-0.041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60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BD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-0.027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8B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0.694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54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93B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0.998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309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-0.035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BE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13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7D1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0.531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483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FB1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83C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–0.174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341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</w:tr>
      <w:tr w14:paraId="3F9B2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3A562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eGFR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0701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0.182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CEEA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FD54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0.213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9D5F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75B7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0.179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1350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F56F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0.197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C580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E7B6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0.287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4045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&lt;0.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001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B80A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0.118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8A2F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0.091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41A6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–0.173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A010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</w:tbl>
    <w:p w14:paraId="7F46F09F">
      <w:pPr>
        <w:jc w:val="left"/>
        <w:rPr>
          <w:rFonts w:hint="eastAsia" w:ascii="Times New Roman" w:hAnsi="Times New Roman" w:eastAsia="等线" w:cs="Times New Roman"/>
          <w:sz w:val="22"/>
          <w:szCs w:val="22"/>
        </w:rPr>
      </w:pPr>
      <w:r>
        <w:rPr>
          <w:rFonts w:ascii="Times New Roman" w:hAnsi="Times New Roman" w:eastAsia="等线" w:cs="Times New Roman"/>
          <w:sz w:val="22"/>
          <w:szCs w:val="22"/>
        </w:rPr>
        <w:t xml:space="preserve">Note: </w:t>
      </w:r>
      <w:r>
        <w:rPr>
          <w:rFonts w:hint="eastAsia" w:ascii="Times New Roman" w:hAnsi="Times New Roman" w:eastAsia="等线" w:cs="Times New Roman"/>
          <w:sz w:val="22"/>
          <w:szCs w:val="22"/>
          <w:lang w:val="en-US" w:eastAsia="zh-CN"/>
        </w:rPr>
        <w:t>*</w:t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 Screening rule for covariate entry:</w:t>
      </w:r>
      <w:r>
        <w:rPr>
          <w:rFonts w:hint="eastAsia" w:ascii="Times New Roman" w:hAnsi="Times New Roman" w:eastAsia="等线" w:cs="Times New Roman"/>
          <w:sz w:val="22"/>
          <w:szCs w:val="22"/>
        </w:rPr>
        <w:br w:type="textWrapping"/>
      </w:r>
      <w:r>
        <w:rPr>
          <w:rFonts w:hint="eastAsia" w:ascii="Times New Roman" w:hAnsi="Times New Roman" w:eastAsia="等线" w:cs="Times New Roman"/>
          <w:sz w:val="22"/>
          <w:szCs w:val="22"/>
        </w:rPr>
        <w:t>• Multivariable linear</w:t>
      </w:r>
      <w:r>
        <w:rPr>
          <w:rFonts w:hint="eastAsia" w:ascii="Times New Roman" w:hAnsi="Times New Roman" w:eastAsia="等线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regression models—variables with </w:t>
      </w:r>
      <w:r>
        <w:rPr>
          <w:rFonts w:hint="eastAsia" w:ascii="Times New Roman" w:hAnsi="Times New Roman" w:eastAsia="等线" w:cs="Times New Roman"/>
          <w:i/>
          <w:iCs/>
          <w:sz w:val="22"/>
          <w:szCs w:val="22"/>
        </w:rPr>
        <w:t>P</w:t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 &lt; 0.10 in univariable tests plus a-priori clinical factors (sex, age) were retained.</w:t>
      </w:r>
      <w:r>
        <w:rPr>
          <w:rFonts w:hint="eastAsia" w:ascii="Times New Roman" w:hAnsi="Times New Roman" w:eastAsia="等线" w:cs="Times New Roman"/>
          <w:sz w:val="22"/>
          <w:szCs w:val="22"/>
        </w:rPr>
        <w:br w:type="textWrapping"/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• Mediation models—variables with </w:t>
      </w:r>
      <w:r>
        <w:rPr>
          <w:rFonts w:hint="eastAsia" w:ascii="Times New Roman" w:hAnsi="Times New Roman" w:eastAsia="等线" w:cs="Times New Roman"/>
          <w:i/>
          <w:iCs/>
          <w:sz w:val="22"/>
          <w:szCs w:val="22"/>
        </w:rPr>
        <w:t>P</w:t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 &lt; 0.20 for either the exposure (EATV) or outcome (GLPS) were added, consistent with recommended practice that slightly broader thresholds limit residual confounding without overfitting.</w:t>
      </w:r>
    </w:p>
    <w:p w14:paraId="3DDD2BD2">
      <w:pPr>
        <w:jc w:val="left"/>
        <w:rPr>
          <w:rFonts w:ascii="Times New Roman" w:hAnsi="Times New Roman" w:eastAsia="等线" w:cs="Times New Roman"/>
          <w:sz w:val="22"/>
          <w:szCs w:val="22"/>
        </w:rPr>
      </w:pPr>
      <w:r>
        <w:rPr>
          <w:rFonts w:hint="eastAsia" w:ascii="Times New Roman" w:hAnsi="Times New Roman" w:eastAsia="等线" w:cs="Times New Roman"/>
          <w:sz w:val="22"/>
          <w:szCs w:val="22"/>
        </w:rPr>
        <w:t>GRPS, global radial peak strain; GCPS, global circumferential peak strain; GLPS, global longitudinal peak strain; PDSR-R , peak diastolic strain rate (radial); PDSR-C, peak diastolic strain rate (circumferential); PDSR-L, peak diastolic strain rate (longitudinal); EATV, epicardial adipose tissue volume; BMI, body-mass index; LVMI , left-ventricular mass index; Total-C , total cholesterol; Triglyceride , serum triglycerides; HDL, high-density-lipoprotein cholesterol; LDL , low-density-lipoprotein cholesterol; FPG , fasting plasma glucose; eGFR, estimated glomerular filtration rate; SBP, Systolic blood pressure.</w:t>
      </w:r>
    </w:p>
    <w:p w14:paraId="08CF5559">
      <w:pPr>
        <w:rPr>
          <w:rFonts w:hint="eastAsia" w:ascii="Times New Roman" w:hAnsi="Times New Roman" w:eastAsia="等线" w:cs="Times New Roman"/>
          <w:sz w:val="22"/>
          <w:szCs w:val="22"/>
        </w:rPr>
      </w:pPr>
      <w:r>
        <w:rPr>
          <w:rFonts w:hint="eastAsia" w:ascii="Times New Roman" w:hAnsi="Times New Roman" w:eastAsia="等线" w:cs="Times New Roman"/>
          <w:sz w:val="22"/>
          <w:szCs w:val="22"/>
        </w:rPr>
        <w:br w:type="page"/>
      </w:r>
    </w:p>
    <w:p w14:paraId="1056C018">
      <w:pPr>
        <w:rPr>
          <w:rFonts w:ascii="Times New Roman" w:hAnsi="Times New Roman" w:eastAsia="等线" w:cs="Times New Roman"/>
          <w:b/>
          <w:bCs/>
          <w:sz w:val="24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Supplementary Table S2.  Sensitivity mediation analyses linking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EATV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to LV strain through myocardial energetic efficiency.</w:t>
      </w:r>
      <w:bookmarkStart w:id="1" w:name="_GoBack"/>
      <w:bookmarkEnd w:id="1"/>
    </w:p>
    <w:p w14:paraId="36964EFD">
      <w:pPr>
        <w:widowControl/>
        <w:jc w:val="left"/>
        <w:rPr>
          <w:rFonts w:ascii="Times New Roman" w:hAnsi="Times New Roman" w:eastAsia="等线" w:cs="Times New Roman"/>
          <w:b/>
          <w:bCs/>
          <w:kern w:val="0"/>
          <w:szCs w:val="28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3361"/>
        <w:gridCol w:w="1590"/>
        <w:gridCol w:w="1631"/>
        <w:gridCol w:w="1562"/>
        <w:gridCol w:w="1194"/>
        <w:gridCol w:w="1207"/>
        <w:gridCol w:w="1198"/>
      </w:tblGrid>
      <w:tr w14:paraId="263D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610119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73F6F9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  <w:t>Covariates included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D66E99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Path a(EAT → MEEI) β*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5DA9A3">
            <w:pPr>
              <w:jc w:val="center"/>
              <w:rPr>
                <w:rFonts w:ascii="Times New Roman" w:hAnsi="Times New Roman" w:eastAsia="等线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Path b(MEEI → GLS) β*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DCFB0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Direct c′(EAT → GLS) β*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5558EC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Indirect a×b β*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41393E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95 % Boot CI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D1D0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% Mediated</w:t>
            </w:r>
          </w:p>
        </w:tc>
      </w:tr>
      <w:tr w14:paraId="4A11B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294ACA30">
            <w:pPr>
              <w:pStyle w:val="11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Main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353B6BA1">
            <w:pPr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Age, Sex, BMI, Total-C, HDL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D14F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–0.226 (0.002)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6AB06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+0.362 (&lt;0.001)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BF186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–0.199 (0.005)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D94B1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–0.081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E4389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–0.137 to –0.030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F62236B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29 %</w:t>
            </w:r>
          </w:p>
        </w:tc>
      </w:tr>
      <w:tr w14:paraId="65970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0" w:type="auto"/>
            <w:vAlign w:val="center"/>
          </w:tcPr>
          <w:p w14:paraId="2448D154">
            <w:pPr>
              <w:pStyle w:val="11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Main + HT/DM/TG</w:t>
            </w:r>
          </w:p>
        </w:tc>
        <w:tc>
          <w:tcPr>
            <w:tcW w:w="0" w:type="auto"/>
            <w:vAlign w:val="center"/>
          </w:tcPr>
          <w:p w14:paraId="18935544">
            <w:pPr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Main + Hypertension, Diabetes, Triglycerides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ACBB2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–0.199 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55C21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+0.346 (&lt;0.001)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C507B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–0.176 (0.012)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4724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FC5B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–0.1268 to –0.0201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ACBE3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28 %</w:t>
            </w:r>
          </w:p>
        </w:tc>
      </w:tr>
      <w:tr w14:paraId="21D5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0" w:type="auto"/>
            <w:vAlign w:val="center"/>
          </w:tcPr>
          <w:p w14:paraId="6DB8F72C">
            <w:pPr>
              <w:pStyle w:val="11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BSA model</w:t>
            </w:r>
          </w:p>
        </w:tc>
        <w:tc>
          <w:tcPr>
            <w:tcW w:w="0" w:type="auto"/>
            <w:vAlign w:val="center"/>
          </w:tcPr>
          <w:p w14:paraId="6BEF507D">
            <w:pPr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 xml:space="preserve">Age, Sex, 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BSA</w:t>
            </w: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 xml:space="preserve"> (replaces BMI), Total-C, HDL, Hypertension, Diabetes, Triglycerides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EFAED7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–0.192 (0.008)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134971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+0.336 (&lt;0.001)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F55E00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–0.220 (0.002)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23F9B3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–0.0646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2EF762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–0.1180 to –0.0176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5279D93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23 %</w:t>
            </w:r>
          </w:p>
        </w:tc>
      </w:tr>
      <w:tr w14:paraId="37D49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/>
            <w:vAlign w:val="center"/>
          </w:tcPr>
          <w:p w14:paraId="0C84822D">
            <w:pPr>
              <w:pStyle w:val="11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bookmarkStart w:id="0" w:name="_Hlk202915657"/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EATV/mass model</w:t>
            </w:r>
          </w:p>
        </w:tc>
        <w:tc>
          <w:tcPr>
            <w:tcW w:w="0" w:type="auto"/>
            <w:tcBorders/>
            <w:vAlign w:val="center"/>
          </w:tcPr>
          <w:p w14:paraId="5282B1F7">
            <w:pPr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 xml:space="preserve">Same as 2 model, </w:t>
            </w:r>
          </w:p>
          <w:p w14:paraId="7AF244B7">
            <w:pPr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predictor = EATV / LV-mass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2794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+0.285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(&lt;0.001)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1F6D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+0.366 (&lt;0.001)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C5716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+0.041 (0.557)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5D391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21CB8">
            <w:pPr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+0.041 to +0.189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3738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72 %</w:t>
            </w:r>
          </w:p>
        </w:tc>
      </w:tr>
      <w:tr w14:paraId="06A59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DB43282">
            <w:pPr>
              <w:pStyle w:val="11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Medication-adjusted</w:t>
            </w:r>
          </w:p>
          <w:p w14:paraId="065DD487">
            <w:pPr>
              <w:pStyle w:val="11"/>
              <w:numPr>
                <w:numId w:val="0"/>
              </w:numPr>
              <w:ind w:leftChars="0" w:firstLine="422" w:firstLineChars="200"/>
              <w:jc w:val="both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(n=216)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76B3FEF5">
            <w:pPr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model</w:t>
            </w:r>
            <w:r>
              <w:rPr>
                <w:rFonts w:hint="default" w:ascii="Times New Roman" w:hAnsi="Times New Roman" w:eastAsia="等线" w:cs="Times New Roman"/>
                <w:sz w:val="21"/>
                <w:szCs w:val="21"/>
                <w:lang w:val="en-US" w:eastAsia="zh-CN"/>
              </w:rPr>
              <w:t xml:space="preserve"> 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</w:rPr>
              <w:t>+ β-blocker, ACEI/ARB, CCB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; SGLT-2i / GLP-1RA users excluded (n = 9)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7D22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–0.250 (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0.001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04086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+0.325 (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1F934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–0.209 (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0.005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837B0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–0.081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C8E73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–0.140 to –0.032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4E4AA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28 %</w:t>
            </w:r>
          </w:p>
        </w:tc>
      </w:tr>
      <w:bookmarkEnd w:id="0"/>
    </w:tbl>
    <w:p w14:paraId="42F7DFED">
      <w:pPr>
        <w:jc w:val="left"/>
        <w:rPr>
          <w:rFonts w:ascii="Times New Roman" w:hAnsi="Times New Roman" w:eastAsia="等线" w:cs="Times New Roman"/>
          <w:sz w:val="22"/>
          <w:szCs w:val="22"/>
        </w:rPr>
      </w:pPr>
      <w:r>
        <w:rPr>
          <w:rFonts w:ascii="Times New Roman" w:hAnsi="Times New Roman" w:eastAsia="等线" w:cs="Times New Roman"/>
          <w:sz w:val="22"/>
          <w:szCs w:val="22"/>
        </w:rPr>
        <w:t>Note: All models use 5 000 bootstrap samples, 95 % percentile CIs.</w:t>
      </w:r>
      <w:r>
        <w:rPr>
          <w:rFonts w:hint="eastAsia" w:ascii="Times New Roman" w:hAnsi="Times New Roman" w:eastAsia="等线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22"/>
        </w:rPr>
        <w:t>Proportion mediated = |indirect β*| ÷ (|direct β*| + |indirect β*|).</w:t>
      </w:r>
    </w:p>
    <w:p w14:paraId="43667925">
      <w:pPr>
        <w:jc w:val="left"/>
        <w:rPr>
          <w:rFonts w:hint="eastAsia" w:ascii="Times New Roman" w:hAnsi="Times New Roman" w:eastAsia="等线" w:cs="Times New Roman"/>
          <w:sz w:val="22"/>
          <w:szCs w:val="22"/>
        </w:rPr>
      </w:pPr>
      <w:r>
        <w:rPr>
          <w:rFonts w:hint="eastAsia" w:ascii="Times New Roman" w:hAnsi="Times New Roman" w:eastAsia="等线" w:cs="Times New Roman"/>
          <w:sz w:val="22"/>
          <w:szCs w:val="22"/>
          <w:vertAlign w:val="superscript"/>
          <w:lang w:val="en-US" w:eastAsia="zh-CN"/>
        </w:rPr>
        <w:t>#</w:t>
      </w:r>
      <w:r>
        <w:rPr>
          <w:rFonts w:hint="eastAsia" w:ascii="Times New Roman" w:hAnsi="Times New Roman" w:eastAsia="等线" w:cs="Times New Roman"/>
          <w:sz w:val="22"/>
          <w:szCs w:val="22"/>
        </w:rPr>
        <w:t>Because &lt;5 % of participants were on SGLT2 inhibitors or GLP-1 agonists, these variables showed zero variance in most bootstrap samples and could not be stably estimated.</w:t>
      </w:r>
    </w:p>
    <w:p w14:paraId="40BEC1D7">
      <w:pPr>
        <w:jc w:val="left"/>
        <w:rPr>
          <w:rFonts w:ascii="Times New Roman" w:hAnsi="Times New Roman" w:eastAsia="等线" w:cs="Times New Roman"/>
          <w:sz w:val="22"/>
          <w:szCs w:val="22"/>
        </w:rPr>
      </w:pPr>
      <w:r>
        <w:rPr>
          <w:rFonts w:hint="eastAsia" w:ascii="Times New Roman" w:hAnsi="Times New Roman" w:eastAsia="等线" w:cs="Times New Roman"/>
          <w:sz w:val="22"/>
          <w:szCs w:val="22"/>
        </w:rPr>
        <w:t>EATV, epicardial adipose tissue volume; BMI, body-mass index; GLPS, global longitudinal peak strain; LV, left ventricular; Total-C, total cholesterol; HDL, high-density-lipoprotein cholesterol</w:t>
      </w:r>
      <w:r>
        <w:rPr>
          <w:rFonts w:hint="eastAsia" w:ascii="Times New Roman" w:hAnsi="Times New Roman" w:eastAsia="等线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eastAsia="等线" w:cs="Times New Roman"/>
          <w:sz w:val="21"/>
          <w:szCs w:val="20"/>
          <w:lang w:val="en-US" w:eastAsia="zh-CN" w:bidi="ar"/>
        </w:rPr>
        <w:t>ACEI: angiotensin-converting enzyme inhibitor; ARB: angiotensin receptor blocker; CCB, calcium channel blockers.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23DC0"/>
    <w:multiLevelType w:val="multilevel"/>
    <w:tmpl w:val="2EE23DC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9F"/>
    <w:rsid w:val="0017327C"/>
    <w:rsid w:val="002832DF"/>
    <w:rsid w:val="002C5299"/>
    <w:rsid w:val="00550B75"/>
    <w:rsid w:val="0067584A"/>
    <w:rsid w:val="00AC22DF"/>
    <w:rsid w:val="00E01B44"/>
    <w:rsid w:val="00E12E96"/>
    <w:rsid w:val="00E43F78"/>
    <w:rsid w:val="00EC4D95"/>
    <w:rsid w:val="00FA139F"/>
    <w:rsid w:val="00FC0275"/>
    <w:rsid w:val="06A9177A"/>
    <w:rsid w:val="15AA2E2A"/>
    <w:rsid w:val="537C15A2"/>
    <w:rsid w:val="5D4B6E32"/>
    <w:rsid w:val="622A5D93"/>
    <w:rsid w:val="6D55538B"/>
    <w:rsid w:val="75D8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376</Words>
  <Characters>2114</Characters>
  <Lines>235</Lines>
  <Paragraphs>218</Paragraphs>
  <TotalTime>173</TotalTime>
  <ScaleCrop>false</ScaleCrop>
  <LinksUpToDate>false</LinksUpToDate>
  <CharactersWithSpaces>2282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2025-06-26T17:12:00Z</dcterms:created>
  <dc:creator>yanwf</dc:creator>
  <cp:lastModifiedBy>dujuan</cp:lastModifiedBy>
  <dcterms:modified xsi:type="dcterms:W3CDTF">2025-07-10T03:49:25Z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eyJoZGlkIjoiZjdmYjIyYWQ0OTlmN2E0NzVkOWM1MzAxYzgxNzUyYjQiLCJ1c2VySWQiOiIyODY1MTYzODkifQ==</vt:lpwstr>
  </property>
  <property fmtid="{D5CDD505-2E9C-101B-9397-08002B2CF9AE}" pid="4" name="ICV">
    <vt:lpwstr>0E898525A9424112AB53A2AEFF800B28_13</vt:lpwstr>
  </property>
</Properties>
</file>