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97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hint="default" w:ascii="Times New Roman" w:hAnsi="Times New Roman" w:cs="Times New Roman"/>
          <w:b/>
          <w:bCs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</w:rPr>
        <w:t>Supplementary Materials</w:t>
      </w:r>
    </w:p>
    <w:p w14:paraId="3802C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default" w:ascii="Times New Roman" w:hAnsi="Times New Roman" w:cs="Times New Roman"/>
          <w:b/>
          <w:bCs/>
          <w:color w:val="auto"/>
        </w:rPr>
      </w:pPr>
    </w:p>
    <w:p w14:paraId="5275E9D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Association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b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etween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the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c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umulative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e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stimated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lucose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d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isposal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r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ate and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i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ncident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troke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in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a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dults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a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ged 50 and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a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bove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w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 xml:space="preserve">ithout 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d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</w:rPr>
        <w:t>iabetes</w:t>
      </w:r>
      <w:r>
        <w:rPr>
          <w:rStyle w:val="9"/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: a prospective nationwide cohort study in China</w:t>
      </w:r>
    </w:p>
    <w:p w14:paraId="55C72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hint="default" w:ascii="Times New Roman" w:hAnsi="Times New Roman" w:cs="Times New Roman"/>
          <w:b/>
          <w:bCs/>
          <w:color w:val="auto"/>
        </w:rPr>
      </w:pPr>
    </w:p>
    <w:p w14:paraId="2E9C4F3F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 xml:space="preserve">1 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  <w:t>Baseline characteristics between inclusion and exclusion participants who provided blood samples in the CHARLS.</w:t>
      </w:r>
    </w:p>
    <w:p w14:paraId="277E9BD0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auto"/>
          <w:szCs w:val="21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  <w:t>Baseline characteristics of individuals classified by outcome.</w:t>
      </w:r>
    </w:p>
    <w:p w14:paraId="55B4F875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>Supplementary Table 3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  <w:t xml:space="preserve"> Subgroup analyses of the association between the cumulative eGDR and incident stroke.</w:t>
      </w:r>
    </w:p>
    <w:p w14:paraId="1555A021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auto"/>
          <w:szCs w:val="21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>Supplementary Table 4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  <w:t xml:space="preserve"> Association between the cumulative eGDR-BMI and incident stroke.</w:t>
      </w:r>
    </w:p>
    <w:p w14:paraId="35E7539F">
      <w:pPr>
        <w:keepNext w:val="0"/>
        <w:keepLines w:val="0"/>
        <w:pageBreakBefore w:val="0"/>
        <w:widowControl w:val="0"/>
        <w:tabs>
          <w:tab w:val="left" w:pos="6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trike w:val="0"/>
          <w:color w:val="auto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trike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strike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>5</w:t>
      </w:r>
      <w:r>
        <w:rPr>
          <w:rFonts w:hint="default" w:ascii="Times New Roman" w:hAnsi="Times New Roman" w:cs="Times New Roman"/>
          <w:strike w:val="0"/>
          <w:color w:val="auto"/>
          <w:szCs w:val="21"/>
          <w:lang w:val="en-US" w:eastAsia="zh-CN"/>
        </w:rPr>
        <w:t xml:space="preserve"> Association between the cumulative eGDR and incident stroke, accounting for competing risk by all-cause mortality.</w:t>
      </w:r>
    </w:p>
    <w:p w14:paraId="0B0B4D22">
      <w:pPr>
        <w:pStyle w:val="2"/>
        <w:spacing w:before="0" w:after="0" w:line="360" w:lineRule="auto"/>
        <w:rPr>
          <w:rFonts w:hint="default" w:ascii="Times New Roman" w:hAnsi="Times New Roman" w:cs="Times New Roman"/>
          <w:color w:val="auto"/>
          <w:sz w:val="21"/>
          <w:szCs w:val="21"/>
          <w:lang w:val="en-US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1"/>
          <w:szCs w:val="21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  <w14:ligatures w14:val="standardContextual"/>
        </w:rPr>
        <w:t>6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1"/>
          <w:lang w:val="en-US" w:eastAsia="zh-CN" w:bidi="ar-SA"/>
          <w14:ligatures w14:val="standardContextual"/>
        </w:rPr>
        <w:t xml:space="preserve"> Model performance when adding cumulative eGDR to the basic model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  <w14:ligatures w14:val="standardContextual"/>
        </w:rPr>
        <w:t>.</w:t>
      </w:r>
    </w:p>
    <w:p w14:paraId="7C9147E2">
      <w:pPr>
        <w:keepNext w:val="0"/>
        <w:keepLines w:val="0"/>
        <w:pageBreakBefore w:val="0"/>
        <w:widowControl w:val="0"/>
        <w:tabs>
          <w:tab w:val="left" w:pos="6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trike w:val="0"/>
          <w:color w:val="auto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trike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strike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>7</w:t>
      </w:r>
      <w:r>
        <w:rPr>
          <w:rFonts w:hint="default" w:ascii="Times New Roman" w:hAnsi="Times New Roman" w:cs="Times New Roman"/>
          <w:strike w:val="0"/>
          <w:color w:val="auto"/>
          <w:szCs w:val="21"/>
          <w:lang w:val="en-US" w:eastAsia="zh-CN"/>
        </w:rPr>
        <w:t xml:space="preserve"> Association between the cumulative eGDR and incident stroke after excluding participants with stroke at Wave 2.</w:t>
      </w:r>
    </w:p>
    <w:p w14:paraId="5B775F59">
      <w:pPr>
        <w:pStyle w:val="2"/>
        <w:spacing w:before="0" w:after="0" w:line="360" w:lineRule="auto"/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>8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 xml:space="preserve"> Baseline characteristics before and after 1:1 propensity score matching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>.</w:t>
      </w:r>
    </w:p>
    <w:p w14:paraId="6C0C1072">
      <w:pPr>
        <w:pStyle w:val="2"/>
        <w:spacing w:before="0" w:after="0" w:line="360" w:lineRule="auto"/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>9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 xml:space="preserve"> Association between the cumulative 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1"/>
          <w:lang w:val="en-US" w:eastAsia="zh-CN" w:bidi="ar-SA"/>
          <w14:ligatures w14:val="standardContextual"/>
        </w:rPr>
        <w:t>eGDR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 xml:space="preserve"> and incident stroke after 1:1 propensity score matching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  <w14:ligatures w14:val="standardContextual"/>
        </w:rPr>
        <w:t>.</w:t>
      </w:r>
    </w:p>
    <w:p w14:paraId="651648AA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>Supplementary Figure 1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  <w:t xml:space="preserve"> Histogram of cumulative eGDR distribution.</w:t>
      </w:r>
    </w:p>
    <w:p w14:paraId="5D993E91">
      <w:pPr>
        <w:tabs>
          <w:tab w:val="left" w:pos="3626"/>
        </w:tabs>
        <w:spacing w:line="360" w:lineRule="auto"/>
        <w:rPr>
          <w:rFonts w:hint="default" w:ascii="Times New Roman" w:hAnsi="Times New Roman" w:cs="Times New Roman"/>
          <w:color w:val="auto"/>
          <w:szCs w:val="21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 xml:space="preserve">Supplementary Figure 2 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  <w:t>Kaplan–Meier curves according to cumulative eGDR quartiles for stroke.</w:t>
      </w:r>
    </w:p>
    <w:p w14:paraId="53307AE8">
      <w:pPr>
        <w:spacing w:line="360" w:lineRule="auto"/>
        <w:rPr>
          <w:rFonts w:hint="default"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 xml:space="preserve">Supplementary Figure 3 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</w:rPr>
        <w:t>Restricted cubic spline curves for incident stroke according to the cumulative eGDR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  <w:t xml:space="preserve"> by current smoke status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</w:rPr>
        <w:t xml:space="preserve">. </w:t>
      </w:r>
    </w:p>
    <w:p w14:paraId="03CF8491">
      <w:pPr>
        <w:spacing w:line="360" w:lineRule="auto"/>
        <w:rPr>
          <w:rFonts w:hint="default"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 xml:space="preserve">Supplementary Figure 4 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</w:rPr>
        <w:t>Restricted cubic spline curves for incident stroke according to the cumulative eGDR</w:t>
      </w:r>
      <w:r>
        <w:rPr>
          <w:rFonts w:hint="default" w:ascii="Times New Roman" w:hAnsi="Times New Roman" w:cs="Times New Roman"/>
          <w:b w:val="0"/>
          <w:bCs w:val="0"/>
          <w:color w:val="auto"/>
          <w:szCs w:val="21"/>
          <w:lang w:val="en-US" w:eastAsia="zh-CN"/>
        </w:rPr>
        <w:t xml:space="preserve"> by BMI categories.</w:t>
      </w:r>
    </w:p>
    <w:p w14:paraId="5548F6BC">
      <w:pPr>
        <w:bidi w:val="0"/>
        <w:rPr>
          <w:rFonts w:hint="default" w:ascii="Times New Roman" w:hAnsi="Times New Roman" w:cs="Times New Roman" w:eastAsiaTheme="minorEastAsia"/>
          <w:color w:val="auto"/>
          <w:kern w:val="2"/>
          <w:sz w:val="21"/>
          <w:szCs w:val="22"/>
          <w:lang w:val="en-US" w:eastAsia="zh-CN" w:bidi="ar-SA"/>
          <w14:ligatures w14:val="standardContextual"/>
        </w:rPr>
      </w:pPr>
    </w:p>
    <w:p w14:paraId="6393E0BB">
      <w:pPr>
        <w:bidi w:val="0"/>
        <w:rPr>
          <w:rFonts w:hint="default" w:ascii="Times New Roman" w:hAnsi="Times New Roman" w:cs="Times New Roman" w:eastAsiaTheme="minorEastAsia"/>
          <w:color w:val="auto"/>
          <w:kern w:val="2"/>
          <w:sz w:val="21"/>
          <w:szCs w:val="22"/>
          <w:lang w:val="en-US" w:eastAsia="zh-CN" w:bidi="ar-SA"/>
          <w14:ligatures w14:val="standardContextual"/>
        </w:rPr>
      </w:pPr>
    </w:p>
    <w:p w14:paraId="34484497">
      <w:pPr>
        <w:bidi w:val="0"/>
        <w:rPr>
          <w:rFonts w:hint="default" w:ascii="Times New Roman" w:hAnsi="Times New Roman" w:cs="Times New Roman" w:eastAsiaTheme="minorEastAsia"/>
          <w:color w:val="auto"/>
          <w:kern w:val="2"/>
          <w:sz w:val="21"/>
          <w:szCs w:val="22"/>
          <w:lang w:val="en-US" w:eastAsia="zh-CN" w:bidi="ar-SA"/>
          <w14:ligatures w14:val="standardContextual"/>
        </w:rPr>
      </w:pPr>
    </w:p>
    <w:p w14:paraId="11BDCEDA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 xml:space="preserve">1 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Baseline characteristics between inclusion and exclusion participants who provided blood samples in the CHARLS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2551"/>
        <w:gridCol w:w="2551"/>
        <w:gridCol w:w="2551"/>
        <w:gridCol w:w="1587"/>
      </w:tblGrid>
      <w:tr w14:paraId="452077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4535" w:type="dxa"/>
            <w:vAlign w:val="center"/>
          </w:tcPr>
          <w:p w14:paraId="64D858A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Characteristics</w:t>
            </w:r>
          </w:p>
        </w:tc>
        <w:tc>
          <w:tcPr>
            <w:tcW w:w="2551" w:type="dxa"/>
            <w:vAlign w:val="center"/>
          </w:tcPr>
          <w:p w14:paraId="30FA7C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Total</w:t>
            </w:r>
          </w:p>
          <w:p w14:paraId="33DC61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11847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551" w:type="dxa"/>
            <w:vAlign w:val="center"/>
          </w:tcPr>
          <w:p w14:paraId="1111B5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Exclude</w:t>
            </w:r>
          </w:p>
          <w:p w14:paraId="05D3C7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8039)</w:t>
            </w:r>
          </w:p>
        </w:tc>
        <w:tc>
          <w:tcPr>
            <w:tcW w:w="2551" w:type="dxa"/>
            <w:vAlign w:val="center"/>
          </w:tcPr>
          <w:p w14:paraId="6083A1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Include</w:t>
            </w:r>
          </w:p>
          <w:p w14:paraId="0F6844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3808)</w:t>
            </w:r>
          </w:p>
        </w:tc>
        <w:tc>
          <w:tcPr>
            <w:tcW w:w="1587" w:type="dxa"/>
            <w:tcBorders>
              <w:bottom w:val="single" w:color="auto" w:sz="6" w:space="0"/>
            </w:tcBorders>
            <w:vAlign w:val="center"/>
          </w:tcPr>
          <w:p w14:paraId="13453A0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00D527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ECB748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Age, years</w:t>
            </w:r>
          </w:p>
        </w:tc>
        <w:tc>
          <w:tcPr>
            <w:tcW w:w="255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bottom"/>
          </w:tcPr>
          <w:p w14:paraId="7F3CC73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59.0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9.8</w:t>
            </w:r>
          </w:p>
        </w:tc>
        <w:tc>
          <w:tcPr>
            <w:tcW w:w="255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3A9241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57.6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10.5</w:t>
            </w:r>
          </w:p>
        </w:tc>
        <w:tc>
          <w:tcPr>
            <w:tcW w:w="255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7F3706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61.8 ± 7.3</w:t>
            </w:r>
          </w:p>
        </w:tc>
        <w:tc>
          <w:tcPr>
            <w:tcW w:w="158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056141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0948DE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2FC2398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Gender,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3BE219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2D161C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9511D1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6FB6695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17098C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6362D253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Male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45D0DE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5503 (46.5)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41648F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3649 (45.4)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B790F9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1854 (48.7)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44A37D5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</w:tr>
      <w:tr w14:paraId="5D01B8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5E5EE26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Female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FF7948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6344 (53.5)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080E67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4390 (54.6)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BF80AF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1954 (51.3)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50343FD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</w:tr>
      <w:tr w14:paraId="2633E2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0426363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Marital status,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6647EB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368DBC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DC7DC8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6FB3927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</w:t>
            </w:r>
          </w:p>
        </w:tc>
      </w:tr>
      <w:tr w14:paraId="4C0329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6942240E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Married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0C1377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10409 (87.9)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6770A0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7087 (88.2)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7ED616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3322 (87.2)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752A33F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</w:tr>
      <w:tr w14:paraId="612701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0E18D6FB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Others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536027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1438 (12.1)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4305DD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952 (11.8)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C4C7C8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486 (12.8)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31BFE40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</w:tr>
      <w:tr w14:paraId="1A8EBA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0D61DFD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Residence type,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721D54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BA0EF2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4B676D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31903F4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5292E5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73ED8A6A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Rural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2EA565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7530 (63.6)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512882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4882 (60.7)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EFC495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2648 (69.5)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2D4DE3A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C796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681380F6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Urban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373350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4317 (36.4)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AEAC7C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3157 (39.3)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CAF8A2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1160 (30.5)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4EF2904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9820F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18E0CBC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Educational level,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2A65AA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F09B1C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E58947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0D417DE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4C367F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7514F0B6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Middle school or below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310E86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10632 (89.7)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A837BC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7094 (88.2)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E6DB4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3538 (92.9)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15222D1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</w:tr>
      <w:tr w14:paraId="1F9382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016E08F1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High school or vocational school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515BB2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1054 (8.9)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9CBD5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808 (10.1)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AFA27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246 (6.5)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0F81B38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</w:tr>
      <w:tr w14:paraId="11E187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6F1FC44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College or above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D681AD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161 (1.4)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7255F9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137 (1.7)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40EEBB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 (0.6)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5E29A14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</w:tr>
      <w:tr w14:paraId="4A6A48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31E86C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Current smoke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C94A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3380 (28.5)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C426BE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2165 (26.9)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FB97CA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1215 (31.9)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04EDAF1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29F72D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F29181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Current alcohol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D65E9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3851 (32.5)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E1DFC0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2569 (32.0)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822262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1282 (33.7)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6C1E48E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0.064</w:t>
            </w:r>
          </w:p>
        </w:tc>
      </w:tr>
      <w:tr w14:paraId="0FFDFC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19A742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Hypertension,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68ED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3179 (27.1)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093349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1622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 (2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563C1A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1557 (40.9)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56069FD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2355E7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62DC421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Dyslipidemia,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1A7E7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5946 (50.2)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2C44BA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 (52.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32057C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1720 (45.2)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38C8C29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680966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6DB3DF3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Lipid-lowering therapy, n 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B84B0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 (5.1)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FA39A1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 (5.4)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968C30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175 (4.6)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3D5F8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73</w:t>
            </w:r>
          </w:p>
        </w:tc>
      </w:tr>
      <w:tr w14:paraId="5C7AF6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1A897C7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Hypertension medications, n 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B057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2398 (20.2)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1A450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1689 (21.0)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F80DC5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709 (18.6)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7D397F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 w14:paraId="434AEE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716C22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WC, cm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2A5300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84.3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12.6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7D1CB3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84.7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12.9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3DE00E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83.8 ± 12.1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59C147A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0.001</w:t>
            </w:r>
          </w:p>
        </w:tc>
      </w:tr>
      <w:tr w14:paraId="64777B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166F44B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BMI, kg/m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9F4CAF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24.0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26.9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581B8C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24.3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32.1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7CB90A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23.5 ± 14.8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1C6BB1B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</w:t>
            </w:r>
          </w:p>
        </w:tc>
      </w:tr>
      <w:tr w14:paraId="7CBFF3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6AE1A00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SBP, mm Hg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BAEE51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130.8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21.7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59068B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131.1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21.9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DE7276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130.2 ± 21.4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59BDFB3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0.031</w:t>
            </w:r>
          </w:p>
        </w:tc>
      </w:tr>
      <w:tr w14:paraId="1A2875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3E104A1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DBP, mm Hg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179B9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75.9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12.2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58439D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76.3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12.3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5C740A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75.1 ± 12.0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43B3EA9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529509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18F9C7F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TC, mg/dL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96A00A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193.0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38.9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C4598F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192.5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39.5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193008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193.9 ± 37.6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20FB1EC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0.085</w:t>
            </w:r>
          </w:p>
        </w:tc>
      </w:tr>
      <w:tr w14:paraId="43B984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1492679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HDL‐c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mg/dL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AFC73F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50.8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15.3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FE8FF5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50.1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15.3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E856DE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52.5 ± 15.2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45AB2E8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38D625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27666E9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LDL-c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mg/dL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EA89C2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116.0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34.9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084263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114.9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35.3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951EC6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118.2 ± 34.1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042D82E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3D9E9B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63B9247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HbA1c, %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269A7B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5.3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0.8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5E6754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5.3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±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1.0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9673F0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 ± 0.4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783FF0B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</w:tr>
    </w:tbl>
    <w:p w14:paraId="2752F0BA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sectPr>
          <w:footerReference r:id="rId3" w:type="default"/>
          <w:pgSz w:w="16838" w:h="11906" w:orient="landscape"/>
          <w:pgMar w:top="1236" w:right="1327" w:bottom="1236" w:left="132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Note.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Variables are presented as mean ± SD or n (%). Abbrev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iations: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WC, Waist Circumference; BMI, Body Mass Index;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SBP, systolic blood pressure; DBP, diastolic blood pressure; TC, tot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al cholesterol; HDL‐c, high‐density lipoprotein cholesterol; LDL-c, low-density lipoprotein cholesterol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HbA1c, glycosylated hemoglobin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A1c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.</w:t>
      </w:r>
    </w:p>
    <w:p w14:paraId="169EC633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Baseline characteristics of individuals classified by outcome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2551"/>
        <w:gridCol w:w="2551"/>
        <w:gridCol w:w="2551"/>
        <w:gridCol w:w="1587"/>
      </w:tblGrid>
      <w:tr w14:paraId="19C4F7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4535" w:type="dxa"/>
            <w:vAlign w:val="center"/>
          </w:tcPr>
          <w:p w14:paraId="709C13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Characteristics</w:t>
            </w:r>
          </w:p>
        </w:tc>
        <w:tc>
          <w:tcPr>
            <w:tcW w:w="2551" w:type="dxa"/>
            <w:vAlign w:val="center"/>
          </w:tcPr>
          <w:p w14:paraId="3FA585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Total</w:t>
            </w:r>
          </w:p>
          <w:p w14:paraId="20BBA5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3808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551" w:type="dxa"/>
            <w:vAlign w:val="center"/>
          </w:tcPr>
          <w:p w14:paraId="382792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Non-Stroke</w:t>
            </w:r>
          </w:p>
          <w:p w14:paraId="25B5B3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3508)</w:t>
            </w:r>
          </w:p>
        </w:tc>
        <w:tc>
          <w:tcPr>
            <w:tcW w:w="2551" w:type="dxa"/>
            <w:vAlign w:val="center"/>
          </w:tcPr>
          <w:p w14:paraId="352905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Stroke</w:t>
            </w:r>
          </w:p>
          <w:p w14:paraId="19AD3F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300)</w:t>
            </w:r>
          </w:p>
        </w:tc>
        <w:tc>
          <w:tcPr>
            <w:tcW w:w="1587" w:type="dxa"/>
            <w:tcBorders>
              <w:bottom w:val="single" w:color="auto" w:sz="6" w:space="0"/>
            </w:tcBorders>
            <w:vAlign w:val="center"/>
          </w:tcPr>
          <w:p w14:paraId="6182E5C4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745788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62A22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Age, years</w:t>
            </w:r>
          </w:p>
        </w:tc>
        <w:tc>
          <w:tcPr>
            <w:tcW w:w="255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1EB4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 (56, 66)</w:t>
            </w:r>
          </w:p>
        </w:tc>
        <w:tc>
          <w:tcPr>
            <w:tcW w:w="255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10B3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 (56, 66)</w:t>
            </w:r>
          </w:p>
        </w:tc>
        <w:tc>
          <w:tcPr>
            <w:tcW w:w="255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3646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 (58, 67)</w:t>
            </w:r>
          </w:p>
        </w:tc>
        <w:tc>
          <w:tcPr>
            <w:tcW w:w="158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9F60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 w14:paraId="117250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3D4B250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Gender,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733F8D2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45BD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CD0F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40F0C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0.630</w:t>
            </w:r>
          </w:p>
        </w:tc>
      </w:tr>
      <w:tr w14:paraId="0E88BF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2C7BE98A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Male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2A40D09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1854 (48.7)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9BC0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1712 (48.8)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4204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142 (47.3)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24A52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1335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657B2A2D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Female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CA3C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1954 (51.3)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AD75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1796 (51.2)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28A1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158 (52.7)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40D22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09DB3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7F9BAEC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Marital status,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6F39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08E4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AD62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C1A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0.300</w:t>
            </w:r>
          </w:p>
        </w:tc>
      </w:tr>
      <w:tr w14:paraId="7B3CFB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5970E01D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Married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6D45793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3322 (87.2)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7FC6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3066 (87.4%)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FF30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256 (85.3%)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7272D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D1FE0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05614CAC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Others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60AF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486 (12.8)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6085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442 (12.6%)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407D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44 (14.7%)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2052A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7A0F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32E952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Residence type,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7035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3FF2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A7F9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034E4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0.330</w:t>
            </w:r>
          </w:p>
        </w:tc>
      </w:tr>
      <w:tr w14:paraId="66577F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1E5C6E56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Rural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1253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2648 (69.5)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7ED9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2432 (69.3%)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8CFC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216 (72.0%)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2E432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D42C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9CDFA08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Urban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847C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1160 (30.5)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624E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1076 (30.7%)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28BC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84 (28.0%)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5FBD4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CB536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1219C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Educational level,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2F2E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81A6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5FEF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07BCE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0.440</w:t>
            </w:r>
          </w:p>
        </w:tc>
      </w:tr>
      <w:tr w14:paraId="2DAFF2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923589B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Middle school or below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3E93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3538 (92.9)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6B8F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3254 (92.8%)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8C37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284 (94.7%)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1AEAD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4BF07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0B823954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High school or vocational school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7D65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246 (6.5)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C186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231 (6.6%)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3D7F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15 (5.0%)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24CDF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7E59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145276A5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College or above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69AC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 (0.6)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2377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23 (0.7%)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5049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 (0.3%)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604E0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4A74A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9E73A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Current smoke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C4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1215 (31.9)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A6DD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1118 (31.9%)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EBEA6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97 (32.3%)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05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0.870</w:t>
            </w:r>
          </w:p>
        </w:tc>
      </w:tr>
      <w:tr w14:paraId="13A7B5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9C8DF1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Current alcohol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B6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1282 (33.7)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804A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1189 (33.9%)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D54F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93 (31.0%)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88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0.310</w:t>
            </w:r>
          </w:p>
        </w:tc>
      </w:tr>
      <w:tr w14:paraId="21FED2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1D64AB9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Hypertension,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27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1557 (40.9)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7256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1390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6AC5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62877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4D42D4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2D1CC9A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Dyslipidemia, n(%)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742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1720 (45.2)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90DB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1547 (44.1%)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8B9B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173 (57.7%)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79065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3D9B94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5847C09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Lipid-lowering therapy, n 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7C3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175 (4.6)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2FF1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146 (4.2%)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491E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29 (9.7%)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D7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62B216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12F158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Hypertension medications, n (%)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1CA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709 (18.6)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A894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620 (17.7%)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4271F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89 (29.7%)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5D102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081EA9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71FD428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WC, cm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FBE1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83.8 ± 12.1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D42D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83.6 ± 12.0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296F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86.5 ± 12.7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0035C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216290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2F1A83C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BMI, kg/m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0B1E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23.5 ± 14.8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F02E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23.5 ± 15.4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7DFC3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24.1 ± 4.5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76C01C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0.510</w:t>
            </w:r>
          </w:p>
        </w:tc>
      </w:tr>
      <w:tr w14:paraId="64F896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0534EAF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SBP, mm Hg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3F2F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130.2 ± 21.4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06EA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129.7 ± 21.2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F105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136.6 ± 23.0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20BEC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D911E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09F6E36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DBP, mm Hg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0AD9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75.1 ± 12.0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9497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74.9 ± 11.9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3AEF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77.4 ± 12.5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2B801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224C1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35BA9DD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TC, mg/dL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8EE0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193.9 ± 37.6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F9F9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193.4 ± 37.5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2ACF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199.0 ± 38.8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43853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0.014</w:t>
            </w:r>
          </w:p>
        </w:tc>
      </w:tr>
      <w:tr w14:paraId="19392C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2E4C009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HDL‐c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mg/dL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C0EA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52.5 ± 15.2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5AC17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52.7 ± 15.1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344C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49.7 ± 15.6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4BC7A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 w14:paraId="3B407B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176863C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LDL-c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mg/dL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3DE47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118.2 ± 34.1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12DA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117.7 ± 33.8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6E974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123.3 ± 36.2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49984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</w:tr>
      <w:tr w14:paraId="7C04E3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535" w:type="dxa"/>
            <w:tcBorders>
              <w:tl2br w:val="nil"/>
              <w:tr2bl w:val="nil"/>
            </w:tcBorders>
            <w:vAlign w:val="center"/>
          </w:tcPr>
          <w:p w14:paraId="4FD238B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HbA1c, %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09A44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 ± 0.4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22CBA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5.1 ± 0.4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 w14:paraId="15BE0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5.1 ± 0.4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vAlign w:val="center"/>
          </w:tcPr>
          <w:p w14:paraId="7ACF0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0.130</w:t>
            </w:r>
          </w:p>
        </w:tc>
      </w:tr>
    </w:tbl>
    <w:p w14:paraId="4ECE6E1B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sectPr>
          <w:pgSz w:w="16838" w:h="11906" w:orient="landscape"/>
          <w:pgMar w:top="1236" w:right="1327" w:bottom="1236" w:left="132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Note.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Variables are presented as median (interquartile range)</w:t>
      </w:r>
      <w:r>
        <w:rPr>
          <w:rFonts w:hint="eastAsia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mean ± SD or n (%). Abbrev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iations: WC, Waist Circumference; BMI, Body Mass Index; SBP, systolic blood pressure; DBP, diastolic blood pressure; TC, tot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al cholesterol; HDL‐c, high‐density lipoprotein cholesterol; LDL-c, low-density lipoprotein cholesterol;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HbA1c, glycosylated hemoglobin A1c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.</w:t>
      </w:r>
    </w:p>
    <w:p w14:paraId="4D65CD1D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>Supplementary Table 3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 xml:space="preserve"> Subgroup analyses of the association between the cumulative eGDR and incident stroke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.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4"/>
        <w:gridCol w:w="1504"/>
        <w:gridCol w:w="1866"/>
        <w:gridCol w:w="1003"/>
        <w:gridCol w:w="1866"/>
        <w:gridCol w:w="1003"/>
        <w:gridCol w:w="1866"/>
        <w:gridCol w:w="1003"/>
        <w:gridCol w:w="1866"/>
        <w:tblGridChange w:id="0">
          <w:tblGrid>
            <w:gridCol w:w="334"/>
            <w:gridCol w:w="1420"/>
            <w:gridCol w:w="334"/>
            <w:gridCol w:w="1170"/>
            <w:gridCol w:w="334"/>
            <w:gridCol w:w="1420"/>
            <w:gridCol w:w="112"/>
            <w:gridCol w:w="334"/>
            <w:gridCol w:w="557"/>
            <w:gridCol w:w="112"/>
            <w:gridCol w:w="334"/>
            <w:gridCol w:w="1532"/>
            <w:gridCol w:w="1003"/>
            <w:gridCol w:w="1866"/>
            <w:gridCol w:w="1003"/>
            <w:gridCol w:w="1866"/>
          </w:tblGrid>
        </w:tblGridChange>
      </w:tblGrid>
      <w:tr w14:paraId="2112A3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4" w:type="dxa"/>
            <w:vMerge w:val="restart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54437B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Subgroup</w:t>
            </w:r>
          </w:p>
        </w:tc>
        <w:tc>
          <w:tcPr>
            <w:tcW w:w="1504" w:type="dxa"/>
            <w:vMerge w:val="restart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94B918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Quartile 1</w:t>
            </w:r>
          </w:p>
        </w:tc>
        <w:tc>
          <w:tcPr>
            <w:tcW w:w="2869" w:type="dxa"/>
            <w:gridSpan w:val="2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2E6C6C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Quartile 2</w:t>
            </w:r>
          </w:p>
        </w:tc>
        <w:tc>
          <w:tcPr>
            <w:tcW w:w="2869" w:type="dxa"/>
            <w:gridSpan w:val="2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796E5F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Quartile 3</w:t>
            </w:r>
          </w:p>
        </w:tc>
        <w:tc>
          <w:tcPr>
            <w:tcW w:w="2869" w:type="dxa"/>
            <w:gridSpan w:val="2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373CB8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Quartile 4</w:t>
            </w:r>
          </w:p>
        </w:tc>
        <w:tc>
          <w:tcPr>
            <w:tcW w:w="1866" w:type="dxa"/>
            <w:vMerge w:val="restart"/>
            <w:shd w:val="clear" w:color="auto" w:fill="auto"/>
            <w:vAlign w:val="center"/>
          </w:tcPr>
          <w:p w14:paraId="27148DC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 xml:space="preserve"> for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interaction</w:t>
            </w:r>
          </w:p>
        </w:tc>
      </w:tr>
      <w:tr w14:paraId="6FB494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4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top"/>
          </w:tcPr>
          <w:p w14:paraId="47175841">
            <w:pPr>
              <w:spacing w:line="360" w:lineRule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273EEA1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25FE629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HR (95% CI)</w:t>
            </w:r>
          </w:p>
        </w:tc>
        <w:tc>
          <w:tcPr>
            <w:tcW w:w="1003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0F0DA5F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lang w:val="en-US" w:eastAsia="zh-CN"/>
              </w:rPr>
              <w:t>P</w:t>
            </w:r>
          </w:p>
        </w:tc>
        <w:tc>
          <w:tcPr>
            <w:tcW w:w="1866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32B64A8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HR (95% CI)</w:t>
            </w:r>
          </w:p>
        </w:tc>
        <w:tc>
          <w:tcPr>
            <w:tcW w:w="1003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30B347F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lang w:val="en-US" w:eastAsia="zh-CN"/>
              </w:rPr>
              <w:t>P</w:t>
            </w:r>
          </w:p>
        </w:tc>
        <w:tc>
          <w:tcPr>
            <w:tcW w:w="1866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3E3ED00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HR (95% CI)</w:t>
            </w:r>
          </w:p>
        </w:tc>
        <w:tc>
          <w:tcPr>
            <w:tcW w:w="1003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1C045C6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lang w:val="en-US" w:eastAsia="zh-CN"/>
              </w:rPr>
              <w:t>P</w:t>
            </w:r>
          </w:p>
        </w:tc>
        <w:tc>
          <w:tcPr>
            <w:tcW w:w="1866" w:type="dxa"/>
            <w:vMerge w:val="continue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A6F240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F4C5A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op w:val="single" w:color="auto" w:sz="6" w:space="0"/>
              <w:bottom w:val="nil"/>
            </w:tcBorders>
            <w:shd w:val="clear" w:color="auto" w:fill="auto"/>
            <w:vAlign w:val="top"/>
          </w:tcPr>
          <w:p w14:paraId="51002DE0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Age</w:t>
            </w:r>
          </w:p>
        </w:tc>
        <w:tc>
          <w:tcPr>
            <w:tcW w:w="1504" w:type="dxa"/>
            <w:tcBorders>
              <w:top w:val="single" w:color="auto" w:sz="6" w:space="0"/>
              <w:bottom w:val="nil"/>
            </w:tcBorders>
            <w:shd w:val="clear" w:color="auto" w:fill="auto"/>
            <w:vAlign w:val="center"/>
          </w:tcPr>
          <w:p w14:paraId="1CCA555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single" w:color="auto" w:sz="6" w:space="0"/>
              <w:bottom w:val="nil"/>
            </w:tcBorders>
            <w:shd w:val="clear" w:color="auto" w:fill="auto"/>
            <w:vAlign w:val="center"/>
          </w:tcPr>
          <w:p w14:paraId="68A10D9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03" w:type="dxa"/>
            <w:tcBorders>
              <w:top w:val="single" w:color="auto" w:sz="6" w:space="0"/>
              <w:bottom w:val="nil"/>
            </w:tcBorders>
            <w:shd w:val="clear" w:color="auto" w:fill="auto"/>
            <w:vAlign w:val="center"/>
          </w:tcPr>
          <w:p w14:paraId="3E72368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66" w:type="dxa"/>
            <w:tcBorders>
              <w:top w:val="single" w:color="auto" w:sz="6" w:space="0"/>
              <w:bottom w:val="nil"/>
            </w:tcBorders>
            <w:shd w:val="clear" w:color="auto" w:fill="auto"/>
            <w:vAlign w:val="center"/>
          </w:tcPr>
          <w:p w14:paraId="406A064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03" w:type="dxa"/>
            <w:tcBorders>
              <w:top w:val="single" w:color="auto" w:sz="6" w:space="0"/>
              <w:bottom w:val="nil"/>
            </w:tcBorders>
            <w:shd w:val="clear" w:color="auto" w:fill="auto"/>
            <w:vAlign w:val="center"/>
          </w:tcPr>
          <w:p w14:paraId="6700100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66" w:type="dxa"/>
            <w:tcBorders>
              <w:top w:val="single" w:color="auto" w:sz="6" w:space="0"/>
              <w:bottom w:val="nil"/>
            </w:tcBorders>
            <w:shd w:val="clear" w:color="auto" w:fill="auto"/>
            <w:vAlign w:val="center"/>
          </w:tcPr>
          <w:p w14:paraId="195D6C7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03" w:type="dxa"/>
            <w:tcBorders>
              <w:top w:val="single" w:color="auto" w:sz="6" w:space="0"/>
              <w:bottom w:val="nil"/>
            </w:tcBorders>
            <w:shd w:val="clear" w:color="auto" w:fill="auto"/>
            <w:vAlign w:val="center"/>
          </w:tcPr>
          <w:p w14:paraId="6E06BCB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66" w:type="dxa"/>
            <w:tcBorders>
              <w:top w:val="single" w:color="auto" w:sz="6" w:space="0"/>
              <w:bottom w:val="nil"/>
            </w:tcBorders>
            <w:shd w:val="clear" w:color="auto" w:fill="auto"/>
            <w:vAlign w:val="center"/>
          </w:tcPr>
          <w:p w14:paraId="5F060FA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0.250</w:t>
            </w:r>
          </w:p>
        </w:tc>
      </w:tr>
      <w:tr w14:paraId="7A3402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F4A9FE5">
            <w:pPr>
              <w:spacing w:line="360" w:lineRule="auto"/>
              <w:ind w:firstLine="210" w:firstLineChars="100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&lt;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97FBF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16D9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0.56(0.37,0.85)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0CA16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0.006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6F88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0.35(0.22,0.57)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1A800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A7EE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0.35(0.21,0.59)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DECBC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AD77E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9ED91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2BB5CD4">
            <w:pPr>
              <w:spacing w:line="360" w:lineRule="auto"/>
              <w:ind w:firstLine="210" w:firstLineChars="100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≥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F5B5F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985FF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0.81(0.48,1.36)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349C6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0.428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621A3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0.58(0.31,1.09)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C3A66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0.091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00CDE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0.37(0.18,0.75)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83AA6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0.006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3D423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2C73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39C182C4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Gender</w:t>
            </w:r>
          </w:p>
        </w:tc>
        <w:tc>
          <w:tcPr>
            <w:tcW w:w="1504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46383BE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296FA96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03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7E40946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66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56522BF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03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7427DD5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66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5ADDBAD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03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18DD74C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66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2C52D58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0.517</w:t>
            </w:r>
          </w:p>
        </w:tc>
      </w:tr>
      <w:tr w14:paraId="07C1E3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B72C7B">
            <w:pPr>
              <w:spacing w:line="360" w:lineRule="auto"/>
              <w:ind w:firstLine="210" w:firstLineChars="10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Male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9103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8601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0.66(0.42,1.05)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799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0.083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67057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0.33(0.19,0.58)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9CF5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74BE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0.29(0.16,0.53)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9A12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A0EB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F7EC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0824EE">
            <w:pPr>
              <w:spacing w:line="360" w:lineRule="auto"/>
              <w:ind w:firstLine="210" w:firstLineChars="10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Female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3327E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85E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0.55(0.34,0.87)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E1234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0.012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0507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0.47(0.28,0.79)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080B9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0.005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54B03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0.40(0.23,0.70)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2C1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0A173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BF773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1797BC">
            <w:pPr>
              <w:spacing w:line="360" w:lineRule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Current smoke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3FC3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C7E0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07AA0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A935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67564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3EFEF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65B54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AA3E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bidi="ar"/>
              </w:rPr>
              <w:t>0.020</w:t>
            </w:r>
          </w:p>
        </w:tc>
      </w:tr>
      <w:tr w14:paraId="78047A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09D28DA">
            <w:pPr>
              <w:spacing w:line="360" w:lineRule="auto"/>
              <w:ind w:firstLine="210" w:firstLineChars="10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D620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C65E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0.47(0.31,0.71)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BF8B8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2F9A7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(0.27,0.67)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17B77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133C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0.32(0.20,0.54)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54E0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D7834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5F4D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A1E2D1">
            <w:pPr>
              <w:spacing w:line="360" w:lineRule="auto"/>
              <w:ind w:firstLine="210" w:firstLineChars="10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1874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5B7D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1.07(0.61,1.88)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17F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0.82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22F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0.37(0.18,0.78)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534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0.008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C603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0.42(0.20,0.85)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0B957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0.016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67ECF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37F10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34ABC1C">
            <w:pPr>
              <w:spacing w:line="360" w:lineRule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Current alcohol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7DCA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0483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1B02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44DD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75B8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490D6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DFD33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23CB4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bidi="ar"/>
              </w:rPr>
              <w:t>0.93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9</w:t>
            </w:r>
          </w:p>
        </w:tc>
      </w:tr>
      <w:tr w14:paraId="19B7E3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CE8099">
            <w:pPr>
              <w:spacing w:line="360" w:lineRule="auto"/>
              <w:ind w:firstLine="210" w:firstLineChars="10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0994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4972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0.65(0.43,0.97)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4EC0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0.035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66253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0.44(0.28,0.71)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36E7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BB07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0.39(0.23,0.65)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DF59F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1CF5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004C2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13D499">
            <w:pPr>
              <w:spacing w:line="360" w:lineRule="auto"/>
              <w:ind w:firstLine="210" w:firstLineChars="10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B687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6AB8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0.59(0.34,1.04)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C023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0.069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1C672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0.34(0.17,0.65)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9D0F5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48F7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0.28(0.14,0.56)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8CB1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4F99A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83008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9F67EF4">
            <w:pPr>
              <w:spacing w:line="360" w:lineRule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BMI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3472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60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61C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85B6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7855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85F3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D28D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F44D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2C9F3F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9731386">
            <w:pPr>
              <w:spacing w:line="360" w:lineRule="auto"/>
              <w:ind w:firstLine="210" w:firstLineChars="10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&lt;2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BC9E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B01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0.80(0.51,1.27)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D7B88">
            <w:pPr>
              <w:widowControl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0.348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0BF33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0.45(0.27,0.74)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D38D90">
            <w:pPr>
              <w:widowControl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0.002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3FCD6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0.33(0.20,0.56)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F8683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F8F9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17513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B2806EA">
            <w:pPr>
              <w:numPr>
                <w:ilvl w:val="0"/>
                <w:numId w:val="0"/>
              </w:numPr>
              <w:spacing w:line="360" w:lineRule="auto"/>
              <w:ind w:firstLine="210" w:firstLineChars="10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24-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0A96A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5F0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0.52(0.29,0.94)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103032">
            <w:pPr>
              <w:widowControl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EC8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0.37(0.17,0.80)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0B12AC">
            <w:pPr>
              <w:widowControl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0.012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BB0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0.93(0.34,2.54)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3720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0.884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B93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C5036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75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DE56CE">
            <w:pPr>
              <w:spacing w:line="360" w:lineRule="auto"/>
              <w:ind w:firstLine="210" w:firstLineChars="100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28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34F0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62D5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0.47(0.20,1.10)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9A4EFB">
            <w:pPr>
              <w:widowControl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0.083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E5170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85A5A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6AE5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1.54(0.33,7.12)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F932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0.578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B3C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36189977">
      <w:pPr>
        <w:tabs>
          <w:tab w:val="left" w:pos="1062"/>
        </w:tabs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Note. </w:t>
      </w:r>
      <w:r>
        <w:rPr>
          <w:rFonts w:hint="default" w:ascii="Times New Roman" w:hAnsi="Times New Roman" w:cs="Times New Roman" w:eastAsiaTheme="minorEastAsia"/>
          <w:color w:val="auto"/>
          <w:kern w:val="2"/>
          <w:sz w:val="18"/>
          <w:szCs w:val="18"/>
          <w:lang w:val="en-US" w:eastAsia="zh-CN" w:bidi="ar-SA"/>
          <w14:ligatures w14:val="standardContextual"/>
        </w:rPr>
        <w:t xml:space="preserve">The analyses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adjusted for age, gender, marital status, residence type, educational level, current smoke, current alcohol, dyslipidemia, lipid-lowering therapy, and use of hypertension medications.</w:t>
      </w:r>
    </w:p>
    <w:p w14:paraId="1F9C464A">
      <w:pPr>
        <w:tabs>
          <w:tab w:val="left" w:pos="1062"/>
        </w:tabs>
        <w:jc w:val="left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</w:p>
    <w:p w14:paraId="371AD954">
      <w:pPr>
        <w:tabs>
          <w:tab w:val="left" w:pos="1062"/>
        </w:tabs>
        <w:jc w:val="left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</w:p>
    <w:p w14:paraId="0923C7B9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>Supplementary Table 4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 xml:space="preserve"> Association between the cumulative eGDR-BMI and incident stroke.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2268"/>
        <w:gridCol w:w="1417"/>
        <w:gridCol w:w="2268"/>
        <w:gridCol w:w="1417"/>
        <w:gridCol w:w="2268"/>
        <w:gridCol w:w="1417"/>
      </w:tblGrid>
      <w:tr w14:paraId="430CDE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74" w:type="dxa"/>
            <w:vMerge w:val="restart"/>
            <w:vAlign w:val="center"/>
          </w:tcPr>
          <w:p w14:paraId="18DAFC8B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85" w:type="dxa"/>
            <w:gridSpan w:val="2"/>
            <w:tcBorders>
              <w:bottom w:val="nil"/>
            </w:tcBorders>
            <w:vAlign w:val="center"/>
          </w:tcPr>
          <w:p w14:paraId="75C662BD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1</w:t>
            </w:r>
          </w:p>
        </w:tc>
        <w:tc>
          <w:tcPr>
            <w:tcW w:w="3685" w:type="dxa"/>
            <w:gridSpan w:val="2"/>
            <w:tcBorders>
              <w:bottom w:val="nil"/>
            </w:tcBorders>
            <w:vAlign w:val="center"/>
          </w:tcPr>
          <w:p w14:paraId="7149C27D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2</w:t>
            </w:r>
          </w:p>
        </w:tc>
        <w:tc>
          <w:tcPr>
            <w:tcW w:w="3685" w:type="dxa"/>
            <w:gridSpan w:val="2"/>
            <w:tcBorders>
              <w:bottom w:val="nil"/>
            </w:tcBorders>
            <w:vAlign w:val="center"/>
          </w:tcPr>
          <w:p w14:paraId="01187A7A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3</w:t>
            </w:r>
          </w:p>
        </w:tc>
      </w:tr>
      <w:tr w14:paraId="6297DE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74" w:type="dxa"/>
            <w:vMerge w:val="continue"/>
            <w:tcBorders>
              <w:bottom w:val="single" w:color="auto" w:sz="6" w:space="0"/>
            </w:tcBorders>
            <w:vAlign w:val="center"/>
          </w:tcPr>
          <w:p w14:paraId="2C5CA5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tcBorders>
              <w:top w:val="nil"/>
              <w:bottom w:val="single" w:color="auto" w:sz="6" w:space="0"/>
            </w:tcBorders>
            <w:vAlign w:val="center"/>
          </w:tcPr>
          <w:p w14:paraId="68CFEC6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417" w:type="dxa"/>
            <w:tcBorders>
              <w:top w:val="nil"/>
              <w:bottom w:val="single" w:color="auto" w:sz="6" w:space="0"/>
            </w:tcBorders>
            <w:vAlign w:val="center"/>
          </w:tcPr>
          <w:p w14:paraId="5B222863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2268" w:type="dxa"/>
            <w:tcBorders>
              <w:top w:val="nil"/>
              <w:bottom w:val="single" w:color="auto" w:sz="6" w:space="0"/>
            </w:tcBorders>
            <w:vAlign w:val="center"/>
          </w:tcPr>
          <w:p w14:paraId="10C3E70C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417" w:type="dxa"/>
            <w:tcBorders>
              <w:top w:val="nil"/>
              <w:bottom w:val="single" w:color="auto" w:sz="6" w:space="0"/>
            </w:tcBorders>
            <w:vAlign w:val="center"/>
          </w:tcPr>
          <w:p w14:paraId="5B3302C9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2268" w:type="dxa"/>
            <w:tcBorders>
              <w:top w:val="nil"/>
              <w:bottom w:val="single" w:color="auto" w:sz="6" w:space="0"/>
            </w:tcBorders>
            <w:vAlign w:val="center"/>
          </w:tcPr>
          <w:p w14:paraId="70D93A0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417" w:type="dxa"/>
            <w:tcBorders>
              <w:top w:val="nil"/>
              <w:bottom w:val="single" w:color="auto" w:sz="6" w:space="0"/>
            </w:tcBorders>
            <w:vAlign w:val="center"/>
          </w:tcPr>
          <w:p w14:paraId="02B9ECE1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4FF7A1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D40AD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Quartile 1</w:t>
            </w:r>
          </w:p>
        </w:tc>
        <w:tc>
          <w:tcPr>
            <w:tcW w:w="22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490EFF9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EA9429D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6B8B88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0B295B1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8540E8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5848E6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151CB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24D8BD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Quartile 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5DE2D72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0.62(0.46,0.83)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7261B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5B50BBE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0.62(0.47,0.83)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E846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0.002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766F4E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0.68(0.47,0.98)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5B29420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0.036</w:t>
            </w:r>
          </w:p>
        </w:tc>
      </w:tr>
      <w:tr w14:paraId="62BD12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C993F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Quartile 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C79BDF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0.49(0.36,0.67)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156571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72EB44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0.48(0.35,0.66)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51B2BA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F255B2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0.56(0.38,0.83)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314AC87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0.004</w:t>
            </w:r>
          </w:p>
        </w:tc>
      </w:tr>
      <w:tr w14:paraId="0F804B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383A0E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Quartile 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5B42713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0.39(0.28,0.55)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1DC0F5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6632459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0.38(0.27,0.54)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547504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FD8BAF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0.46(0.31,0.71)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174C7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0.015</w:t>
            </w:r>
          </w:p>
        </w:tc>
      </w:tr>
    </w:tbl>
    <w:p w14:paraId="01F456C0">
      <w:pPr>
        <w:tabs>
          <w:tab w:val="left" w:pos="669"/>
        </w:tabs>
        <w:bidi w:val="0"/>
        <w:jc w:val="left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Note.</w:t>
      </w: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Model 1 adjusted for age and gender; Model 2 adjusted for age, gender, marital status, residence type, educational level,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current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smok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e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, and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urrent alcohol; Model 3 adjusted for age, gender, marital status, residence type, educational level,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current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smok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e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urrent alcohol, dyslipidemia, lipid-lowering therapy, and use of hypertension medications.</w:t>
      </w:r>
    </w:p>
    <w:p w14:paraId="0D55CCA3">
      <w:pPr>
        <w:rPr>
          <w:rFonts w:ascii="Times New Roman" w:hAnsi="Times New Roman" w:cs="Times New Roman"/>
          <w:color w:val="auto"/>
        </w:rPr>
      </w:pPr>
    </w:p>
    <w:p w14:paraId="4B2381B0">
      <w:pPr>
        <w:rPr>
          <w:rFonts w:ascii="Times New Roman" w:hAnsi="Times New Roman" w:cs="Times New Roman"/>
          <w:color w:val="auto"/>
        </w:rPr>
      </w:pPr>
    </w:p>
    <w:p w14:paraId="240C029E">
      <w:pPr>
        <w:rPr>
          <w:rFonts w:ascii="Times New Roman" w:hAnsi="Times New Roman" w:cs="Times New Roman"/>
          <w:color w:val="auto"/>
        </w:rPr>
      </w:pPr>
    </w:p>
    <w:p w14:paraId="75EDFE88">
      <w:pPr>
        <w:rPr>
          <w:rFonts w:ascii="Times New Roman" w:hAnsi="Times New Roman" w:cs="Times New Roman"/>
          <w:color w:val="auto"/>
        </w:rPr>
      </w:pPr>
    </w:p>
    <w:p w14:paraId="239C5678">
      <w:pPr>
        <w:rPr>
          <w:rFonts w:ascii="Times New Roman" w:hAnsi="Times New Roman" w:cs="Times New Roman"/>
          <w:color w:val="auto"/>
        </w:rPr>
      </w:pPr>
    </w:p>
    <w:p w14:paraId="4F7BF54B">
      <w:pPr>
        <w:rPr>
          <w:rFonts w:ascii="Times New Roman" w:hAnsi="Times New Roman" w:cs="Times New Roman"/>
          <w:color w:val="auto"/>
        </w:rPr>
      </w:pPr>
    </w:p>
    <w:p w14:paraId="61DBE413">
      <w:pPr>
        <w:rPr>
          <w:rFonts w:ascii="Times New Roman" w:hAnsi="Times New Roman" w:cs="Times New Roman"/>
          <w:color w:val="auto"/>
        </w:rPr>
      </w:pPr>
    </w:p>
    <w:p w14:paraId="249D005F">
      <w:pPr>
        <w:rPr>
          <w:rFonts w:ascii="Times New Roman" w:hAnsi="Times New Roman" w:cs="Times New Roman"/>
          <w:color w:val="auto"/>
        </w:rPr>
      </w:pPr>
    </w:p>
    <w:p w14:paraId="2FD3475B">
      <w:pPr>
        <w:rPr>
          <w:rFonts w:ascii="Times New Roman" w:hAnsi="Times New Roman" w:cs="Times New Roman"/>
          <w:color w:val="auto"/>
        </w:rPr>
      </w:pPr>
    </w:p>
    <w:p w14:paraId="31AF0EF0">
      <w:pPr>
        <w:rPr>
          <w:rFonts w:ascii="Times New Roman" w:hAnsi="Times New Roman" w:cs="Times New Roman"/>
          <w:color w:val="auto"/>
        </w:rPr>
      </w:pPr>
    </w:p>
    <w:p w14:paraId="1080AFE3">
      <w:pPr>
        <w:rPr>
          <w:rFonts w:ascii="Times New Roman" w:hAnsi="Times New Roman" w:cs="Times New Roman"/>
          <w:color w:val="auto"/>
        </w:rPr>
      </w:pPr>
    </w:p>
    <w:p w14:paraId="5A341BE0">
      <w:pPr>
        <w:rPr>
          <w:rFonts w:ascii="Times New Roman" w:hAnsi="Times New Roman" w:cs="Times New Roman"/>
          <w:color w:val="auto"/>
        </w:rPr>
      </w:pPr>
    </w:p>
    <w:p w14:paraId="2172D36A">
      <w:pPr>
        <w:rPr>
          <w:rFonts w:ascii="Times New Roman" w:hAnsi="Times New Roman" w:cs="Times New Roman"/>
          <w:color w:val="auto"/>
        </w:rPr>
      </w:pPr>
    </w:p>
    <w:p w14:paraId="6980316B">
      <w:pPr>
        <w:rPr>
          <w:rFonts w:ascii="Times New Roman" w:hAnsi="Times New Roman" w:cs="Times New Roman"/>
          <w:color w:val="auto"/>
        </w:rPr>
      </w:pPr>
    </w:p>
    <w:p w14:paraId="4770ED48">
      <w:pPr>
        <w:rPr>
          <w:rFonts w:ascii="Times New Roman" w:hAnsi="Times New Roman" w:cs="Times New Roman"/>
          <w:color w:val="auto"/>
        </w:rPr>
      </w:pPr>
    </w:p>
    <w:p w14:paraId="31A494B7">
      <w:pPr>
        <w:rPr>
          <w:rFonts w:ascii="Times New Roman" w:hAnsi="Times New Roman" w:cs="Times New Roman"/>
          <w:color w:val="auto"/>
        </w:rPr>
      </w:pPr>
    </w:p>
    <w:p w14:paraId="50E08C45">
      <w:pPr>
        <w:keepNext w:val="0"/>
        <w:keepLines w:val="0"/>
        <w:pageBreakBefore w:val="0"/>
        <w:widowControl w:val="0"/>
        <w:tabs>
          <w:tab w:val="left" w:pos="6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trike w:val="0"/>
          <w:color w:val="auto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trike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strike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>5</w:t>
      </w:r>
      <w:r>
        <w:rPr>
          <w:rFonts w:hint="default" w:ascii="Times New Roman" w:hAnsi="Times New Roman" w:cs="Times New Roman"/>
          <w:strike w:val="0"/>
          <w:color w:val="auto"/>
          <w:lang w:val="en-US" w:eastAsia="zh-CN"/>
        </w:rPr>
        <w:t xml:space="preserve"> Association between the cumulative eGDR and incident stroke, accounting for competing risk by all-cause mortality.</w:t>
      </w:r>
    </w:p>
    <w:tbl>
      <w:tblPr>
        <w:tblStyle w:val="6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2"/>
        <w:gridCol w:w="2268"/>
        <w:gridCol w:w="1134"/>
        <w:gridCol w:w="2268"/>
        <w:gridCol w:w="1134"/>
        <w:gridCol w:w="2268"/>
        <w:gridCol w:w="1134"/>
      </w:tblGrid>
      <w:tr w14:paraId="472DC1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32" w:type="dxa"/>
            <w:vMerge w:val="restart"/>
            <w:vAlign w:val="center"/>
          </w:tcPr>
          <w:p w14:paraId="3857469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gridSpan w:val="2"/>
            <w:tcBorders>
              <w:bottom w:val="nil"/>
            </w:tcBorders>
            <w:vAlign w:val="center"/>
          </w:tcPr>
          <w:p w14:paraId="1E22C17E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1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vAlign w:val="center"/>
          </w:tcPr>
          <w:p w14:paraId="6C25FE10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2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vAlign w:val="center"/>
          </w:tcPr>
          <w:p w14:paraId="2C8BAB83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3</w:t>
            </w:r>
          </w:p>
        </w:tc>
      </w:tr>
      <w:tr w14:paraId="3B47BB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32" w:type="dxa"/>
            <w:vMerge w:val="continue"/>
            <w:tcBorders>
              <w:bottom w:val="single" w:color="auto" w:sz="6" w:space="0"/>
            </w:tcBorders>
            <w:vAlign w:val="center"/>
          </w:tcPr>
          <w:p w14:paraId="555320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tcBorders>
              <w:top w:val="nil"/>
              <w:bottom w:val="single" w:color="auto" w:sz="6" w:space="0"/>
            </w:tcBorders>
            <w:vAlign w:val="center"/>
          </w:tcPr>
          <w:p w14:paraId="44AA46C0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134" w:type="dxa"/>
            <w:tcBorders>
              <w:top w:val="nil"/>
              <w:bottom w:val="single" w:color="auto" w:sz="6" w:space="0"/>
            </w:tcBorders>
            <w:vAlign w:val="center"/>
          </w:tcPr>
          <w:p w14:paraId="22C0F701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2268" w:type="dxa"/>
            <w:tcBorders>
              <w:top w:val="nil"/>
              <w:bottom w:val="single" w:color="auto" w:sz="6" w:space="0"/>
            </w:tcBorders>
            <w:vAlign w:val="center"/>
          </w:tcPr>
          <w:p w14:paraId="5A02F490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134" w:type="dxa"/>
            <w:tcBorders>
              <w:top w:val="nil"/>
              <w:bottom w:val="single" w:color="auto" w:sz="6" w:space="0"/>
            </w:tcBorders>
            <w:vAlign w:val="center"/>
          </w:tcPr>
          <w:p w14:paraId="08728F1D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2268" w:type="dxa"/>
            <w:tcBorders>
              <w:top w:val="nil"/>
              <w:bottom w:val="single" w:color="auto" w:sz="6" w:space="0"/>
            </w:tcBorders>
            <w:vAlign w:val="center"/>
          </w:tcPr>
          <w:p w14:paraId="14127A9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134" w:type="dxa"/>
            <w:tcBorders>
              <w:top w:val="nil"/>
              <w:bottom w:val="single" w:color="auto" w:sz="6" w:space="0"/>
            </w:tcBorders>
            <w:vAlign w:val="center"/>
          </w:tcPr>
          <w:p w14:paraId="1E086D46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268485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3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D583B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Quartile 1</w:t>
            </w:r>
          </w:p>
        </w:tc>
        <w:tc>
          <w:tcPr>
            <w:tcW w:w="22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4A9B3C4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1E84BDC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5DA5D92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11A5599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45BEED6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91B7B22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0226B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32" w:type="dxa"/>
            <w:tcBorders>
              <w:tl2br w:val="nil"/>
              <w:tr2bl w:val="nil"/>
            </w:tcBorders>
            <w:vAlign w:val="center"/>
          </w:tcPr>
          <w:p w14:paraId="74A8C3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Quartile 2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0B23142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0.64(0.49,0.83)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F013B6F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35A0D64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0.63(0.48,0.83)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86C1808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189758F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0.64(0.47,0.88)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F48D3AD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005</w:t>
            </w:r>
          </w:p>
        </w:tc>
      </w:tr>
      <w:tr w14:paraId="7B7F52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32" w:type="dxa"/>
            <w:tcBorders>
              <w:tl2br w:val="nil"/>
              <w:tr2bl w:val="nil"/>
            </w:tcBorders>
            <w:vAlign w:val="center"/>
          </w:tcPr>
          <w:p w14:paraId="5BA0F7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Quartile 3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7EDAF869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0.40(0.29,0.55)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A3BE4D4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F9BBC86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0.39(0.29,0.54)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C172251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77423F6C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0.42(0.29,0.61)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82F17F7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A7DE5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32" w:type="dxa"/>
            <w:tcBorders>
              <w:tl2br w:val="nil"/>
              <w:tr2bl w:val="nil"/>
            </w:tcBorders>
            <w:vAlign w:val="center"/>
          </w:tcPr>
          <w:p w14:paraId="6B0805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Quartile 4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8969558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0.32(0.23,0.45)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740BFC2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719F76F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0.31(0.22,0.44)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D0E228F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956909D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0.35(0.23,0.52)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CF6C8D5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</w:tbl>
    <w:p w14:paraId="78EE91EF">
      <w:pPr>
        <w:tabs>
          <w:tab w:val="left" w:pos="669"/>
        </w:tabs>
        <w:bidi w:val="0"/>
        <w:jc w:val="both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Note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. Model 1 adjusted for age and gender; Model 2 adjusted for age, gender, marital status, residence type, educational level, current smoke, and current alcohol; Model 3 adjusted for age, gender, marital status, residence type, educational level, current smoke, current alcohol, dyslipidemia, lipid-lowering therapy, and use of hypertension medications.</w:t>
      </w:r>
    </w:p>
    <w:p w14:paraId="5D5A49FB">
      <w:pPr>
        <w:pStyle w:val="2"/>
        <w:spacing w:before="0" w:after="0" w:line="240" w:lineRule="auto"/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1"/>
          <w:szCs w:val="22"/>
          <w:lang w:val="en-US" w:eastAsia="zh-CN" w:bidi="ar-SA"/>
          <w14:ligatures w14:val="standardContextual"/>
        </w:rPr>
        <w:sectPr>
          <w:pgSz w:w="16838" w:h="11906" w:orient="landscape"/>
          <w:pgMar w:top="1236" w:right="1327" w:bottom="1236" w:left="132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140F8780">
      <w:pPr>
        <w:pStyle w:val="2"/>
        <w:spacing w:before="0" w:after="0" w:line="360" w:lineRule="auto"/>
        <w:rPr>
          <w:rFonts w:hint="default" w:ascii="Times New Roman" w:hAnsi="Times New Roman" w:cs="Times New Roman"/>
          <w:color w:val="auto"/>
          <w:sz w:val="18"/>
          <w:szCs w:val="18"/>
          <w:lang w:val="en-US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1"/>
          <w:szCs w:val="22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2"/>
          <w:lang w:val="en-US" w:eastAsia="zh-CN" w:bidi="ar-SA"/>
          <w14:ligatures w14:val="standardContextual"/>
        </w:rPr>
        <w:t>6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2"/>
          <w:lang w:val="en-US" w:eastAsia="zh-CN" w:bidi="ar-SA"/>
          <w14:ligatures w14:val="standardContextual"/>
        </w:rPr>
        <w:t xml:space="preserve"> Model performance when adding cumulative eGDR to the basic model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2"/>
          <w:lang w:val="en-US" w:eastAsia="zh-CN" w:bidi="ar-SA"/>
          <w14:ligatures w14:val="standardContextual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8"/>
        <w:gridCol w:w="2835"/>
        <w:gridCol w:w="2835"/>
        <w:gridCol w:w="2835"/>
      </w:tblGrid>
      <w:tr w14:paraId="01CABC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968" w:type="dxa"/>
            <w:tcBorders>
              <w:bottom w:val="single" w:color="auto" w:sz="6" w:space="0"/>
            </w:tcBorders>
            <w:vAlign w:val="center"/>
          </w:tcPr>
          <w:p w14:paraId="11F2FF49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835" w:type="dxa"/>
            <w:tcBorders>
              <w:bottom w:val="single" w:color="auto" w:sz="6" w:space="0"/>
            </w:tcBorders>
            <w:vAlign w:val="center"/>
          </w:tcPr>
          <w:p w14:paraId="29AD095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C-index (95%CI)</w:t>
            </w:r>
          </w:p>
        </w:tc>
        <w:tc>
          <w:tcPr>
            <w:tcW w:w="2835" w:type="dxa"/>
            <w:tcBorders>
              <w:bottom w:val="single" w:color="auto" w:sz="6" w:space="0"/>
            </w:tcBorders>
            <w:vAlign w:val="center"/>
          </w:tcPr>
          <w:p w14:paraId="611738E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NRI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(95%CI)</w:t>
            </w:r>
          </w:p>
        </w:tc>
        <w:tc>
          <w:tcPr>
            <w:tcW w:w="2835" w:type="dxa"/>
            <w:tcBorders>
              <w:bottom w:val="single" w:color="auto" w:sz="6" w:space="0"/>
            </w:tcBorders>
            <w:vAlign w:val="center"/>
          </w:tcPr>
          <w:p w14:paraId="52C477F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IDI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(95%CI)</w:t>
            </w:r>
          </w:p>
        </w:tc>
      </w:tr>
      <w:tr w14:paraId="77E066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9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06A9BED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Basic model</w:t>
            </w:r>
          </w:p>
        </w:tc>
        <w:tc>
          <w:tcPr>
            <w:tcW w:w="283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D81766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0.5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0.51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 xml:space="preserve"> , 0.52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283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A2E759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283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49A4DF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</w:tr>
      <w:tr w14:paraId="35DCD3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968" w:type="dxa"/>
            <w:tcBorders>
              <w:tl2br w:val="nil"/>
              <w:tr2bl w:val="nil"/>
            </w:tcBorders>
            <w:vAlign w:val="center"/>
          </w:tcPr>
          <w:p w14:paraId="176CE7EA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Basic model + HTN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2BB12FF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0.5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0.51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4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 xml:space="preserve"> , 0.52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3096F0D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0.001(-0.010,0.011)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1D0E6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0.004(-0.003,0.011)</w:t>
            </w:r>
          </w:p>
        </w:tc>
      </w:tr>
      <w:tr w14:paraId="15136A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968" w:type="dxa"/>
            <w:tcBorders>
              <w:tl2br w:val="nil"/>
              <w:tr2bl w:val="nil"/>
            </w:tcBorders>
            <w:vAlign w:val="center"/>
          </w:tcPr>
          <w:p w14:paraId="1C8AEE42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Basic model + eGDR at baseline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0C656D0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0.52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0.51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 xml:space="preserve"> , 0.52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76652D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0.120(-0.327,0.567)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3D42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-0.013(-0.037,0.011)</w:t>
            </w:r>
          </w:p>
        </w:tc>
      </w:tr>
      <w:tr w14:paraId="029AAA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968" w:type="dxa"/>
            <w:tcBorders>
              <w:tl2br w:val="nil"/>
              <w:tr2bl w:val="nil"/>
            </w:tcBorders>
            <w:vAlign w:val="center"/>
          </w:tcPr>
          <w:p w14:paraId="32F7E99F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Basic model + cumulative eGDR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129BAA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0.52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0.51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 xml:space="preserve"> , 0.52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634D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0.309(-0.200,0.818)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B84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-0.017(-0.044,0.010)</w:t>
            </w:r>
          </w:p>
        </w:tc>
      </w:tr>
    </w:tbl>
    <w:p w14:paraId="56295F02">
      <w:pPr>
        <w:rPr>
          <w:rFonts w:hint="default" w:ascii="Times New Roman" w:hAnsi="Times New Roman" w:cs="Times New Roman"/>
          <w:color w:val="auto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Note. </w:t>
      </w:r>
      <w:r>
        <w:rPr>
          <w:rFonts w:hint="default" w:ascii="Times New Roman" w:hAnsi="Times New Roman" w:cs="Times New Roman"/>
          <w:color w:val="auto"/>
          <w:sz w:val="18"/>
          <w:szCs w:val="18"/>
        </w:rPr>
        <w:t>The basic model included age, gender, marital status, residence type, educational level, smoking status, alcohol drinking status, history of dyslipidemia, lipid-lowering therapy, use of hypertension medications, total cholesterol, and high-density lipoprotein cholesterol.</w:t>
      </w:r>
    </w:p>
    <w:p w14:paraId="7CE40F4B">
      <w:pPr>
        <w:rPr>
          <w:rFonts w:ascii="Times New Roman" w:hAnsi="Times New Roman" w:cs="Times New Roman"/>
          <w:color w:val="auto"/>
        </w:rPr>
      </w:pPr>
    </w:p>
    <w:p w14:paraId="798E3A8A">
      <w:pPr>
        <w:rPr>
          <w:rFonts w:ascii="Times New Roman" w:hAnsi="Times New Roman" w:cs="Times New Roman"/>
          <w:color w:val="auto"/>
        </w:rPr>
      </w:pPr>
    </w:p>
    <w:p w14:paraId="714B1F29">
      <w:pPr>
        <w:rPr>
          <w:rFonts w:ascii="Times New Roman" w:hAnsi="Times New Roman" w:cs="Times New Roman"/>
          <w:color w:val="auto"/>
        </w:rPr>
      </w:pPr>
    </w:p>
    <w:p w14:paraId="2CBA7274">
      <w:pPr>
        <w:rPr>
          <w:rFonts w:ascii="Times New Roman" w:hAnsi="Times New Roman" w:cs="Times New Roman"/>
          <w:color w:val="auto"/>
        </w:rPr>
      </w:pPr>
    </w:p>
    <w:p w14:paraId="0375A5BE">
      <w:pPr>
        <w:rPr>
          <w:rFonts w:ascii="Times New Roman" w:hAnsi="Times New Roman" w:cs="Times New Roman"/>
          <w:color w:val="auto"/>
        </w:rPr>
      </w:pPr>
    </w:p>
    <w:p w14:paraId="2169223A">
      <w:pPr>
        <w:rPr>
          <w:rFonts w:ascii="Times New Roman" w:hAnsi="Times New Roman" w:cs="Times New Roman"/>
          <w:color w:val="auto"/>
        </w:rPr>
      </w:pPr>
    </w:p>
    <w:p w14:paraId="095AA090">
      <w:pPr>
        <w:rPr>
          <w:rFonts w:ascii="Times New Roman" w:hAnsi="Times New Roman" w:cs="Times New Roman"/>
          <w:color w:val="auto"/>
        </w:rPr>
      </w:pPr>
    </w:p>
    <w:p w14:paraId="26C69A64">
      <w:pPr>
        <w:rPr>
          <w:rFonts w:ascii="Times New Roman" w:hAnsi="Times New Roman" w:cs="Times New Roman"/>
          <w:color w:val="auto"/>
        </w:rPr>
      </w:pPr>
    </w:p>
    <w:p w14:paraId="1995B6D6">
      <w:pPr>
        <w:rPr>
          <w:rFonts w:ascii="Times New Roman" w:hAnsi="Times New Roman" w:cs="Times New Roman"/>
          <w:color w:val="auto"/>
        </w:rPr>
      </w:pPr>
    </w:p>
    <w:p w14:paraId="3384BB3B">
      <w:pPr>
        <w:rPr>
          <w:rFonts w:ascii="Times New Roman" w:hAnsi="Times New Roman" w:cs="Times New Roman"/>
          <w:color w:val="auto"/>
        </w:rPr>
      </w:pPr>
    </w:p>
    <w:p w14:paraId="309C8CEC">
      <w:pPr>
        <w:rPr>
          <w:rFonts w:ascii="Times New Roman" w:hAnsi="Times New Roman" w:cs="Times New Roman"/>
          <w:color w:val="auto"/>
        </w:rPr>
      </w:pPr>
    </w:p>
    <w:p w14:paraId="65DF2ED5">
      <w:pPr>
        <w:rPr>
          <w:rFonts w:ascii="Times New Roman" w:hAnsi="Times New Roman" w:cs="Times New Roman"/>
          <w:color w:val="auto"/>
        </w:rPr>
      </w:pPr>
    </w:p>
    <w:p w14:paraId="400F4721">
      <w:pPr>
        <w:rPr>
          <w:rFonts w:ascii="Times New Roman" w:hAnsi="Times New Roman" w:cs="Times New Roman"/>
          <w:color w:val="auto"/>
        </w:rPr>
      </w:pPr>
    </w:p>
    <w:p w14:paraId="4C9E4F59">
      <w:pPr>
        <w:rPr>
          <w:rFonts w:ascii="Times New Roman" w:hAnsi="Times New Roman" w:cs="Times New Roman"/>
          <w:color w:val="auto"/>
        </w:rPr>
      </w:pPr>
    </w:p>
    <w:p w14:paraId="3449C65A">
      <w:pPr>
        <w:rPr>
          <w:rFonts w:ascii="Times New Roman" w:hAnsi="Times New Roman" w:cs="Times New Roman"/>
          <w:color w:val="auto"/>
        </w:rPr>
      </w:pPr>
    </w:p>
    <w:p w14:paraId="4B94399A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sectPr>
          <w:pgSz w:w="16838" w:h="11906" w:orient="landscape"/>
          <w:pgMar w:top="1236" w:right="1327" w:bottom="1236" w:left="132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5A68992F">
      <w:pPr>
        <w:keepNext w:val="0"/>
        <w:keepLines w:val="0"/>
        <w:pageBreakBefore w:val="0"/>
        <w:widowControl w:val="0"/>
        <w:tabs>
          <w:tab w:val="left" w:pos="6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trike w:val="0"/>
          <w:color w:val="auto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trike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strike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>7</w:t>
      </w:r>
      <w:r>
        <w:rPr>
          <w:rFonts w:hint="default" w:ascii="Times New Roman" w:hAnsi="Times New Roman" w:cs="Times New Roman"/>
          <w:strike w:val="0"/>
          <w:color w:val="auto"/>
          <w:lang w:val="en-US" w:eastAsia="zh-CN"/>
        </w:rPr>
        <w:t xml:space="preserve"> Association between the cumulative eGDR and incident stroke after excluding participants with stroke at Wave 2.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2"/>
        <w:gridCol w:w="2268"/>
        <w:gridCol w:w="1134"/>
        <w:gridCol w:w="2268"/>
        <w:gridCol w:w="1134"/>
        <w:gridCol w:w="2268"/>
        <w:gridCol w:w="1134"/>
      </w:tblGrid>
      <w:tr w14:paraId="7E5D74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32" w:type="dxa"/>
            <w:vMerge w:val="restart"/>
            <w:vAlign w:val="center"/>
          </w:tcPr>
          <w:p w14:paraId="1A096F00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gridSpan w:val="2"/>
            <w:tcBorders>
              <w:bottom w:val="nil"/>
            </w:tcBorders>
            <w:vAlign w:val="center"/>
          </w:tcPr>
          <w:p w14:paraId="5B0AA883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1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vAlign w:val="center"/>
          </w:tcPr>
          <w:p w14:paraId="65797FDE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2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vAlign w:val="center"/>
          </w:tcPr>
          <w:p w14:paraId="46B0A344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3</w:t>
            </w:r>
          </w:p>
        </w:tc>
      </w:tr>
      <w:tr w14:paraId="1D4DA7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32" w:type="dxa"/>
            <w:vMerge w:val="continue"/>
            <w:tcBorders>
              <w:bottom w:val="single" w:color="auto" w:sz="6" w:space="0"/>
            </w:tcBorders>
            <w:vAlign w:val="center"/>
          </w:tcPr>
          <w:p w14:paraId="0B465E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tcBorders>
              <w:top w:val="nil"/>
              <w:bottom w:val="single" w:color="auto" w:sz="6" w:space="0"/>
            </w:tcBorders>
            <w:vAlign w:val="center"/>
          </w:tcPr>
          <w:p w14:paraId="6EDE84B2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134" w:type="dxa"/>
            <w:tcBorders>
              <w:top w:val="nil"/>
              <w:bottom w:val="single" w:color="auto" w:sz="6" w:space="0"/>
            </w:tcBorders>
            <w:vAlign w:val="center"/>
          </w:tcPr>
          <w:p w14:paraId="70B8555D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2268" w:type="dxa"/>
            <w:tcBorders>
              <w:top w:val="nil"/>
              <w:bottom w:val="single" w:color="auto" w:sz="6" w:space="0"/>
            </w:tcBorders>
            <w:vAlign w:val="center"/>
          </w:tcPr>
          <w:p w14:paraId="4F97A87B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134" w:type="dxa"/>
            <w:tcBorders>
              <w:top w:val="nil"/>
              <w:bottom w:val="single" w:color="auto" w:sz="6" w:space="0"/>
            </w:tcBorders>
            <w:vAlign w:val="center"/>
          </w:tcPr>
          <w:p w14:paraId="45405BFC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2268" w:type="dxa"/>
            <w:tcBorders>
              <w:top w:val="nil"/>
              <w:bottom w:val="single" w:color="auto" w:sz="6" w:space="0"/>
            </w:tcBorders>
            <w:vAlign w:val="center"/>
          </w:tcPr>
          <w:p w14:paraId="29B64B67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134" w:type="dxa"/>
            <w:tcBorders>
              <w:top w:val="nil"/>
              <w:bottom w:val="single" w:color="auto" w:sz="6" w:space="0"/>
            </w:tcBorders>
            <w:vAlign w:val="center"/>
          </w:tcPr>
          <w:p w14:paraId="70F22B2A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5AFCDC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3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A2491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Quartile 1</w:t>
            </w:r>
          </w:p>
        </w:tc>
        <w:tc>
          <w:tcPr>
            <w:tcW w:w="22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24DF4A4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7865729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EF0E7A0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0A4D00A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D48D07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6EB5208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D161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32" w:type="dxa"/>
            <w:tcBorders>
              <w:tl2br w:val="nil"/>
              <w:tr2bl w:val="nil"/>
            </w:tcBorders>
            <w:vAlign w:val="center"/>
          </w:tcPr>
          <w:p w14:paraId="1DE3CE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Quartile 2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7505677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0.54(0.09,3.27)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58FB314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0.506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D5C87D7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0.49(0.08,2.99)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CA49A36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0.443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AAE7441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0.47(0.06,3.78)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48ADF7B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0.481</w:t>
            </w:r>
          </w:p>
        </w:tc>
      </w:tr>
      <w:tr w14:paraId="4B3BBE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32" w:type="dxa"/>
            <w:tcBorders>
              <w:tl2br w:val="nil"/>
              <w:tr2bl w:val="nil"/>
            </w:tcBorders>
            <w:vAlign w:val="center"/>
          </w:tcPr>
          <w:p w14:paraId="2BA038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Quartile 3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4F7407E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0.50(0.08,3.01)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19EE967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0.448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3AB2CDE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0.47(0.08,2.84)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8A76AFB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0.407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006CE41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0.43(0.05,3.82)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C679392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0.449</w:t>
            </w:r>
          </w:p>
        </w:tc>
      </w:tr>
      <w:tr w14:paraId="6944D7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32" w:type="dxa"/>
            <w:tcBorders>
              <w:tl2br w:val="nil"/>
              <w:tr2bl w:val="nil"/>
            </w:tcBorders>
            <w:vAlign w:val="center"/>
          </w:tcPr>
          <w:p w14:paraId="33938C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Quartile 4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774C1858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0.48(0.08,2.85)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6B4F7EB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0.416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6A2E556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0.45(0.07,2.76)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111A347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0.389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7098B7A8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0.42(0.05,3.77)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D288063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0.436</w:t>
            </w:r>
          </w:p>
        </w:tc>
      </w:tr>
    </w:tbl>
    <w:p w14:paraId="5CC741B6">
      <w:pPr>
        <w:tabs>
          <w:tab w:val="left" w:pos="669"/>
        </w:tabs>
        <w:bidi w:val="0"/>
        <w:jc w:val="both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Note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. Model 1 adjusted for age and gender; Model 2 adjusted for age, gender, marital status, residence type, educational level, current smoke, and current alcohol; Model 3 adjusted for age, gender, marital status, residence type, educational level, current smoke, current alcohol, dyslipidemia, lipid-lowering therapy, and use of hypertension medications.</w:t>
      </w:r>
    </w:p>
    <w:p w14:paraId="0FB8C2CB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sectPr>
          <w:pgSz w:w="16838" w:h="11906" w:orient="landscape"/>
          <w:pgMar w:top="1236" w:right="1327" w:bottom="1236" w:left="132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1AB0DD14">
      <w:pPr>
        <w:pStyle w:val="2"/>
        <w:spacing w:before="0" w:after="0" w:line="360" w:lineRule="auto"/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>8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 xml:space="preserve"> Baseline characteristics before and after 1:1 propensity score matching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8"/>
        <w:gridCol w:w="2154"/>
        <w:gridCol w:w="2154"/>
        <w:gridCol w:w="1134"/>
        <w:gridCol w:w="2154"/>
        <w:gridCol w:w="2154"/>
        <w:gridCol w:w="1134"/>
      </w:tblGrid>
      <w:tr w14:paraId="0A7113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288" w:type="dxa"/>
            <w:vMerge w:val="restart"/>
            <w:vAlign w:val="center"/>
          </w:tcPr>
          <w:p w14:paraId="1B7C46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Characteristics</w:t>
            </w:r>
          </w:p>
        </w:tc>
        <w:tc>
          <w:tcPr>
            <w:tcW w:w="2154" w:type="dxa"/>
            <w:gridSpan w:val="3"/>
            <w:tcBorders>
              <w:bottom w:val="single" w:color="auto" w:sz="6" w:space="0"/>
            </w:tcBorders>
            <w:vAlign w:val="center"/>
          </w:tcPr>
          <w:p w14:paraId="0EB0D2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auto"/>
                <w:kern w:val="0"/>
                <w:sz w:val="21"/>
                <w:szCs w:val="21"/>
                <w:lang w:eastAsia="zh-Hans" w:bidi="ar"/>
              </w:rPr>
              <w:t>Before Matching</w:t>
            </w:r>
          </w:p>
        </w:tc>
        <w:tc>
          <w:tcPr>
            <w:tcW w:w="2154" w:type="dxa"/>
            <w:gridSpan w:val="3"/>
            <w:tcBorders>
              <w:bottom w:val="single" w:color="auto" w:sz="6" w:space="0"/>
            </w:tcBorders>
            <w:vAlign w:val="center"/>
          </w:tcPr>
          <w:p w14:paraId="3A6D5E41"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auto"/>
                <w:kern w:val="0"/>
                <w:sz w:val="21"/>
                <w:szCs w:val="21"/>
                <w:lang w:eastAsia="zh-Hans" w:bidi="ar"/>
              </w:rPr>
              <w:t>After Matching</w:t>
            </w:r>
          </w:p>
        </w:tc>
      </w:tr>
      <w:tr w14:paraId="4F310F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3288" w:type="dxa"/>
            <w:vMerge w:val="continue"/>
            <w:tcBorders>
              <w:tl2br w:val="nil"/>
              <w:tr2bl w:val="nil"/>
            </w:tcBorders>
            <w:vAlign w:val="center"/>
          </w:tcPr>
          <w:p w14:paraId="7663D83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154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557F7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Low cumulative eGDR group</w:t>
            </w:r>
          </w:p>
          <w:p w14:paraId="1A03A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Q1 - Q2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1904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15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845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High cumulative eGDR group</w:t>
            </w:r>
          </w:p>
          <w:p w14:paraId="5D30C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Q3 - Q4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, n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 1904)</w:t>
            </w: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9955E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SMD</w:t>
            </w:r>
          </w:p>
        </w:tc>
        <w:tc>
          <w:tcPr>
            <w:tcW w:w="215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6841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Low cumulative eGDR group</w:t>
            </w:r>
          </w:p>
          <w:p w14:paraId="2D16B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Q1 - Q2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, n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 1124)</w:t>
            </w:r>
          </w:p>
        </w:tc>
        <w:tc>
          <w:tcPr>
            <w:tcW w:w="215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5092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High cumulative eGDR group</w:t>
            </w:r>
          </w:p>
          <w:p w14:paraId="45B65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Q3 - Q4</w:t>
            </w:r>
            <w:r>
              <w:rPr>
                <w:rFonts w:hint="default" w:ascii="Times New Roman" w:hAnsi="Times New Roman" w:eastAsia="MyriadPro-SemiboldIt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, n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= 1124)</w:t>
            </w: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3151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SMD</w:t>
            </w:r>
          </w:p>
        </w:tc>
      </w:tr>
      <w:tr w14:paraId="10C728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A8A95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Age, years</w:t>
            </w:r>
          </w:p>
        </w:tc>
        <w:tc>
          <w:tcPr>
            <w:tcW w:w="21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B36EC0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 (56, 67)</w:t>
            </w:r>
          </w:p>
        </w:tc>
        <w:tc>
          <w:tcPr>
            <w:tcW w:w="215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D0D8E8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 (56, 66)</w:t>
            </w:r>
          </w:p>
        </w:tc>
        <w:tc>
          <w:tcPr>
            <w:tcW w:w="113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FE44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0.09</w:t>
            </w:r>
          </w:p>
        </w:tc>
        <w:tc>
          <w:tcPr>
            <w:tcW w:w="215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25DBFD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 (56, 66)</w:t>
            </w:r>
          </w:p>
        </w:tc>
        <w:tc>
          <w:tcPr>
            <w:tcW w:w="215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C8CFA2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62 (57, 69)</w:t>
            </w:r>
          </w:p>
        </w:tc>
        <w:tc>
          <w:tcPr>
            <w:tcW w:w="113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81F2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</w:tr>
      <w:tr w14:paraId="23382A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77AF758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Gender, n(%)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53B4E42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8797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5F7A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5881B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3B32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8056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</w:tr>
      <w:tr w14:paraId="795086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30A5F003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Male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6E30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866 (45.5)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A960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988 (51.9)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1F10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-0.13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68F7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531 (47.2)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E578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500 (44.5)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BFEA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06</w:t>
            </w:r>
          </w:p>
        </w:tc>
      </w:tr>
      <w:tr w14:paraId="5C74CD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790F725D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Female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61A1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1038 (54.5)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2065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916 (48.1)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6304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0.13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BC4E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593 (52.8)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F8FE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624 (55.5)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4496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06</w:t>
            </w:r>
          </w:p>
        </w:tc>
      </w:tr>
      <w:tr w14:paraId="2A7CD4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2C66BDC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Marital status, n(%)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6B3A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301D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D516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E8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7E9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6F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</w:tr>
      <w:tr w14:paraId="679579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1BBF3B59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Married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6DA3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1651 (86.7)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D62A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1671 (87.8)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7AE2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-0.03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B7ED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988 (87.9)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B2B9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993 (88.3)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57EE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01</w:t>
            </w:r>
          </w:p>
        </w:tc>
      </w:tr>
      <w:tr w14:paraId="169618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6BBEE000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Others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A44E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253 (13.3)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9E6D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233 (12.2)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1401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0.03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F3E6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136 (12.1)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4C57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131 (11.7)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E968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01</w:t>
            </w:r>
          </w:p>
        </w:tc>
      </w:tr>
      <w:tr w14:paraId="62706D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1DC722C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Residence type, n(%)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57F75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00F2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2E4E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51148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F115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55FC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</w:tr>
      <w:tr w14:paraId="77AEF2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7FFF73D5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Rural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7798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1257 (66.0)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5CEE9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1391 (73.1)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DA87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-0.15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8E2E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784 (69.8)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8CCE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707 (62.9)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5B79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</w:tr>
      <w:tr w14:paraId="3C1F25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7A426CD4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Urban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CB21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647 (34.0)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2D76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513 (26.9)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6056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0.15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5398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340 (30.2)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5F5B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417 (37.1)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12D6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</w:tr>
      <w:tr w14:paraId="138363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0517558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Educational level, n(%)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4CB7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6BFE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BD0C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49DC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D198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3614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</w:tr>
      <w:tr w14:paraId="0182DF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353DA669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Middle school or below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3CEE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1765 (92.7)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2AA1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1773 (93.1)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C485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-0.02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780D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1046 (93.1)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87E3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1028 (91.5)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4A91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</w:tr>
      <w:tr w14:paraId="69FE0A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2D845CA0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High school or vocational school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57853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125 (6.6)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271D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121 (6.4)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6D328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0.01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AD61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72 (6.4)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06A7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87 (7.7)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D206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61E515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2500D626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College or above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C1ED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14 (0.7)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8E03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 (0.5)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4460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0.03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DECE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 (0.5)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94A7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 (0.8)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A157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</w:tr>
      <w:tr w14:paraId="70EED9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4B00661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Current smoke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79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533 (28.0)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AEF7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682 (35.8)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263A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E73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357 (31.8)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BC7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286 (25.4)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324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</w:tr>
      <w:tr w14:paraId="0C3768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3CAFE88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Current alcohol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729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589 (30.9)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863D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693 (36.4)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FEC5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8C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385 (34.3)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C9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396 (35.2)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B22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02</w:t>
            </w:r>
          </w:p>
        </w:tc>
      </w:tr>
      <w:tr w14:paraId="70C178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49C03E3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Hypertension, n(%)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14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963 (50.6)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39CF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 (0.4)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25C4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41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612C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293 (26.1)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F1E1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 (0.5)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E1D9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  <w:tr w14:paraId="0D7C60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2B9CF30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Dyslipidemia, n(%)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920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1082 (56.8)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F4F6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638 (33.5)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2EE0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48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1AF6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574 (51.1)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CE98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578 (51.4)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F19F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  <w:tr w14:paraId="5C43C0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7C79DBE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Lipid-lowering therapy, n (%)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8B7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143 (7.5)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DEA5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32 (1.7)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1E15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28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0EF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28 (2.5)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D0A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32 (2.8)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A93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</w:tr>
      <w:tr w14:paraId="2C692E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313789F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Hypertension medications, n (%)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9A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701 (36.8)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C300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 (0.4)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97B5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06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985B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 (0.7)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F0A6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 (0.7)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2B9B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0.00</w:t>
            </w:r>
          </w:p>
        </w:tc>
      </w:tr>
      <w:tr w14:paraId="5DA7A9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78E8E68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cm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97AE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89.7 ± 10.5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5264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77.9 ± 10.6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3C13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8F24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90.1 ± 9.2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48EC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78.0 ± 11.5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54DB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</w:tr>
      <w:tr w14:paraId="35C179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26B5B61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MI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kg/m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9DD8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25.2 ± 12.5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7729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21.9 ± 16.7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BAAF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5DAFC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25.3 ± 15.9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D30B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22.5 ± 21.6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BCF1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4A83C2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3B93392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BP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mm Hg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DEA3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138.6 ± 22.2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6190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121.9 ± 16.7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1BB9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85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62E84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134.7 ± 20.9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56D82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123.0 ± 17.1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1FB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0.61</w:t>
            </w:r>
          </w:p>
        </w:tc>
      </w:tr>
      <w:tr w14:paraId="574143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4E15F2D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BP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mm Hg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3694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79.2 ± 12.2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17B98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71.0 ± 10.2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7B17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73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FB4F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78.0 ± 11.7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4D85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71.0 ± 10.2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22A9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64</w:t>
            </w:r>
          </w:p>
        </w:tc>
      </w:tr>
      <w:tr w14:paraId="149F0F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3783460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TC, mg/dL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038BA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197.6 ± 38.4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883B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190.1 ± 36.4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7A88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F655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198.2 ± 37.3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CF0B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195.5 ± 40.3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4DC0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</w:tr>
      <w:tr w14:paraId="4070B6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0737FE4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HDL‐c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mg/dL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C7FC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49.3 ± 14.1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EB1C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55.6 ± 15.5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4108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42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4A7E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50.2 ± 14.7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8D87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53.8 ± 16.1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CBC9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-0.2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</w:tr>
      <w:tr w14:paraId="23126D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14361BE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LDL-c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, mg/dL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214BB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121.5 ± 35.3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0696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114.9 ± 32.4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E4DA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504F3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121.5 ± 34.0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4DD0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119.3 ± 35.9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4AED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</w:tr>
      <w:tr w14:paraId="52480A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88" w:type="dxa"/>
            <w:tcBorders>
              <w:tl2br w:val="nil"/>
              <w:tr2bl w:val="nil"/>
            </w:tcBorders>
            <w:vAlign w:val="center"/>
          </w:tcPr>
          <w:p w14:paraId="04B8432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HbA1c, %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9A6C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5.2 ± 0.4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75D53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5.1 ± 0.4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98E3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3B3CC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5.2 ± 0.4</w:t>
            </w:r>
          </w:p>
        </w:tc>
        <w:tc>
          <w:tcPr>
            <w:tcW w:w="2154" w:type="dxa"/>
            <w:tcBorders>
              <w:tl2br w:val="nil"/>
              <w:tr2bl w:val="nil"/>
            </w:tcBorders>
            <w:vAlign w:val="center"/>
          </w:tcPr>
          <w:p w14:paraId="4390F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5.1 ± 0.4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FDFD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29</w:t>
            </w:r>
          </w:p>
        </w:tc>
      </w:tr>
    </w:tbl>
    <w:p w14:paraId="086BD02F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Note.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Variables are presented as median (interquartile range), mean ± SD or n (%). Abbrev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iations: Q1, Quartile 1; Q2, Quartile 2; Q3, Quartile 3; Q4, Quartile 4; SMD, standardized mean difference;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WC, Waist Circumference; BMI, Body Mass Index;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SBP, systolic blood pressure; DBP, diastolic blood pressure; TC, tot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al cholesterol; HDL‐c, high‐density lipoprotein cholesterol; LDL-c, low-density lipoprotein cholesterol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HbA1c, glycosylated hemoglobin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A1c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.</w:t>
      </w:r>
    </w:p>
    <w:p w14:paraId="6C481F5A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</w:p>
    <w:p w14:paraId="212E9309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</w:p>
    <w:p w14:paraId="56E18FF6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</w:p>
    <w:p w14:paraId="28AF7A58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</w:p>
    <w:p w14:paraId="02A39103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</w:p>
    <w:p w14:paraId="2ABE2B42">
      <w:pPr>
        <w:pStyle w:val="2"/>
        <w:spacing w:before="0" w:after="0" w:line="360" w:lineRule="auto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>9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 xml:space="preserve"> Association between the cumulative 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2"/>
          <w:lang w:val="en-US" w:eastAsia="zh-CN" w:bidi="ar-SA"/>
          <w14:ligatures w14:val="standardContextual"/>
        </w:rPr>
        <w:t>eGDR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 xml:space="preserve"> and incident stroke after 1:1 propensity score matching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  <w14:ligatures w14:val="standardContextual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1701"/>
        <w:gridCol w:w="2041"/>
        <w:gridCol w:w="1020"/>
        <w:gridCol w:w="2041"/>
        <w:gridCol w:w="1020"/>
        <w:gridCol w:w="2041"/>
        <w:gridCol w:w="1020"/>
      </w:tblGrid>
      <w:tr w14:paraId="125758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41" w:type="dxa"/>
            <w:vMerge w:val="restart"/>
            <w:vAlign w:val="center"/>
          </w:tcPr>
          <w:p w14:paraId="5412E81E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Categories</w:t>
            </w:r>
          </w:p>
        </w:tc>
        <w:tc>
          <w:tcPr>
            <w:tcW w:w="1701" w:type="dxa"/>
            <w:vMerge w:val="restart"/>
            <w:vAlign w:val="center"/>
          </w:tcPr>
          <w:p w14:paraId="4AC5E676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Event (%)</w:t>
            </w:r>
          </w:p>
        </w:tc>
        <w:tc>
          <w:tcPr>
            <w:tcW w:w="3061" w:type="dxa"/>
            <w:gridSpan w:val="2"/>
            <w:tcBorders>
              <w:bottom w:val="nil"/>
            </w:tcBorders>
            <w:vAlign w:val="center"/>
          </w:tcPr>
          <w:p w14:paraId="5B6D6543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1</w:t>
            </w:r>
          </w:p>
        </w:tc>
        <w:tc>
          <w:tcPr>
            <w:tcW w:w="3061" w:type="dxa"/>
            <w:gridSpan w:val="2"/>
            <w:tcBorders>
              <w:bottom w:val="nil"/>
            </w:tcBorders>
            <w:vAlign w:val="center"/>
          </w:tcPr>
          <w:p w14:paraId="6C90A270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2</w:t>
            </w:r>
          </w:p>
        </w:tc>
        <w:tc>
          <w:tcPr>
            <w:tcW w:w="3061" w:type="dxa"/>
            <w:gridSpan w:val="2"/>
            <w:tcBorders>
              <w:bottom w:val="nil"/>
            </w:tcBorders>
            <w:vAlign w:val="center"/>
          </w:tcPr>
          <w:p w14:paraId="311BF134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Model 3</w:t>
            </w:r>
          </w:p>
        </w:tc>
      </w:tr>
      <w:tr w14:paraId="3DEE01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41" w:type="dxa"/>
            <w:vMerge w:val="continue"/>
            <w:tcBorders>
              <w:bottom w:val="single" w:color="auto" w:sz="6" w:space="0"/>
            </w:tcBorders>
            <w:vAlign w:val="center"/>
          </w:tcPr>
          <w:p w14:paraId="787164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vMerge w:val="continue"/>
            <w:tcBorders>
              <w:bottom w:val="single" w:color="auto" w:sz="6" w:space="0"/>
            </w:tcBorders>
            <w:vAlign w:val="center"/>
          </w:tcPr>
          <w:p w14:paraId="6FCFAA6A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tcBorders>
              <w:top w:val="nil"/>
              <w:bottom w:val="single" w:color="auto" w:sz="6" w:space="0"/>
            </w:tcBorders>
            <w:vAlign w:val="center"/>
          </w:tcPr>
          <w:p w14:paraId="0BD2F205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020" w:type="dxa"/>
            <w:tcBorders>
              <w:top w:val="nil"/>
              <w:bottom w:val="single" w:color="auto" w:sz="6" w:space="0"/>
            </w:tcBorders>
            <w:vAlign w:val="center"/>
          </w:tcPr>
          <w:p w14:paraId="41B2A34D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2041" w:type="dxa"/>
            <w:tcBorders>
              <w:top w:val="nil"/>
              <w:bottom w:val="single" w:color="auto" w:sz="6" w:space="0"/>
            </w:tcBorders>
            <w:vAlign w:val="center"/>
          </w:tcPr>
          <w:p w14:paraId="666D7155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020" w:type="dxa"/>
            <w:tcBorders>
              <w:top w:val="nil"/>
              <w:bottom w:val="single" w:color="auto" w:sz="6" w:space="0"/>
            </w:tcBorders>
            <w:vAlign w:val="center"/>
          </w:tcPr>
          <w:p w14:paraId="7144A38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2041" w:type="dxa"/>
            <w:tcBorders>
              <w:top w:val="nil"/>
              <w:bottom w:val="single" w:color="auto" w:sz="6" w:space="0"/>
            </w:tcBorders>
            <w:vAlign w:val="center"/>
          </w:tcPr>
          <w:p w14:paraId="6F303EEE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1020" w:type="dxa"/>
            <w:tcBorders>
              <w:top w:val="nil"/>
              <w:bottom w:val="single" w:color="auto" w:sz="6" w:space="0"/>
            </w:tcBorders>
            <w:vAlign w:val="center"/>
          </w:tcPr>
          <w:p w14:paraId="738397E4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5D7B1C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4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F50EC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Q1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- Q2</w:t>
            </w:r>
          </w:p>
        </w:tc>
        <w:tc>
          <w:tcPr>
            <w:tcW w:w="170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D0E32A3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113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04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32DDCD7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102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CC41E3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04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1C04CAA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102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4515165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04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A6AD91F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102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AB0F796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492C3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41" w:type="dxa"/>
            <w:tcBorders>
              <w:tl2br w:val="nil"/>
              <w:tr2bl w:val="nil"/>
            </w:tcBorders>
            <w:vAlign w:val="center"/>
          </w:tcPr>
          <w:p w14:paraId="341055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3 - Q4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7345D8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62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MyriadPro-Light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A79AD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0.53(0.38,0.72)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61E3C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05FC3E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0.55(0.40,0.76)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33891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  <w:t>&lt;0.001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8A62F4">
            <w:pPr>
              <w:keepNext w:val="0"/>
              <w:keepLines w:val="0"/>
              <w:widowControl/>
              <w:suppressLineNumbers w:val="0"/>
              <w:tabs>
                <w:tab w:val="left" w:pos="669"/>
              </w:tabs>
              <w:jc w:val="center"/>
              <w:textAlignment w:val="auto"/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0.55(0.40,0.75)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3E290">
            <w:pPr>
              <w:tabs>
                <w:tab w:val="left" w:pos="669"/>
              </w:tabs>
              <w:bidi w:val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"/>
              </w:rPr>
              <w:t>&lt;0.001</w:t>
            </w:r>
          </w:p>
        </w:tc>
      </w:tr>
    </w:tbl>
    <w:p w14:paraId="2B6BCC29">
      <w:pPr>
        <w:tabs>
          <w:tab w:val="left" w:pos="669"/>
        </w:tabs>
        <w:bidi w:val="0"/>
        <w:jc w:val="both"/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Note.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Q1, Quartile 1; Q2, Quartile 2; Q3, Quartile 3; Q4, Quartile 4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Model 1 adjusted for age and gender; Model 2 adjusted for age, gender, marital status, residence type, educational level,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current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smok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e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, and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urrent alcohol; Model 3 adjusted for age, gender, marital status, residence type, educational level,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current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smok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e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urrent alcohol, dyslipidemia, lipid-lowering therapy, and use of hypertension medications.</w:t>
      </w:r>
    </w:p>
    <w:p w14:paraId="5BD4FC95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sectPr>
          <w:pgSz w:w="16838" w:h="11906" w:orient="landscape"/>
          <w:pgMar w:top="1236" w:right="1327" w:bottom="1236" w:left="132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26BBC5DD">
      <w:pPr>
        <w:keepNext w:val="0"/>
        <w:keepLines w:val="0"/>
        <w:pageBreakBefore w:val="0"/>
        <w:widowControl w:val="0"/>
        <w:tabs>
          <w:tab w:val="left" w:pos="36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>Supplementary Figure 1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 xml:space="preserve"> Histogram of 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 xml:space="preserve">umulative eGDR 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d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istribution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.</w:t>
      </w:r>
    </w:p>
    <w:p w14:paraId="5B738DBC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lang w:eastAsia="zh-CN"/>
        </w:rPr>
        <w:drawing>
          <wp:inline distT="0" distB="0" distL="114300" distR="114300">
            <wp:extent cx="6497320" cy="3902075"/>
            <wp:effectExtent l="0" t="0" r="5080" b="9525"/>
            <wp:docPr id="1" name="图片 1" descr="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m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97320" cy="39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4BD1">
      <w:pPr>
        <w:rPr>
          <w:rFonts w:ascii="Times New Roman" w:hAnsi="Times New Roman" w:cs="Times New Roman"/>
          <w:color w:val="auto"/>
        </w:rPr>
      </w:pPr>
    </w:p>
    <w:p w14:paraId="20148D2D">
      <w:pPr>
        <w:rPr>
          <w:rFonts w:ascii="Times New Roman" w:hAnsi="Times New Roman" w:cs="Times New Roman"/>
          <w:color w:val="auto"/>
        </w:rPr>
      </w:pPr>
    </w:p>
    <w:p w14:paraId="34934211">
      <w:pPr>
        <w:rPr>
          <w:rFonts w:ascii="Times New Roman" w:hAnsi="Times New Roman" w:cs="Times New Roman"/>
          <w:color w:val="auto"/>
        </w:rPr>
      </w:pPr>
    </w:p>
    <w:p w14:paraId="1C997E1B">
      <w:pPr>
        <w:rPr>
          <w:rFonts w:ascii="Times New Roman" w:hAnsi="Times New Roman" w:cs="Times New Roman"/>
          <w:color w:val="auto"/>
        </w:rPr>
      </w:pPr>
    </w:p>
    <w:p w14:paraId="0599C7E3">
      <w:pPr>
        <w:rPr>
          <w:rFonts w:ascii="Times New Roman" w:hAnsi="Times New Roman" w:cs="Times New Roman"/>
          <w:color w:val="auto"/>
        </w:rPr>
      </w:pPr>
    </w:p>
    <w:p w14:paraId="6D713AFF">
      <w:pPr>
        <w:rPr>
          <w:rFonts w:ascii="Times New Roman" w:hAnsi="Times New Roman" w:cs="Times New Roman"/>
          <w:color w:val="auto"/>
        </w:rPr>
      </w:pPr>
    </w:p>
    <w:p w14:paraId="67FDF1D9">
      <w:pPr>
        <w:rPr>
          <w:rFonts w:ascii="Times New Roman" w:hAnsi="Times New Roman" w:cs="Times New Roman"/>
          <w:color w:val="auto"/>
        </w:rPr>
      </w:pPr>
    </w:p>
    <w:p w14:paraId="19384E24">
      <w:pPr>
        <w:rPr>
          <w:rFonts w:ascii="Times New Roman" w:hAnsi="Times New Roman" w:cs="Times New Roman"/>
          <w:color w:val="auto"/>
        </w:rPr>
      </w:pPr>
    </w:p>
    <w:p w14:paraId="5AFA7994">
      <w:pPr>
        <w:tabs>
          <w:tab w:val="left" w:pos="3626"/>
        </w:tabs>
        <w:spacing w:line="360" w:lineRule="auto"/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 xml:space="preserve">Supplementary Figure 2 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Kaplan–Meier curves according to cumulative eGDR quartiles for stroke.</w:t>
      </w:r>
    </w:p>
    <w:p w14:paraId="2D32C3D9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lang w:eastAsia="zh-CN"/>
        </w:rPr>
        <w:drawing>
          <wp:inline distT="0" distB="0" distL="114300" distR="114300">
            <wp:extent cx="4660900" cy="3085465"/>
            <wp:effectExtent l="0" t="0" r="0" b="635"/>
            <wp:docPr id="4" name="图片 4" descr="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m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8F0B">
      <w:pPr>
        <w:rPr>
          <w:rFonts w:hint="default" w:ascii="Times New Roman" w:hAnsi="Times New Roman" w:cs="Times New Roman"/>
          <w:b/>
          <w:bCs/>
          <w:color w:val="auto"/>
          <w:lang w:val="en-US" w:eastAsia="zh-CN"/>
        </w:rPr>
      </w:pPr>
    </w:p>
    <w:p w14:paraId="37B67ACC">
      <w:pPr>
        <w:rPr>
          <w:rFonts w:hint="default" w:ascii="Times New Roman" w:hAnsi="Times New Roman" w:cs="Times New Roman" w:eastAsiaTheme="minorEastAsia"/>
          <w:color w:val="auto"/>
          <w:kern w:val="2"/>
          <w:sz w:val="21"/>
          <w:szCs w:val="22"/>
          <w:lang w:val="en-US" w:eastAsia="zh-CN" w:bidi="ar-SA"/>
          <w14:ligatures w14:val="standardContextual"/>
        </w:rPr>
      </w:pPr>
    </w:p>
    <w:p w14:paraId="57A88221">
      <w:pPr>
        <w:tabs>
          <w:tab w:val="left" w:pos="3524"/>
        </w:tabs>
        <w:jc w:val="left"/>
        <w:rPr>
          <w:rFonts w:hint="default" w:ascii="Times New Roman" w:hAnsi="Times New Roman" w:cs="Times New Roman"/>
          <w:color w:val="auto"/>
          <w:lang w:val="en-US" w:eastAsia="zh-CN"/>
        </w:rPr>
        <w:sectPr>
          <w:pgSz w:w="16838" w:h="11906" w:orient="landscape"/>
          <w:pgMar w:top="1236" w:right="1327" w:bottom="1236" w:left="132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cs="Times New Roman"/>
          <w:color w:val="auto"/>
          <w:lang w:val="en-US" w:eastAsia="zh-CN"/>
        </w:rPr>
        <w:tab/>
      </w:r>
    </w:p>
    <w:p w14:paraId="43BC1677">
      <w:pPr>
        <w:spacing w:line="360" w:lineRule="auto"/>
        <w:rPr>
          <w:rFonts w:hint="default" w:ascii="Times New Roman" w:hAnsi="Times New Roman" w:cs="Times New Roman"/>
          <w:b/>
          <w:bCs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 xml:space="preserve">Supplementary Figure 3 </w:t>
      </w:r>
      <w:r>
        <w:rPr>
          <w:rFonts w:hint="default" w:ascii="Times New Roman" w:hAnsi="Times New Roman" w:cs="Times New Roman"/>
          <w:b w:val="0"/>
          <w:bCs w:val="0"/>
          <w:color w:val="auto"/>
        </w:rPr>
        <w:t>Restricted cubic spline curves for incident stroke according to the cumulative eGDR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 xml:space="preserve"> by current smoke status</w:t>
      </w:r>
      <w:r>
        <w:rPr>
          <w:rFonts w:hint="default" w:ascii="Times New Roman" w:hAnsi="Times New Roman" w:cs="Times New Roman"/>
          <w:b w:val="0"/>
          <w:bCs w:val="0"/>
          <w:color w:val="auto"/>
        </w:rPr>
        <w:t xml:space="preserve">. </w:t>
      </w:r>
    </w:p>
    <w:p w14:paraId="1B156450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lang w:eastAsia="zh-CN"/>
        </w:rPr>
        <w:drawing>
          <wp:inline distT="0" distB="0" distL="114300" distR="114300">
            <wp:extent cx="6496685" cy="2807970"/>
            <wp:effectExtent l="0" t="0" r="5715" b="11430"/>
            <wp:docPr id="6" name="图片 6" descr="吸烟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吸烟em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6685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6C306">
      <w:pPr>
        <w:rPr>
          <w:rFonts w:ascii="Times New Roman" w:hAnsi="Times New Roman" w:cs="Times New Roman"/>
          <w:color w:val="auto"/>
        </w:rPr>
      </w:pPr>
    </w:p>
    <w:p w14:paraId="69A0EEB9">
      <w:pPr>
        <w:rPr>
          <w:rFonts w:hint="default" w:ascii="Times New Roman" w:hAnsi="Times New Roman" w:cs="Times New Roman"/>
          <w:color w:val="auto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Note.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 A: Non-current smoker; B: Current smoker; </w:t>
      </w:r>
      <w:r>
        <w:rPr>
          <w:rFonts w:hint="default" w:ascii="Times New Roman" w:hAnsi="Times New Roman" w:cs="Times New Roman" w:eastAsiaTheme="minorEastAsia"/>
          <w:color w:val="auto"/>
          <w:kern w:val="2"/>
          <w:sz w:val="18"/>
          <w:szCs w:val="18"/>
          <w:lang w:val="en-US" w:eastAsia="zh-CN" w:bidi="ar-SA"/>
          <w14:ligatures w14:val="standardContextual"/>
        </w:rPr>
        <w:t xml:space="preserve">The analyses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adjusted for age, gender, marital status, residence type, educational level, current alcohol, dyslipidemia, lipid-lowering therapy, and use of hypertension medications.</w:t>
      </w:r>
    </w:p>
    <w:p w14:paraId="5D5AF0AF">
      <w:pPr>
        <w:rPr>
          <w:rFonts w:ascii="Times New Roman" w:hAnsi="Times New Roman" w:cs="Times New Roman"/>
          <w:color w:val="auto"/>
        </w:rPr>
      </w:pPr>
    </w:p>
    <w:p w14:paraId="28B597A8">
      <w:pPr>
        <w:rPr>
          <w:rFonts w:ascii="Times New Roman" w:hAnsi="Times New Roman" w:cs="Times New Roman"/>
          <w:color w:val="auto"/>
        </w:rPr>
      </w:pPr>
    </w:p>
    <w:p w14:paraId="3358B47C">
      <w:pPr>
        <w:rPr>
          <w:rFonts w:ascii="Times New Roman" w:hAnsi="Times New Roman" w:cs="Times New Roman"/>
          <w:color w:val="auto"/>
        </w:rPr>
      </w:pPr>
    </w:p>
    <w:p w14:paraId="598FC857">
      <w:pPr>
        <w:rPr>
          <w:rFonts w:ascii="Times New Roman" w:hAnsi="Times New Roman" w:cs="Times New Roman"/>
          <w:color w:val="auto"/>
        </w:rPr>
      </w:pPr>
    </w:p>
    <w:p w14:paraId="1DEFC0DE">
      <w:pPr>
        <w:rPr>
          <w:rFonts w:ascii="Times New Roman" w:hAnsi="Times New Roman" w:cs="Times New Roman"/>
          <w:color w:val="auto"/>
        </w:rPr>
      </w:pPr>
    </w:p>
    <w:p w14:paraId="66126A25">
      <w:pPr>
        <w:rPr>
          <w:rFonts w:ascii="Times New Roman" w:hAnsi="Times New Roman" w:cs="Times New Roman"/>
          <w:color w:val="auto"/>
        </w:rPr>
      </w:pPr>
    </w:p>
    <w:p w14:paraId="7D3C0841">
      <w:pPr>
        <w:rPr>
          <w:rFonts w:ascii="Times New Roman" w:hAnsi="Times New Roman" w:cs="Times New Roman"/>
          <w:color w:val="auto"/>
        </w:rPr>
      </w:pPr>
    </w:p>
    <w:p w14:paraId="25ED719E">
      <w:pPr>
        <w:rPr>
          <w:rFonts w:ascii="Times New Roman" w:hAnsi="Times New Roman" w:cs="Times New Roman"/>
          <w:color w:val="auto"/>
        </w:rPr>
      </w:pPr>
    </w:p>
    <w:p w14:paraId="29F09DA3">
      <w:pPr>
        <w:rPr>
          <w:rFonts w:ascii="Times New Roman" w:hAnsi="Times New Roman" w:cs="Times New Roman"/>
          <w:color w:val="auto"/>
        </w:rPr>
      </w:pPr>
    </w:p>
    <w:p w14:paraId="0C226ED7">
      <w:pPr>
        <w:rPr>
          <w:rFonts w:ascii="Times New Roman" w:hAnsi="Times New Roman" w:cs="Times New Roman"/>
          <w:color w:val="auto"/>
        </w:rPr>
      </w:pPr>
    </w:p>
    <w:p w14:paraId="5EA83F7B">
      <w:pPr>
        <w:spacing w:line="360" w:lineRule="auto"/>
        <w:rPr>
          <w:rFonts w:hint="default" w:ascii="Times New Roman" w:hAnsi="Times New Roman" w:cs="Times New Roman"/>
          <w:b/>
          <w:bCs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 xml:space="preserve">Supplementary Figure 4 </w:t>
      </w:r>
      <w:r>
        <w:rPr>
          <w:rFonts w:hint="default" w:ascii="Times New Roman" w:hAnsi="Times New Roman" w:cs="Times New Roman"/>
          <w:b w:val="0"/>
          <w:bCs w:val="0"/>
          <w:color w:val="auto"/>
        </w:rPr>
        <w:t>Restricted cubic spline curves for incident stroke according to the cumulative eGDR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 xml:space="preserve"> by BMI categories.</w:t>
      </w:r>
    </w:p>
    <w:p w14:paraId="371CAE96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lang w:eastAsia="zh-CN"/>
        </w:rPr>
        <w:drawing>
          <wp:inline distT="0" distB="0" distL="114300" distR="114300">
            <wp:extent cx="8480425" cy="2440305"/>
            <wp:effectExtent l="0" t="0" r="3175" b="10795"/>
            <wp:docPr id="5" name="图片 5" descr="BMI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MIem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80425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CFFBC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2B1F64F1">
      <w:pPr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Note.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 A: &lt;24 kg/m²; B: 24–28 kg/m²; C: ≥28 kg/m²; </w:t>
      </w:r>
      <w:r>
        <w:rPr>
          <w:rFonts w:hint="default" w:ascii="Times New Roman" w:hAnsi="Times New Roman" w:cs="Times New Roman" w:eastAsiaTheme="minorEastAsia"/>
          <w:color w:val="auto"/>
          <w:kern w:val="2"/>
          <w:sz w:val="18"/>
          <w:szCs w:val="18"/>
          <w:lang w:val="en-US" w:eastAsia="zh-CN" w:bidi="ar-SA"/>
          <w14:ligatures w14:val="standardContextual"/>
        </w:rPr>
        <w:t xml:space="preserve">The analyses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adjusted for age, gender, marital status, residence type, educational level, current alcohol, dyslipidemia, lipid-lowering therapy, and use of hypertension medications.</w:t>
      </w:r>
    </w:p>
    <w:p w14:paraId="7C8F60CC">
      <w:pPr>
        <w:tabs>
          <w:tab w:val="left" w:pos="1965"/>
        </w:tabs>
        <w:jc w:val="left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7DDA555C">
      <w:pPr>
        <w:rPr>
          <w:rFonts w:ascii="Times New Roman" w:hAnsi="Times New Roman" w:cs="Times New Roman"/>
          <w:color w:val="auto"/>
        </w:rPr>
      </w:pPr>
    </w:p>
    <w:p w14:paraId="01F7A964">
      <w:pPr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p w14:paraId="16A71A5F">
      <w:pPr>
        <w:rPr>
          <w:rFonts w:ascii="Times New Roman" w:hAnsi="Times New Roman" w:cs="Times New Roman"/>
          <w:color w:val="auto"/>
        </w:rPr>
      </w:pPr>
    </w:p>
    <w:p w14:paraId="08EFE5F7">
      <w:pPr>
        <w:rPr>
          <w:rFonts w:ascii="Times New Roman" w:hAnsi="Times New Roman" w:cs="Times New Roman"/>
          <w:color w:val="auto"/>
        </w:rPr>
      </w:pPr>
    </w:p>
    <w:p w14:paraId="4ADE28D9">
      <w:pPr>
        <w:rPr>
          <w:rFonts w:ascii="Times New Roman" w:hAnsi="Times New Roman" w:cs="Times New Roman"/>
          <w:color w:val="auto"/>
        </w:rPr>
      </w:pPr>
    </w:p>
    <w:p w14:paraId="579E0997">
      <w:pPr>
        <w:rPr>
          <w:rFonts w:ascii="Times New Roman" w:hAnsi="Times New Roman" w:cs="Times New Roman"/>
          <w:color w:val="auto"/>
        </w:rPr>
      </w:pPr>
    </w:p>
    <w:p w14:paraId="0D009B0A">
      <w:pPr>
        <w:rPr>
          <w:rFonts w:ascii="Times New Roman" w:hAnsi="Times New Roman" w:cs="Times New Roman"/>
          <w:color w:val="auto"/>
        </w:rPr>
      </w:pPr>
    </w:p>
    <w:p w14:paraId="2E352364">
      <w:pPr>
        <w:rPr>
          <w:rFonts w:ascii="Times New Roman" w:hAnsi="Times New Roman" w:cs="Times New Roman"/>
          <w:color w:val="auto"/>
        </w:rPr>
      </w:pPr>
    </w:p>
    <w:p w14:paraId="5A721882">
      <w:pPr>
        <w:rPr>
          <w:rFonts w:ascii="Times New Roman" w:hAnsi="Times New Roman" w:cs="Times New Roman"/>
          <w:color w:val="auto"/>
        </w:rPr>
      </w:pPr>
    </w:p>
    <w:p w14:paraId="7D8A893D">
      <w:pPr>
        <w:rPr>
          <w:rFonts w:ascii="Times New Roman" w:hAnsi="Times New Roman" w:cs="Times New Roman"/>
          <w:color w:val="auto"/>
        </w:rPr>
      </w:pPr>
    </w:p>
    <w:p w14:paraId="35E9AE25">
      <w:pPr>
        <w:rPr>
          <w:rFonts w:ascii="Times New Roman" w:hAnsi="Times New Roman" w:cs="Times New Roman"/>
          <w:color w:val="auto"/>
        </w:rPr>
      </w:pPr>
    </w:p>
    <w:sectPr>
      <w:pgSz w:w="16838" w:h="11906" w:orient="landscape"/>
      <w:pgMar w:top="1236" w:right="1327" w:bottom="1236" w:left="132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yriadPro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Pro-SemiboldI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58E1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1C1B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1C1B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30DD3"/>
    <w:rsid w:val="00043144"/>
    <w:rsid w:val="0031380D"/>
    <w:rsid w:val="00523EB0"/>
    <w:rsid w:val="00773916"/>
    <w:rsid w:val="00991ADF"/>
    <w:rsid w:val="00CE72AE"/>
    <w:rsid w:val="00E0770D"/>
    <w:rsid w:val="01814321"/>
    <w:rsid w:val="018F6A3E"/>
    <w:rsid w:val="01AA67C9"/>
    <w:rsid w:val="01B446F6"/>
    <w:rsid w:val="01D803E5"/>
    <w:rsid w:val="02305067"/>
    <w:rsid w:val="023F66B6"/>
    <w:rsid w:val="02B7624C"/>
    <w:rsid w:val="036C34DA"/>
    <w:rsid w:val="037A0683"/>
    <w:rsid w:val="0385634A"/>
    <w:rsid w:val="03E2379C"/>
    <w:rsid w:val="03EF5EB9"/>
    <w:rsid w:val="03F31506"/>
    <w:rsid w:val="0458580D"/>
    <w:rsid w:val="045D1075"/>
    <w:rsid w:val="045D5E7D"/>
    <w:rsid w:val="04711E59"/>
    <w:rsid w:val="047E5E32"/>
    <w:rsid w:val="04CB4231"/>
    <w:rsid w:val="054B711F"/>
    <w:rsid w:val="05C173E2"/>
    <w:rsid w:val="05C3236B"/>
    <w:rsid w:val="069F7723"/>
    <w:rsid w:val="07013F3A"/>
    <w:rsid w:val="0708176C"/>
    <w:rsid w:val="071579E5"/>
    <w:rsid w:val="072365A6"/>
    <w:rsid w:val="07293490"/>
    <w:rsid w:val="080A1514"/>
    <w:rsid w:val="08591B53"/>
    <w:rsid w:val="086E37B8"/>
    <w:rsid w:val="087A57DF"/>
    <w:rsid w:val="08B123F7"/>
    <w:rsid w:val="08B651F8"/>
    <w:rsid w:val="0A410CF7"/>
    <w:rsid w:val="0A6F0BAC"/>
    <w:rsid w:val="0A930DD3"/>
    <w:rsid w:val="0AA73501"/>
    <w:rsid w:val="0B1701D0"/>
    <w:rsid w:val="0B277754"/>
    <w:rsid w:val="0B3348DE"/>
    <w:rsid w:val="0B664CB3"/>
    <w:rsid w:val="0B696551"/>
    <w:rsid w:val="0B835865"/>
    <w:rsid w:val="0BC419DA"/>
    <w:rsid w:val="0C1969E9"/>
    <w:rsid w:val="0C776A4C"/>
    <w:rsid w:val="0CA57A5D"/>
    <w:rsid w:val="0CEC74C9"/>
    <w:rsid w:val="0D197B03"/>
    <w:rsid w:val="0D2564A8"/>
    <w:rsid w:val="0D8A4944"/>
    <w:rsid w:val="0DB81F6C"/>
    <w:rsid w:val="0E2F5830"/>
    <w:rsid w:val="0EB14497"/>
    <w:rsid w:val="0ECC7895"/>
    <w:rsid w:val="0EDF7256"/>
    <w:rsid w:val="0EE7610B"/>
    <w:rsid w:val="0F135482"/>
    <w:rsid w:val="0F403A6D"/>
    <w:rsid w:val="0F474DFC"/>
    <w:rsid w:val="0F933B9D"/>
    <w:rsid w:val="0FC65C0B"/>
    <w:rsid w:val="0FCA5F20"/>
    <w:rsid w:val="0FFC7994"/>
    <w:rsid w:val="10066C5D"/>
    <w:rsid w:val="103A04BC"/>
    <w:rsid w:val="104E2467"/>
    <w:rsid w:val="106D346F"/>
    <w:rsid w:val="10D64689"/>
    <w:rsid w:val="11205904"/>
    <w:rsid w:val="113E5D8A"/>
    <w:rsid w:val="11421E5E"/>
    <w:rsid w:val="11BA2DA2"/>
    <w:rsid w:val="122907E8"/>
    <w:rsid w:val="122D02D9"/>
    <w:rsid w:val="123C58FA"/>
    <w:rsid w:val="124318AA"/>
    <w:rsid w:val="12460A7A"/>
    <w:rsid w:val="129906A9"/>
    <w:rsid w:val="12993BC0"/>
    <w:rsid w:val="12A9274C"/>
    <w:rsid w:val="12FC2ECD"/>
    <w:rsid w:val="131E5E73"/>
    <w:rsid w:val="134C751B"/>
    <w:rsid w:val="13963C5C"/>
    <w:rsid w:val="14711B9F"/>
    <w:rsid w:val="14812B5E"/>
    <w:rsid w:val="14961BDF"/>
    <w:rsid w:val="14983A03"/>
    <w:rsid w:val="14C12F5A"/>
    <w:rsid w:val="14D013EF"/>
    <w:rsid w:val="150A66AF"/>
    <w:rsid w:val="15325C06"/>
    <w:rsid w:val="15966195"/>
    <w:rsid w:val="15A703A2"/>
    <w:rsid w:val="15DD07D4"/>
    <w:rsid w:val="15F829AC"/>
    <w:rsid w:val="16005770"/>
    <w:rsid w:val="16064ACD"/>
    <w:rsid w:val="161F43DC"/>
    <w:rsid w:val="162E461F"/>
    <w:rsid w:val="165878EE"/>
    <w:rsid w:val="16610551"/>
    <w:rsid w:val="16774218"/>
    <w:rsid w:val="169721C5"/>
    <w:rsid w:val="169F214C"/>
    <w:rsid w:val="16DC407B"/>
    <w:rsid w:val="16F47617"/>
    <w:rsid w:val="17081A86"/>
    <w:rsid w:val="174979EB"/>
    <w:rsid w:val="175B58E8"/>
    <w:rsid w:val="177E15D6"/>
    <w:rsid w:val="178070FD"/>
    <w:rsid w:val="179B3F36"/>
    <w:rsid w:val="179E2582"/>
    <w:rsid w:val="17C70888"/>
    <w:rsid w:val="182F467F"/>
    <w:rsid w:val="18512847"/>
    <w:rsid w:val="18B214AE"/>
    <w:rsid w:val="18DA6CE0"/>
    <w:rsid w:val="18F45D57"/>
    <w:rsid w:val="18F67BA9"/>
    <w:rsid w:val="18FE29CF"/>
    <w:rsid w:val="19063631"/>
    <w:rsid w:val="1925491D"/>
    <w:rsid w:val="192817FA"/>
    <w:rsid w:val="1941466A"/>
    <w:rsid w:val="197C38F4"/>
    <w:rsid w:val="198F7ACB"/>
    <w:rsid w:val="19A370D2"/>
    <w:rsid w:val="1A0A0EFF"/>
    <w:rsid w:val="1A6D2898"/>
    <w:rsid w:val="1A807414"/>
    <w:rsid w:val="1A9A04D5"/>
    <w:rsid w:val="1A9C383D"/>
    <w:rsid w:val="1ABF16F8"/>
    <w:rsid w:val="1AC35C7E"/>
    <w:rsid w:val="1ADC6D40"/>
    <w:rsid w:val="1ADF413A"/>
    <w:rsid w:val="1AE41750"/>
    <w:rsid w:val="1B04543C"/>
    <w:rsid w:val="1B542D7A"/>
    <w:rsid w:val="1B9A62B3"/>
    <w:rsid w:val="1C0C5403"/>
    <w:rsid w:val="1C1456DD"/>
    <w:rsid w:val="1CC32612"/>
    <w:rsid w:val="1CE166A2"/>
    <w:rsid w:val="1D150CCF"/>
    <w:rsid w:val="1D24522D"/>
    <w:rsid w:val="1D344C11"/>
    <w:rsid w:val="1D464944"/>
    <w:rsid w:val="1DE026A3"/>
    <w:rsid w:val="1E28404A"/>
    <w:rsid w:val="1E634A0C"/>
    <w:rsid w:val="1EB1403F"/>
    <w:rsid w:val="1EB15448"/>
    <w:rsid w:val="1EC45B21"/>
    <w:rsid w:val="1ECE5CA2"/>
    <w:rsid w:val="1F705CA9"/>
    <w:rsid w:val="1F7D3F22"/>
    <w:rsid w:val="1FBF453A"/>
    <w:rsid w:val="20B61DE1"/>
    <w:rsid w:val="20D61B3B"/>
    <w:rsid w:val="20D668C9"/>
    <w:rsid w:val="20E424AA"/>
    <w:rsid w:val="212C3E51"/>
    <w:rsid w:val="21867A05"/>
    <w:rsid w:val="21C83B7A"/>
    <w:rsid w:val="21F20BF7"/>
    <w:rsid w:val="22160D89"/>
    <w:rsid w:val="221E7C3E"/>
    <w:rsid w:val="22747619"/>
    <w:rsid w:val="22A75E85"/>
    <w:rsid w:val="22AF6AE8"/>
    <w:rsid w:val="22BA5BB9"/>
    <w:rsid w:val="231132FF"/>
    <w:rsid w:val="23623B5A"/>
    <w:rsid w:val="2368777C"/>
    <w:rsid w:val="23825FAA"/>
    <w:rsid w:val="238A309A"/>
    <w:rsid w:val="23C91E2B"/>
    <w:rsid w:val="23DF164F"/>
    <w:rsid w:val="23ED5B1A"/>
    <w:rsid w:val="24213A15"/>
    <w:rsid w:val="242B3FE6"/>
    <w:rsid w:val="245F0F7A"/>
    <w:rsid w:val="246D27B7"/>
    <w:rsid w:val="246D4199"/>
    <w:rsid w:val="249E0BC2"/>
    <w:rsid w:val="24BE1264"/>
    <w:rsid w:val="24EC4023"/>
    <w:rsid w:val="25093712"/>
    <w:rsid w:val="255F2A47"/>
    <w:rsid w:val="25A0096A"/>
    <w:rsid w:val="25C96113"/>
    <w:rsid w:val="25CD79B1"/>
    <w:rsid w:val="261F3F85"/>
    <w:rsid w:val="262A6C82"/>
    <w:rsid w:val="26321F0A"/>
    <w:rsid w:val="267F67D1"/>
    <w:rsid w:val="26A83F7A"/>
    <w:rsid w:val="26BB1EFF"/>
    <w:rsid w:val="27343A60"/>
    <w:rsid w:val="276B56D3"/>
    <w:rsid w:val="279871A5"/>
    <w:rsid w:val="279B763B"/>
    <w:rsid w:val="27AB7898"/>
    <w:rsid w:val="27B3557B"/>
    <w:rsid w:val="27E965F8"/>
    <w:rsid w:val="27EC60E8"/>
    <w:rsid w:val="28123DA1"/>
    <w:rsid w:val="282D2989"/>
    <w:rsid w:val="283F446A"/>
    <w:rsid w:val="28976054"/>
    <w:rsid w:val="289B3D96"/>
    <w:rsid w:val="29332221"/>
    <w:rsid w:val="294C6E3F"/>
    <w:rsid w:val="29891E41"/>
    <w:rsid w:val="29C3151F"/>
    <w:rsid w:val="29C70BBB"/>
    <w:rsid w:val="29E259F5"/>
    <w:rsid w:val="2A5155A0"/>
    <w:rsid w:val="2ADF3CE2"/>
    <w:rsid w:val="2AFA4D5F"/>
    <w:rsid w:val="2B33475A"/>
    <w:rsid w:val="2B45448D"/>
    <w:rsid w:val="2B4F358C"/>
    <w:rsid w:val="2B5507BE"/>
    <w:rsid w:val="2BF0264B"/>
    <w:rsid w:val="2BF31029"/>
    <w:rsid w:val="2C527B22"/>
    <w:rsid w:val="2CAA2BF1"/>
    <w:rsid w:val="2CBF0BB2"/>
    <w:rsid w:val="2CC11743"/>
    <w:rsid w:val="2D0A14EA"/>
    <w:rsid w:val="2D713318"/>
    <w:rsid w:val="2D7B23E8"/>
    <w:rsid w:val="2D9B65E7"/>
    <w:rsid w:val="2DB476A8"/>
    <w:rsid w:val="2E163EBF"/>
    <w:rsid w:val="2E5642BC"/>
    <w:rsid w:val="2E7013BD"/>
    <w:rsid w:val="2E7D5411"/>
    <w:rsid w:val="2EAC3B4B"/>
    <w:rsid w:val="2EC21951"/>
    <w:rsid w:val="2F407445"/>
    <w:rsid w:val="2F4F1437"/>
    <w:rsid w:val="2F5527C5"/>
    <w:rsid w:val="2F6D7B0F"/>
    <w:rsid w:val="2FAC1D36"/>
    <w:rsid w:val="30077F63"/>
    <w:rsid w:val="301574EF"/>
    <w:rsid w:val="304940D8"/>
    <w:rsid w:val="30751371"/>
    <w:rsid w:val="30913CD1"/>
    <w:rsid w:val="309D2676"/>
    <w:rsid w:val="30ED53AB"/>
    <w:rsid w:val="310C524F"/>
    <w:rsid w:val="313C22EF"/>
    <w:rsid w:val="31C3610C"/>
    <w:rsid w:val="31E22A36"/>
    <w:rsid w:val="31E43039"/>
    <w:rsid w:val="320E1FE2"/>
    <w:rsid w:val="3227494D"/>
    <w:rsid w:val="324167FF"/>
    <w:rsid w:val="324523C1"/>
    <w:rsid w:val="32544FB6"/>
    <w:rsid w:val="32CE2FBA"/>
    <w:rsid w:val="32EC51EE"/>
    <w:rsid w:val="33A855B9"/>
    <w:rsid w:val="33AD0E22"/>
    <w:rsid w:val="33BC37E4"/>
    <w:rsid w:val="33BF2903"/>
    <w:rsid w:val="33CB12A8"/>
    <w:rsid w:val="33D44600"/>
    <w:rsid w:val="33DB598F"/>
    <w:rsid w:val="340824FC"/>
    <w:rsid w:val="341B3FDD"/>
    <w:rsid w:val="343C3F54"/>
    <w:rsid w:val="343E2753"/>
    <w:rsid w:val="34C566C0"/>
    <w:rsid w:val="355C665B"/>
    <w:rsid w:val="358950B3"/>
    <w:rsid w:val="36407D2B"/>
    <w:rsid w:val="36CC7811"/>
    <w:rsid w:val="36DE7B3C"/>
    <w:rsid w:val="36F079A3"/>
    <w:rsid w:val="370945C1"/>
    <w:rsid w:val="374101FF"/>
    <w:rsid w:val="375021F0"/>
    <w:rsid w:val="376D2DA2"/>
    <w:rsid w:val="37C30C14"/>
    <w:rsid w:val="381256F7"/>
    <w:rsid w:val="38451A37"/>
    <w:rsid w:val="3845787B"/>
    <w:rsid w:val="389E6CFC"/>
    <w:rsid w:val="39602492"/>
    <w:rsid w:val="39B051C8"/>
    <w:rsid w:val="3A0E1EEE"/>
    <w:rsid w:val="3A623524"/>
    <w:rsid w:val="3A747BF2"/>
    <w:rsid w:val="3ACF5B21"/>
    <w:rsid w:val="3B3C53EC"/>
    <w:rsid w:val="3B6E70E8"/>
    <w:rsid w:val="3BDD7DCA"/>
    <w:rsid w:val="3BE40199"/>
    <w:rsid w:val="3BEC625F"/>
    <w:rsid w:val="3C3245BA"/>
    <w:rsid w:val="3C430575"/>
    <w:rsid w:val="3C6D55F2"/>
    <w:rsid w:val="3D31661F"/>
    <w:rsid w:val="3D793B23"/>
    <w:rsid w:val="3DA212CB"/>
    <w:rsid w:val="3DDF42CD"/>
    <w:rsid w:val="3DFA4C63"/>
    <w:rsid w:val="3E1A4978"/>
    <w:rsid w:val="3E6622F9"/>
    <w:rsid w:val="3EBE0387"/>
    <w:rsid w:val="3F4D34B9"/>
    <w:rsid w:val="3F520ACF"/>
    <w:rsid w:val="3F6820A1"/>
    <w:rsid w:val="3F724CCD"/>
    <w:rsid w:val="3FA65787"/>
    <w:rsid w:val="3FC45529"/>
    <w:rsid w:val="3FC75019"/>
    <w:rsid w:val="3FD15E98"/>
    <w:rsid w:val="3FE43E1D"/>
    <w:rsid w:val="40374AC6"/>
    <w:rsid w:val="40624D42"/>
    <w:rsid w:val="40BE0DB2"/>
    <w:rsid w:val="40FC63F3"/>
    <w:rsid w:val="411A40CF"/>
    <w:rsid w:val="41790595"/>
    <w:rsid w:val="41A171BC"/>
    <w:rsid w:val="41CA4AC0"/>
    <w:rsid w:val="41EF2605"/>
    <w:rsid w:val="41FB148E"/>
    <w:rsid w:val="42870A90"/>
    <w:rsid w:val="429A07C3"/>
    <w:rsid w:val="42B20202"/>
    <w:rsid w:val="42C8103A"/>
    <w:rsid w:val="42DA32B5"/>
    <w:rsid w:val="42E36169"/>
    <w:rsid w:val="42F06635"/>
    <w:rsid w:val="42F17DE3"/>
    <w:rsid w:val="43086074"/>
    <w:rsid w:val="43097E84"/>
    <w:rsid w:val="432D1637"/>
    <w:rsid w:val="433C473A"/>
    <w:rsid w:val="4368266F"/>
    <w:rsid w:val="43A04842"/>
    <w:rsid w:val="43A1220C"/>
    <w:rsid w:val="43C33D49"/>
    <w:rsid w:val="43C81360"/>
    <w:rsid w:val="443609BF"/>
    <w:rsid w:val="443A04B0"/>
    <w:rsid w:val="44472BCC"/>
    <w:rsid w:val="44915BF6"/>
    <w:rsid w:val="44BB380A"/>
    <w:rsid w:val="44BE3B6C"/>
    <w:rsid w:val="44F22B38"/>
    <w:rsid w:val="45576E3F"/>
    <w:rsid w:val="46893028"/>
    <w:rsid w:val="46B85034"/>
    <w:rsid w:val="46FC37FA"/>
    <w:rsid w:val="47017063"/>
    <w:rsid w:val="47165D8D"/>
    <w:rsid w:val="4746716B"/>
    <w:rsid w:val="478D08F6"/>
    <w:rsid w:val="48033E48"/>
    <w:rsid w:val="48617250"/>
    <w:rsid w:val="48670354"/>
    <w:rsid w:val="4924528A"/>
    <w:rsid w:val="493A4AAE"/>
    <w:rsid w:val="494E2307"/>
    <w:rsid w:val="49920446"/>
    <w:rsid w:val="499517E9"/>
    <w:rsid w:val="49973CAE"/>
    <w:rsid w:val="49AD758C"/>
    <w:rsid w:val="49BE123B"/>
    <w:rsid w:val="49CF3448"/>
    <w:rsid w:val="49E63FE2"/>
    <w:rsid w:val="49EF7646"/>
    <w:rsid w:val="4A934476"/>
    <w:rsid w:val="4AC7411F"/>
    <w:rsid w:val="4ACA1E61"/>
    <w:rsid w:val="4AEC002A"/>
    <w:rsid w:val="4AEE5B50"/>
    <w:rsid w:val="4AFA44F5"/>
    <w:rsid w:val="4AFD3FE5"/>
    <w:rsid w:val="4B137364"/>
    <w:rsid w:val="4B217CD3"/>
    <w:rsid w:val="4BF75B32"/>
    <w:rsid w:val="4BF947AC"/>
    <w:rsid w:val="4C3A6B73"/>
    <w:rsid w:val="4CCA0D79"/>
    <w:rsid w:val="4CE03B9F"/>
    <w:rsid w:val="4D157E1D"/>
    <w:rsid w:val="4D183358"/>
    <w:rsid w:val="4DA70238"/>
    <w:rsid w:val="4DAD7883"/>
    <w:rsid w:val="4E067654"/>
    <w:rsid w:val="4EFD45B3"/>
    <w:rsid w:val="4F1638C7"/>
    <w:rsid w:val="4F2002A2"/>
    <w:rsid w:val="4F3D70A6"/>
    <w:rsid w:val="4F8B1BBF"/>
    <w:rsid w:val="4FAB2261"/>
    <w:rsid w:val="4FB530E0"/>
    <w:rsid w:val="4FC926E8"/>
    <w:rsid w:val="4FFF435B"/>
    <w:rsid w:val="500B77B1"/>
    <w:rsid w:val="50546455"/>
    <w:rsid w:val="509E1DC6"/>
    <w:rsid w:val="50BE7D72"/>
    <w:rsid w:val="51CB2747"/>
    <w:rsid w:val="51F6353C"/>
    <w:rsid w:val="51FF0643"/>
    <w:rsid w:val="523429E2"/>
    <w:rsid w:val="526D7CA2"/>
    <w:rsid w:val="526F57C8"/>
    <w:rsid w:val="52833022"/>
    <w:rsid w:val="52B07B8F"/>
    <w:rsid w:val="52D45FAD"/>
    <w:rsid w:val="52EF5437"/>
    <w:rsid w:val="53226CDE"/>
    <w:rsid w:val="534529CD"/>
    <w:rsid w:val="5362532D"/>
    <w:rsid w:val="537262D3"/>
    <w:rsid w:val="53BA0CC5"/>
    <w:rsid w:val="54007905"/>
    <w:rsid w:val="54072354"/>
    <w:rsid w:val="545333E8"/>
    <w:rsid w:val="55BA6A1A"/>
    <w:rsid w:val="56187F25"/>
    <w:rsid w:val="56236C6E"/>
    <w:rsid w:val="56510FA5"/>
    <w:rsid w:val="5684380C"/>
    <w:rsid w:val="568B4B9B"/>
    <w:rsid w:val="56B714EC"/>
    <w:rsid w:val="56D24578"/>
    <w:rsid w:val="56D54068"/>
    <w:rsid w:val="56DE4CCA"/>
    <w:rsid w:val="56F269C8"/>
    <w:rsid w:val="56F63927"/>
    <w:rsid w:val="57032983"/>
    <w:rsid w:val="576176AA"/>
    <w:rsid w:val="57802226"/>
    <w:rsid w:val="57CF0AB7"/>
    <w:rsid w:val="57CF2661"/>
    <w:rsid w:val="57DB3B78"/>
    <w:rsid w:val="581B3CFC"/>
    <w:rsid w:val="58CB74D0"/>
    <w:rsid w:val="58E81E30"/>
    <w:rsid w:val="58F9403E"/>
    <w:rsid w:val="59123351"/>
    <w:rsid w:val="595B0854"/>
    <w:rsid w:val="5987789B"/>
    <w:rsid w:val="5A017D9A"/>
    <w:rsid w:val="5A1D0200"/>
    <w:rsid w:val="5A556F7C"/>
    <w:rsid w:val="5AD05272"/>
    <w:rsid w:val="5B1A473F"/>
    <w:rsid w:val="5B8A3673"/>
    <w:rsid w:val="5B8B2F47"/>
    <w:rsid w:val="5B8D3163"/>
    <w:rsid w:val="5BBE156E"/>
    <w:rsid w:val="5BE03293"/>
    <w:rsid w:val="5C001B87"/>
    <w:rsid w:val="5C3D2493"/>
    <w:rsid w:val="5C82434A"/>
    <w:rsid w:val="5CE0146E"/>
    <w:rsid w:val="5D30024A"/>
    <w:rsid w:val="5D447851"/>
    <w:rsid w:val="5D465377"/>
    <w:rsid w:val="5D9E1657"/>
    <w:rsid w:val="5DA12EF6"/>
    <w:rsid w:val="5DEC23C3"/>
    <w:rsid w:val="5F3A0F0C"/>
    <w:rsid w:val="5F8D54E0"/>
    <w:rsid w:val="5F9007B4"/>
    <w:rsid w:val="5FBA49A7"/>
    <w:rsid w:val="5FBC5DC5"/>
    <w:rsid w:val="602B6AA7"/>
    <w:rsid w:val="6031230F"/>
    <w:rsid w:val="60563B24"/>
    <w:rsid w:val="605D3104"/>
    <w:rsid w:val="607D5554"/>
    <w:rsid w:val="60A279E8"/>
    <w:rsid w:val="60A61B01"/>
    <w:rsid w:val="60D809DC"/>
    <w:rsid w:val="6118527D"/>
    <w:rsid w:val="613A2DB2"/>
    <w:rsid w:val="613D2F35"/>
    <w:rsid w:val="614222FA"/>
    <w:rsid w:val="6183303E"/>
    <w:rsid w:val="61A06982"/>
    <w:rsid w:val="61E138C1"/>
    <w:rsid w:val="622F0AD0"/>
    <w:rsid w:val="623B5D00"/>
    <w:rsid w:val="628726BA"/>
    <w:rsid w:val="62B62F9F"/>
    <w:rsid w:val="63116428"/>
    <w:rsid w:val="632D178C"/>
    <w:rsid w:val="63506F50"/>
    <w:rsid w:val="63846BFA"/>
    <w:rsid w:val="63CC234F"/>
    <w:rsid w:val="63CF256B"/>
    <w:rsid w:val="646B1B68"/>
    <w:rsid w:val="648F5856"/>
    <w:rsid w:val="6549634D"/>
    <w:rsid w:val="656D0541"/>
    <w:rsid w:val="6579460B"/>
    <w:rsid w:val="65827499"/>
    <w:rsid w:val="65842EE1"/>
    <w:rsid w:val="658630FD"/>
    <w:rsid w:val="65C459D3"/>
    <w:rsid w:val="65F53E0E"/>
    <w:rsid w:val="65FC516D"/>
    <w:rsid w:val="660D1128"/>
    <w:rsid w:val="664F7AE6"/>
    <w:rsid w:val="66BE68C6"/>
    <w:rsid w:val="66C043ED"/>
    <w:rsid w:val="66C63380"/>
    <w:rsid w:val="66E63727"/>
    <w:rsid w:val="66EA1469"/>
    <w:rsid w:val="66F83B86"/>
    <w:rsid w:val="671146F3"/>
    <w:rsid w:val="674C3ED2"/>
    <w:rsid w:val="677A0A3F"/>
    <w:rsid w:val="678B49FB"/>
    <w:rsid w:val="67BF1719"/>
    <w:rsid w:val="67F9077B"/>
    <w:rsid w:val="682E35D8"/>
    <w:rsid w:val="6870599E"/>
    <w:rsid w:val="687234C5"/>
    <w:rsid w:val="68866F70"/>
    <w:rsid w:val="69286279"/>
    <w:rsid w:val="697414BE"/>
    <w:rsid w:val="69AE49D0"/>
    <w:rsid w:val="69B0699A"/>
    <w:rsid w:val="69B1626F"/>
    <w:rsid w:val="6A1F767C"/>
    <w:rsid w:val="6A22716C"/>
    <w:rsid w:val="6A372C18"/>
    <w:rsid w:val="6ACD532A"/>
    <w:rsid w:val="6AEE70D6"/>
    <w:rsid w:val="6B0A032C"/>
    <w:rsid w:val="6B146AB5"/>
    <w:rsid w:val="6B9B0F84"/>
    <w:rsid w:val="6BEC358E"/>
    <w:rsid w:val="6C3B62C3"/>
    <w:rsid w:val="6C6E0447"/>
    <w:rsid w:val="6CC462B9"/>
    <w:rsid w:val="6CD22309"/>
    <w:rsid w:val="6CD40BF2"/>
    <w:rsid w:val="6D254FA9"/>
    <w:rsid w:val="6D486EEA"/>
    <w:rsid w:val="6D4C7928"/>
    <w:rsid w:val="6D77332B"/>
    <w:rsid w:val="6DDE33AA"/>
    <w:rsid w:val="6DF42BCE"/>
    <w:rsid w:val="6E46167B"/>
    <w:rsid w:val="6EC61222"/>
    <w:rsid w:val="6F6B77E3"/>
    <w:rsid w:val="6FE729EA"/>
    <w:rsid w:val="70425E72"/>
    <w:rsid w:val="7075449A"/>
    <w:rsid w:val="710B6BAC"/>
    <w:rsid w:val="71881FAB"/>
    <w:rsid w:val="71A212BE"/>
    <w:rsid w:val="71DB032D"/>
    <w:rsid w:val="71F72C8D"/>
    <w:rsid w:val="724F66DC"/>
    <w:rsid w:val="729F135A"/>
    <w:rsid w:val="72A20E4A"/>
    <w:rsid w:val="72A526E9"/>
    <w:rsid w:val="72C2329A"/>
    <w:rsid w:val="72D1356D"/>
    <w:rsid w:val="72F62F44"/>
    <w:rsid w:val="73AF32CE"/>
    <w:rsid w:val="73D2575F"/>
    <w:rsid w:val="73ED2599"/>
    <w:rsid w:val="73EF00BF"/>
    <w:rsid w:val="741915E0"/>
    <w:rsid w:val="743106D8"/>
    <w:rsid w:val="74471CA9"/>
    <w:rsid w:val="74561EEC"/>
    <w:rsid w:val="74744A68"/>
    <w:rsid w:val="74884070"/>
    <w:rsid w:val="74AA048A"/>
    <w:rsid w:val="74AE7F7A"/>
    <w:rsid w:val="74DF6386"/>
    <w:rsid w:val="75371D1E"/>
    <w:rsid w:val="75385A96"/>
    <w:rsid w:val="758E56B6"/>
    <w:rsid w:val="75B570E6"/>
    <w:rsid w:val="75CA3384"/>
    <w:rsid w:val="75FE0A8D"/>
    <w:rsid w:val="7612071E"/>
    <w:rsid w:val="7662726E"/>
    <w:rsid w:val="768C42EB"/>
    <w:rsid w:val="769B008A"/>
    <w:rsid w:val="76B4114C"/>
    <w:rsid w:val="76B53CC4"/>
    <w:rsid w:val="76E557A9"/>
    <w:rsid w:val="76F90C1B"/>
    <w:rsid w:val="77000835"/>
    <w:rsid w:val="77336515"/>
    <w:rsid w:val="77444BC6"/>
    <w:rsid w:val="779C67B0"/>
    <w:rsid w:val="77EB3293"/>
    <w:rsid w:val="78146346"/>
    <w:rsid w:val="781C344D"/>
    <w:rsid w:val="78247195"/>
    <w:rsid w:val="78C935D5"/>
    <w:rsid w:val="78E201F2"/>
    <w:rsid w:val="79490272"/>
    <w:rsid w:val="79782905"/>
    <w:rsid w:val="79856DD0"/>
    <w:rsid w:val="79E461EC"/>
    <w:rsid w:val="7A044199"/>
    <w:rsid w:val="7A2A1655"/>
    <w:rsid w:val="7A635363"/>
    <w:rsid w:val="7A7B26AD"/>
    <w:rsid w:val="7A7F1A71"/>
    <w:rsid w:val="7A9E62BF"/>
    <w:rsid w:val="7AA80FC8"/>
    <w:rsid w:val="7AD03899"/>
    <w:rsid w:val="7AD4000F"/>
    <w:rsid w:val="7B3F3F08"/>
    <w:rsid w:val="7B424F78"/>
    <w:rsid w:val="7B42766E"/>
    <w:rsid w:val="7B4520FA"/>
    <w:rsid w:val="7B9F14D0"/>
    <w:rsid w:val="7BDF310F"/>
    <w:rsid w:val="7BF817F1"/>
    <w:rsid w:val="7C29438A"/>
    <w:rsid w:val="7C63789C"/>
    <w:rsid w:val="7C701FB9"/>
    <w:rsid w:val="7C9F63FA"/>
    <w:rsid w:val="7CC876FF"/>
    <w:rsid w:val="7CE44E78"/>
    <w:rsid w:val="7DC425BD"/>
    <w:rsid w:val="7DD81085"/>
    <w:rsid w:val="7E292420"/>
    <w:rsid w:val="7E2E5CC5"/>
    <w:rsid w:val="7E3808B5"/>
    <w:rsid w:val="7E417867"/>
    <w:rsid w:val="7E4E00D8"/>
    <w:rsid w:val="7E6E5ED4"/>
    <w:rsid w:val="7E7A0ECD"/>
    <w:rsid w:val="7E90249F"/>
    <w:rsid w:val="7E957AB5"/>
    <w:rsid w:val="7EA71D7C"/>
    <w:rsid w:val="7EAF0B77"/>
    <w:rsid w:val="7F587460"/>
    <w:rsid w:val="7F686F78"/>
    <w:rsid w:val="7F721BA4"/>
    <w:rsid w:val="7FEC1957"/>
    <w:rsid w:val="7FFA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emf"/><Relationship Id="rId7" Type="http://schemas.openxmlformats.org/officeDocument/2006/relationships/image" Target="media/image3.emf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1214</Words>
  <Characters>6244</Characters>
  <Lines>0</Lines>
  <Paragraphs>0</Paragraphs>
  <TotalTime>0</TotalTime>
  <ScaleCrop>false</ScaleCrop>
  <LinksUpToDate>false</LinksUpToDate>
  <CharactersWithSpaces>7031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2025-06-25T05:37:00Z</dcterms:created>
  <dc:creator>Ran Yan</dc:creator>
  <cp:lastModifiedBy>Ran Yan</cp:lastModifiedBy>
  <dcterms:modified xsi:type="dcterms:W3CDTF">2025-07-30T15:29:43Z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620AB612AB47484B9A4344DEDCC5ADBD_11</vt:lpwstr>
  </property>
  <property fmtid="{D5CDD505-2E9C-101B-9397-08002B2CF9AE}" pid="4" name="KSOTemplateDocerSaveRecord">
    <vt:lpwstr>eyJoZGlkIjoiNzk4MDUzOGM3YzQ3ZTU0YjA1ZDZlMGM0Y2NlMGQwNzAiLCJ1c2VySWQiOiI1OTEwNDY0MTEifQ==</vt:lpwstr>
  </property>
</Properties>
</file>