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728" w:rsidRDefault="0024491B">
      <w:pPr>
        <w:pStyle w:val="Oletus"/>
        <w:spacing w:before="0" w:line="480" w:lineRule="auto"/>
        <w:rPr>
          <w:rFonts w:ascii="Arial" w:eastAsia="Arial" w:hAnsi="Arial" w:cs="Arial"/>
        </w:rPr>
      </w:pPr>
      <w:r w:rsidRPr="0024491B">
        <w:rPr>
          <w:rFonts w:ascii="Arial" w:eastAsia="Arial" w:hAnsi="Arial" w:cs="Arial"/>
          <w:noProof/>
          <w:lang w:val="en-IN"/>
        </w:rPr>
        <w:drawing>
          <wp:inline distT="0" distB="0" distL="0" distR="0">
            <wp:extent cx="6116320" cy="3441492"/>
            <wp:effectExtent l="0" t="0" r="0" b="6985"/>
            <wp:docPr id="1" name="Picture 1" descr="H:\journals\Springer\SpACE\12933\2895\Stage200\Author\JournalID=12933_Year=2025_ArticleID=2895_2025-08-05_08-00-54\12933_102a214f-5205-4223-9f02-c3af5d6be34d\Figures\AdditionalFile1.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journals\Springer\SpACE\12933\2895\Stage200\Author\JournalID=12933_Year=2025_ArticleID=2895_2025-08-05_08-00-54\12933_102a214f-5205-4223-9f02-c3af5d6be34d\Figures\AdditionalFile1.00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441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728" w:rsidRDefault="0024491B">
      <w:pPr>
        <w:pStyle w:val="Oletus"/>
        <w:spacing w:before="0" w:line="480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Additional file 1.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  <w:bCs/>
        </w:rPr>
        <w:t>Kaplan</w:t>
      </w:r>
      <w:r>
        <w:rPr>
          <w:rFonts w:ascii="Arial" w:hAnsi="Arial"/>
          <w:b/>
          <w:bCs/>
        </w:rPr>
        <w:t>–</w:t>
      </w:r>
      <w:r>
        <w:rPr>
          <w:rFonts w:ascii="Arial" w:hAnsi="Arial"/>
          <w:b/>
          <w:bCs/>
        </w:rPr>
        <w:t>Meier curves for isch</w:t>
      </w:r>
      <w:r>
        <w:rPr>
          <w:rFonts w:ascii="Arial" w:hAnsi="Arial"/>
          <w:b/>
          <w:bCs/>
        </w:rPr>
        <w:t xml:space="preserve">emic cardiac events and mortality </w:t>
      </w:r>
      <w:bookmarkStart w:id="0" w:name="_GoBack"/>
      <w:bookmarkEnd w:id="0"/>
      <w:r>
        <w:rPr>
          <w:rFonts w:ascii="Arial" w:hAnsi="Arial"/>
          <w:b/>
          <w:bCs/>
        </w:rPr>
        <w:t xml:space="preserve">according to </w:t>
      </w:r>
      <w:r>
        <w:rPr>
          <w:rFonts w:ascii="Arial" w:hAnsi="Arial"/>
          <w:b/>
          <w:bCs/>
          <w:i/>
          <w:iCs/>
        </w:rPr>
        <w:t>HMOX1</w:t>
      </w:r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GTn</w:t>
      </w:r>
      <w:proofErr w:type="spellEnd"/>
      <w:r>
        <w:rPr>
          <w:rFonts w:ascii="Arial" w:hAnsi="Arial"/>
          <w:b/>
          <w:bCs/>
        </w:rPr>
        <w:t xml:space="preserve"> repeat</w:t>
      </w:r>
      <w:r>
        <w:rPr>
          <w:rFonts w:ascii="Arial" w:hAnsi="Arial"/>
          <w:b/>
          <w:bCs/>
        </w:rPr>
        <w:t xml:space="preserve"> (SS, SL and LL separated) and -413A/T genotype</w:t>
      </w:r>
      <w:r>
        <w:rPr>
          <w:rFonts w:ascii="Arial" w:hAnsi="Arial"/>
          <w:b/>
          <w:bCs/>
        </w:rPr>
        <w:t>.</w:t>
      </w:r>
      <w:r>
        <w:rPr>
          <w:rFonts w:ascii="Arial" w:hAnsi="Arial"/>
        </w:rPr>
        <w:t xml:space="preserve"> Curves for </w:t>
      </w:r>
      <w:r>
        <w:rPr>
          <w:rFonts w:ascii="Arial" w:hAnsi="Arial"/>
          <w:b/>
          <w:bCs/>
        </w:rPr>
        <w:t>a)</w:t>
      </w:r>
      <w:r>
        <w:rPr>
          <w:rFonts w:ascii="Arial" w:hAnsi="Arial"/>
        </w:rPr>
        <w:t xml:space="preserve"> ischemic cardiac events in all individuals, </w:t>
      </w:r>
      <w:r>
        <w:rPr>
          <w:rFonts w:ascii="Arial" w:hAnsi="Arial"/>
          <w:b/>
          <w:bCs/>
        </w:rPr>
        <w:t>b)</w:t>
      </w:r>
      <w:r>
        <w:rPr>
          <w:rFonts w:ascii="Arial" w:hAnsi="Arial"/>
        </w:rPr>
        <w:t xml:space="preserve"> ischemic cardiac events in men, </w:t>
      </w:r>
      <w:r>
        <w:rPr>
          <w:rFonts w:ascii="Arial" w:hAnsi="Arial"/>
          <w:b/>
          <w:bCs/>
        </w:rPr>
        <w:t>c)</w:t>
      </w:r>
      <w:r>
        <w:rPr>
          <w:rFonts w:ascii="Arial" w:hAnsi="Arial"/>
        </w:rPr>
        <w:t xml:space="preserve"> all-cause mortality in men, </w:t>
      </w:r>
      <w:r>
        <w:rPr>
          <w:rFonts w:ascii="Arial" w:hAnsi="Arial"/>
          <w:b/>
          <w:bCs/>
        </w:rPr>
        <w:t xml:space="preserve">d) </w:t>
      </w:r>
      <w:r>
        <w:rPr>
          <w:rFonts w:ascii="Arial" w:hAnsi="Arial"/>
        </w:rPr>
        <w:t>Kaplan</w:t>
      </w:r>
      <w:r>
        <w:rPr>
          <w:rFonts w:ascii="Arial" w:hAnsi="Arial"/>
        </w:rPr>
        <w:t>–</w:t>
      </w:r>
      <w:r>
        <w:rPr>
          <w:rFonts w:ascii="Arial" w:hAnsi="Arial"/>
        </w:rPr>
        <w:t xml:space="preserve">Meier analysis for ischemic cardiac events stratified by </w:t>
      </w:r>
      <w:r>
        <w:rPr>
          <w:rFonts w:ascii="Arial" w:hAnsi="Arial"/>
          <w:i/>
          <w:iCs/>
        </w:rPr>
        <w:t xml:space="preserve">HMOX1 </w:t>
      </w:r>
      <w:r>
        <w:rPr>
          <w:rFonts w:ascii="Arial" w:hAnsi="Arial"/>
        </w:rPr>
        <w:t>-413A/T SNP genotype in men</w:t>
      </w:r>
      <w:r>
        <w:rPr>
          <w:rFonts w:ascii="Arial" w:hAnsi="Arial"/>
        </w:rPr>
        <w:t>, AA, AT and TT separated</w:t>
      </w:r>
      <w:r>
        <w:rPr>
          <w:rFonts w:ascii="Arial" w:hAnsi="Arial"/>
        </w:rPr>
        <w:t>.</w:t>
      </w:r>
    </w:p>
    <w:p w:rsidR="00B87728" w:rsidRDefault="00B87728">
      <w:pPr>
        <w:pStyle w:val="Oletus"/>
        <w:spacing w:before="0" w:line="480" w:lineRule="auto"/>
        <w:rPr>
          <w:rFonts w:ascii="Arial" w:eastAsia="Arial" w:hAnsi="Arial" w:cs="Arial"/>
        </w:rPr>
      </w:pPr>
    </w:p>
    <w:p w:rsidR="00B87728" w:rsidRDefault="00B87728">
      <w:pPr>
        <w:pStyle w:val="Oletus"/>
        <w:spacing w:before="0" w:line="480" w:lineRule="auto"/>
        <w:rPr>
          <w:rFonts w:ascii="Arial" w:eastAsia="Arial" w:hAnsi="Arial" w:cs="Arial"/>
        </w:rPr>
      </w:pPr>
    </w:p>
    <w:p w:rsidR="00B87728" w:rsidRDefault="0024491B">
      <w:pPr>
        <w:pStyle w:val="Oletus"/>
        <w:spacing w:before="0" w:after="320" w:line="360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Additional file 2</w:t>
      </w:r>
      <w:r>
        <w:rPr>
          <w:rFonts w:ascii="Arial" w:hAnsi="Arial"/>
          <w:b/>
          <w:bCs/>
        </w:rPr>
        <w:t>.</w:t>
      </w:r>
      <w:r>
        <w:rPr>
          <w:rFonts w:ascii="Arial" w:hAnsi="Arial"/>
        </w:rPr>
        <w:t xml:space="preserve"> Clinical and biochemical characteristics of study participants included in serum HO-1 level analysis, men vs women.</w:t>
      </w:r>
    </w:p>
    <w:tbl>
      <w:tblPr>
        <w:tblW w:w="961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3650"/>
        <w:gridCol w:w="2025"/>
        <w:gridCol w:w="2236"/>
        <w:gridCol w:w="1701"/>
      </w:tblGrid>
      <w:tr w:rsidR="00B87728">
        <w:trPr>
          <w:trHeight w:val="332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B87728"/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Men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Women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</w:rPr>
              <w:t>p</w:t>
            </w: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value</w:t>
            </w:r>
          </w:p>
        </w:tc>
      </w:tr>
      <w:tr w:rsidR="00B87728">
        <w:trPr>
          <w:trHeight w:val="629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HS-CRP 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(mg/l) </w:t>
            </w:r>
          </w:p>
          <w:p w:rsidR="00B87728" w:rsidRDefault="0024491B">
            <w:pPr>
              <w:pStyle w:val="Leipteksti"/>
              <w:spacing w:line="360" w:lineRule="auto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(values &gt; 10 excluded)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1.82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1.75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=366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2.44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2.13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&lt;0.001</w:t>
            </w:r>
          </w:p>
        </w:tc>
      </w:tr>
      <w:tr w:rsidR="00B87728">
        <w:trPr>
          <w:trHeight w:val="493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HbA1C </w:t>
            </w:r>
            <w:r>
              <w:rPr>
                <w:rFonts w:ascii="Arial" w:hAnsi="Arial"/>
                <w:sz w:val="22"/>
                <w:szCs w:val="22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(mmol/mol)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63.47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14.66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=406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67.68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14.98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=444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&lt;0.001</w:t>
            </w:r>
          </w:p>
        </w:tc>
      </w:tr>
      <w:tr w:rsidR="00B87728">
        <w:trPr>
          <w:trHeight w:val="493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Total cholesterol </w:t>
            </w:r>
            <w:r>
              <w:rPr>
                <w:rFonts w:ascii="Arial" w:hAnsi="Arial"/>
                <w:sz w:val="22"/>
                <w:szCs w:val="22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(mmol/l)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4.68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0.95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=408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4.77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0.85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=449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0.130</w:t>
            </w:r>
          </w:p>
        </w:tc>
      </w:tr>
      <w:tr w:rsidR="00B87728">
        <w:trPr>
          <w:trHeight w:val="493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LDL-cholesterol </w:t>
            </w:r>
            <w:r>
              <w:rPr>
                <w:rFonts w:ascii="Arial" w:hAnsi="Arial"/>
                <w:sz w:val="22"/>
                <w:szCs w:val="22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(mmol/l)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2.89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0.86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=340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2.77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0.77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0.059</w:t>
            </w:r>
          </w:p>
        </w:tc>
      </w:tr>
      <w:tr w:rsidR="00B87728">
        <w:trPr>
          <w:trHeight w:val="493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HDL-cholesterol </w:t>
            </w:r>
            <w:r>
              <w:rPr>
                <w:rFonts w:ascii="Arial" w:hAnsi="Arial"/>
                <w:sz w:val="22"/>
                <w:szCs w:val="22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(mmol/l)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1.30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0.34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=408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1.57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0.40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=449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&lt;0.001</w:t>
            </w:r>
          </w:p>
        </w:tc>
      </w:tr>
      <w:tr w:rsidR="00B87728">
        <w:trPr>
          <w:trHeight w:val="493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HDL2-C </w:t>
            </w:r>
            <w:r>
              <w:rPr>
                <w:rFonts w:ascii="Arial" w:hAnsi="Arial"/>
                <w:sz w:val="22"/>
                <w:szCs w:val="22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(mmol/l)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0.49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0.26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=391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0.69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0.29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=439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&lt;0.001</w:t>
            </w:r>
          </w:p>
        </w:tc>
      </w:tr>
      <w:tr w:rsidR="00B87728">
        <w:trPr>
          <w:trHeight w:val="493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HDL3-C </w:t>
            </w:r>
            <w:r>
              <w:rPr>
                <w:rFonts w:ascii="Arial" w:hAnsi="Arial"/>
                <w:sz w:val="22"/>
                <w:szCs w:val="22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(mmol/l)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0.82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0.21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=391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0.89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0.22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=439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&lt;0.001</w:t>
            </w:r>
          </w:p>
        </w:tc>
      </w:tr>
      <w:tr w:rsidR="00B87728">
        <w:trPr>
          <w:trHeight w:val="493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Triglycerides </w:t>
            </w:r>
            <w:r>
              <w:rPr>
                <w:rFonts w:ascii="Arial" w:hAnsi="Arial"/>
                <w:sz w:val="22"/>
                <w:szCs w:val="22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(mmol/l)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1.00 (0.79-1.40)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=408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0.86 (0.67-1.19)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=449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&lt;0.001</w:t>
            </w:r>
          </w:p>
        </w:tc>
      </w:tr>
      <w:tr w:rsidR="00B87728">
        <w:trPr>
          <w:trHeight w:val="493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APOA1 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(mg/dl)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129.39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19.94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=395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146.90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25.22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=442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&lt;0.001</w:t>
            </w:r>
          </w:p>
        </w:tc>
      </w:tr>
      <w:tr w:rsidR="00B87728">
        <w:trPr>
          <w:trHeight w:val="493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APOB 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(mg/dl)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83.44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23.93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=395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78.98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20.85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=442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0.004</w:t>
            </w:r>
          </w:p>
        </w:tc>
      </w:tr>
      <w:tr w:rsidR="00B87728">
        <w:trPr>
          <w:trHeight w:val="493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Insulin dose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(IU/kg)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0.68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0.29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=404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0.63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0.24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=449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0.008</w:t>
            </w:r>
          </w:p>
        </w:tc>
      </w:tr>
      <w:tr w:rsidR="00B87728">
        <w:trPr>
          <w:trHeight w:val="493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</w:pPr>
            <w:proofErr w:type="spellStart"/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eGFR</w:t>
            </w:r>
            <w:proofErr w:type="spellEnd"/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97.41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31.33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=410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93.97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27.37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=449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0.086</w:t>
            </w:r>
          </w:p>
        </w:tc>
      </w:tr>
      <w:tr w:rsidR="00B87728">
        <w:trPr>
          <w:trHeight w:val="493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BMI 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(kg/m2)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25.45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3.60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=404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24.98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3.99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=449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0.073</w:t>
            </w:r>
          </w:p>
        </w:tc>
      </w:tr>
      <w:tr w:rsidR="00B87728">
        <w:trPr>
          <w:trHeight w:val="493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WHR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0.071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0.0036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=393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0.062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0.0029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=441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&lt;0.001</w:t>
            </w:r>
          </w:p>
        </w:tc>
      </w:tr>
      <w:tr w:rsidR="00B87728">
        <w:trPr>
          <w:trHeight w:val="493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</w:pPr>
            <w:r>
              <w:rPr>
                <w:rFonts w:ascii="Arial" w:hAnsi="Arial"/>
                <w:b/>
                <w:bCs/>
                <w:sz w:val="22"/>
                <w:szCs w:val="22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SBP 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(mmHg)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141.47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19.42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=400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133.44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18.57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=448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&lt;0.001</w:t>
            </w:r>
          </w:p>
        </w:tc>
      </w:tr>
      <w:tr w:rsidR="00B87728">
        <w:trPr>
          <w:trHeight w:val="493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</w:pPr>
            <w:r>
              <w:rPr>
                <w:rFonts w:ascii="Arial" w:hAnsi="Arial"/>
                <w:b/>
                <w:bCs/>
                <w:sz w:val="22"/>
                <w:szCs w:val="22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DBP 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(mmHg)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77.96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9.34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=400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76.49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9.09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=448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0.021</w:t>
            </w:r>
          </w:p>
        </w:tc>
      </w:tr>
      <w:tr w:rsidR="00B87728">
        <w:trPr>
          <w:trHeight w:val="493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</w:pPr>
            <w:r>
              <w:rPr>
                <w:rFonts w:ascii="Arial" w:hAnsi="Arial"/>
                <w:b/>
                <w:bCs/>
                <w:sz w:val="22"/>
                <w:szCs w:val="22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PP </w:t>
            </w:r>
            <w:r>
              <w:rPr>
                <w:rFonts w:ascii="Arial" w:hAnsi="Arial"/>
                <w:sz w:val="22"/>
                <w:szCs w:val="22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(mmhg)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63.51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17.09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=400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56.95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17.07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=448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&lt;0.001</w:t>
            </w:r>
          </w:p>
        </w:tc>
      </w:tr>
      <w:tr w:rsidR="00B87728">
        <w:trPr>
          <w:trHeight w:val="493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BAI 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(%)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23.38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3.31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=393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  <w:rPr>
                <w:rFonts w:ascii="Arial" w:eastAsia="Arial" w:hAnsi="Arial" w:cs="Arial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28.78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±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4.72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=441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&lt;0.001</w:t>
            </w:r>
          </w:p>
        </w:tc>
      </w:tr>
      <w:tr w:rsidR="00B87728">
        <w:trPr>
          <w:trHeight w:val="493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Ischemic cardiac event 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(%)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6.9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=406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6.0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=449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0.599</w:t>
            </w:r>
          </w:p>
        </w:tc>
      </w:tr>
      <w:tr w:rsidR="00B87728">
        <w:trPr>
          <w:trHeight w:val="493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Stroke 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(%)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4.2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=406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1.1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0.005</w:t>
            </w:r>
          </w:p>
        </w:tc>
      </w:tr>
      <w:tr w:rsidR="00B87728">
        <w:trPr>
          <w:trHeight w:val="493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Peripheral artery disease 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(%)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6.4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=406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4.9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=447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0.348</w:t>
            </w:r>
          </w:p>
        </w:tc>
      </w:tr>
      <w:tr w:rsidR="00B87728">
        <w:trPr>
          <w:trHeight w:val="493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Severe diabetic retinopathy 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(%)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33.8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=405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26.5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=449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0.020</w:t>
            </w:r>
          </w:p>
        </w:tc>
      </w:tr>
      <w:tr w:rsidR="00B87728">
        <w:trPr>
          <w:trHeight w:val="493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Diabetic kidney disease 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(%)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23.3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=407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13.7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=446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&lt;0.001</w:t>
            </w:r>
          </w:p>
        </w:tc>
      </w:tr>
      <w:tr w:rsidR="00B87728">
        <w:trPr>
          <w:trHeight w:val="493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</w:pPr>
            <w:r>
              <w:rPr>
                <w:rFonts w:ascii="Arial" w:hAnsi="Arial"/>
                <w:b/>
                <w:bCs/>
                <w:sz w:val="22"/>
                <w:szCs w:val="22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Hypertension</w:t>
            </w:r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(%)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44.6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=406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36.7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0.018</w:t>
            </w:r>
          </w:p>
        </w:tc>
      </w:tr>
      <w:tr w:rsidR="00B87728">
        <w:trPr>
          <w:trHeight w:val="493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ACE inhibitors 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(%)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25.3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=400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18.0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0.010</w:t>
            </w:r>
          </w:p>
        </w:tc>
      </w:tr>
      <w:tr w:rsidR="00B87728">
        <w:trPr>
          <w:trHeight w:val="493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AT1R blockers 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(%)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13.0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=399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11.1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0.390</w:t>
            </w:r>
          </w:p>
        </w:tc>
      </w:tr>
      <w:tr w:rsidR="00B87728">
        <w:trPr>
          <w:trHeight w:val="493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Beta blockers 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(%)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19.0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=400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14.4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0.075</w:t>
            </w:r>
          </w:p>
        </w:tc>
      </w:tr>
      <w:tr w:rsidR="00B87728">
        <w:trPr>
          <w:trHeight w:val="493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</w:pPr>
            <w:r>
              <w:rPr>
                <w:rFonts w:ascii="Arial" w:hAnsi="Arial"/>
                <w:b/>
                <w:bCs/>
                <w:sz w:val="22"/>
                <w:szCs w:val="22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Calcium channel blockers</w:t>
            </w:r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(%)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16.3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=398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8.2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&lt;0.001</w:t>
            </w:r>
          </w:p>
        </w:tc>
      </w:tr>
      <w:tr w:rsidR="00B87728">
        <w:trPr>
          <w:trHeight w:val="493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Any AHT medication 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(%)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43.4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=401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35.8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0.023</w:t>
            </w:r>
          </w:p>
        </w:tc>
      </w:tr>
      <w:tr w:rsidR="00B87728">
        <w:trPr>
          <w:trHeight w:val="493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NSAIDs (low-dose ASA) 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(%)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26.1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=402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21.3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0.100</w:t>
            </w:r>
          </w:p>
        </w:tc>
      </w:tr>
      <w:tr w:rsidR="00B87728">
        <w:trPr>
          <w:trHeight w:val="493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spacing w:line="360" w:lineRule="auto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Lipid-lowering medication 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(%)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27.2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=401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18.5</w:t>
            </w:r>
          </w:p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=449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728" w:rsidRDefault="0024491B">
            <w:pPr>
              <w:pStyle w:val="Leipteksti"/>
              <w:tabs>
                <w:tab w:val="left" w:pos="1440"/>
              </w:tabs>
              <w:suppressAutoHyphens/>
              <w:outlineLvl w:val="0"/>
            </w:pPr>
            <w:r>
              <w:rPr>
                <w:rFonts w:ascii="Arial" w:hAnsi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0.002</w:t>
            </w:r>
          </w:p>
        </w:tc>
      </w:tr>
    </w:tbl>
    <w:p w:rsidR="00B87728" w:rsidRDefault="00B87728">
      <w:pPr>
        <w:pStyle w:val="Oletus"/>
        <w:widowControl w:val="0"/>
        <w:spacing w:before="0" w:after="320" w:line="240" w:lineRule="auto"/>
        <w:ind w:left="108" w:hanging="108"/>
        <w:rPr>
          <w:rFonts w:ascii="Arial" w:eastAsia="Arial" w:hAnsi="Arial" w:cs="Arial"/>
        </w:rPr>
      </w:pPr>
    </w:p>
    <w:p w:rsidR="00B87728" w:rsidRDefault="00B87728">
      <w:pPr>
        <w:pStyle w:val="Oletus"/>
        <w:spacing w:before="0" w:after="320" w:line="360" w:lineRule="auto"/>
        <w:rPr>
          <w:rFonts w:ascii="Arial" w:eastAsia="Arial" w:hAnsi="Arial" w:cs="Arial"/>
        </w:rPr>
      </w:pPr>
    </w:p>
    <w:p w:rsidR="004A1C20" w:rsidRDefault="0024491B">
      <w:pPr>
        <w:pStyle w:val="Oletus"/>
        <w:spacing w:before="0" w:after="320" w:line="360" w:lineRule="auto"/>
        <w:rPr>
          <w:rFonts w:ascii="Arial" w:hAnsi="Arial"/>
        </w:rPr>
      </w:pPr>
      <w:r>
        <w:rPr>
          <w:rFonts w:ascii="Arial" w:hAnsi="Arial"/>
        </w:rPr>
        <w:t>Data are means</w:t>
      </w:r>
      <w:r>
        <w:rPr>
          <w:rFonts w:ascii="Arial Unicode MS" w:hAnsi="Arial Unicode MS"/>
          <w:rtl/>
          <w:lang w:val="ar-SA"/>
        </w:rPr>
        <w:t xml:space="preserve">± </w:t>
      </w:r>
      <w:r>
        <w:rPr>
          <w:rFonts w:ascii="Arial" w:hAnsi="Arial"/>
        </w:rPr>
        <w:t xml:space="preserve">SD, percentages or median (IQR). </w:t>
      </w:r>
      <w:r>
        <w:rPr>
          <w:rFonts w:ascii="Arial" w:hAnsi="Arial"/>
          <w:i/>
          <w:iCs/>
        </w:rPr>
        <w:t>WHR</w:t>
      </w:r>
      <w:r>
        <w:rPr>
          <w:rFonts w:ascii="Arial" w:hAnsi="Arial"/>
        </w:rPr>
        <w:t xml:space="preserve"> waist-hip ratio; </w:t>
      </w:r>
      <w:r>
        <w:rPr>
          <w:rFonts w:ascii="Arial" w:hAnsi="Arial"/>
          <w:i/>
          <w:iCs/>
        </w:rPr>
        <w:t>SBP</w:t>
      </w:r>
      <w:r>
        <w:rPr>
          <w:rFonts w:ascii="Arial" w:hAnsi="Arial"/>
        </w:rPr>
        <w:t xml:space="preserve"> systolic blood pressure; </w:t>
      </w:r>
      <w:r>
        <w:rPr>
          <w:rFonts w:ascii="Arial" w:hAnsi="Arial"/>
          <w:i/>
          <w:iCs/>
        </w:rPr>
        <w:t>DBP</w:t>
      </w:r>
      <w:r>
        <w:rPr>
          <w:rFonts w:ascii="Arial" w:hAnsi="Arial"/>
        </w:rPr>
        <w:t xml:space="preserve"> diastolic blood pressure; </w:t>
      </w:r>
      <w:r>
        <w:rPr>
          <w:rFonts w:ascii="Arial" w:hAnsi="Arial"/>
          <w:i/>
          <w:iCs/>
        </w:rPr>
        <w:t>PP</w:t>
      </w:r>
      <w:r>
        <w:rPr>
          <w:rFonts w:ascii="Arial" w:hAnsi="Arial"/>
        </w:rPr>
        <w:t xml:space="preserve"> pulse pressure; </w:t>
      </w:r>
      <w:r>
        <w:rPr>
          <w:rFonts w:ascii="Arial" w:hAnsi="Arial"/>
          <w:i/>
          <w:iCs/>
        </w:rPr>
        <w:t xml:space="preserve">BAI </w:t>
      </w:r>
      <w:r>
        <w:rPr>
          <w:rFonts w:ascii="Arial" w:hAnsi="Arial"/>
        </w:rPr>
        <w:t xml:space="preserve">body adiposity index. </w:t>
      </w:r>
      <w:r>
        <w:rPr>
          <w:rFonts w:ascii="Arial" w:hAnsi="Arial"/>
          <w:i/>
          <w:iCs/>
        </w:rPr>
        <w:t>ACE</w:t>
      </w:r>
      <w:r>
        <w:rPr>
          <w:rFonts w:ascii="Arial" w:hAnsi="Arial"/>
        </w:rPr>
        <w:t xml:space="preserve"> angiotensin-converting enzyme; </w:t>
      </w:r>
      <w:r>
        <w:rPr>
          <w:rFonts w:ascii="Arial" w:hAnsi="Arial"/>
          <w:i/>
          <w:iCs/>
        </w:rPr>
        <w:t>AT1R</w:t>
      </w:r>
      <w:r>
        <w:rPr>
          <w:rFonts w:ascii="Arial" w:hAnsi="Arial"/>
        </w:rPr>
        <w:t xml:space="preserve"> angiotensin II type 1 receptor; </w:t>
      </w:r>
      <w:r>
        <w:rPr>
          <w:rFonts w:ascii="Arial" w:hAnsi="Arial"/>
          <w:i/>
          <w:iCs/>
        </w:rPr>
        <w:t>AHT</w:t>
      </w:r>
      <w:r>
        <w:rPr>
          <w:rFonts w:ascii="Arial" w:hAnsi="Arial"/>
        </w:rPr>
        <w:t xml:space="preserve"> antihypertensive; </w:t>
      </w:r>
      <w:r>
        <w:rPr>
          <w:rFonts w:ascii="Arial" w:hAnsi="Arial"/>
          <w:i/>
          <w:iCs/>
        </w:rPr>
        <w:t>NSAID</w:t>
      </w:r>
      <w:r>
        <w:rPr>
          <w:rFonts w:ascii="Arial" w:hAnsi="Arial"/>
        </w:rPr>
        <w:t xml:space="preserve"> non-steroidal anti-inflammatory drug; </w:t>
      </w:r>
      <w:r>
        <w:rPr>
          <w:rFonts w:ascii="Arial" w:hAnsi="Arial"/>
          <w:i/>
          <w:iCs/>
        </w:rPr>
        <w:t>ASA</w:t>
      </w:r>
      <w:r>
        <w:rPr>
          <w:rFonts w:ascii="Arial" w:hAnsi="Arial"/>
        </w:rPr>
        <w:t xml:space="preserve"> acetylsalicylic acid</w:t>
      </w:r>
    </w:p>
    <w:p w:rsidR="00B87728" w:rsidRDefault="00B87728">
      <w:pPr>
        <w:pStyle w:val="Oletus"/>
        <w:spacing w:before="0" w:after="320" w:line="360" w:lineRule="auto"/>
      </w:pPr>
    </w:p>
    <w:p w:rsidR="00B87728" w:rsidRDefault="00B87728">
      <w:pPr>
        <w:pStyle w:val="Oletus"/>
        <w:spacing w:before="0" w:after="320" w:line="360" w:lineRule="auto"/>
        <w:rPr>
          <w:rFonts w:ascii="Arial" w:eastAsia="Arial" w:hAnsi="Arial" w:cs="Arial"/>
        </w:rPr>
      </w:pPr>
    </w:p>
    <w:p w:rsidR="00B87728" w:rsidRDefault="00B87728">
      <w:pPr>
        <w:pStyle w:val="Oletus"/>
        <w:spacing w:before="0" w:after="320" w:line="360" w:lineRule="auto"/>
      </w:pPr>
    </w:p>
    <w:sectPr w:rsidR="00B87728">
      <w:head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4491B">
      <w:r>
        <w:separator/>
      </w:r>
    </w:p>
  </w:endnote>
  <w:endnote w:type="continuationSeparator" w:id="0">
    <w:p w:rsidR="00000000" w:rsidRDefault="00244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4491B">
      <w:r>
        <w:separator/>
      </w:r>
    </w:p>
  </w:footnote>
  <w:footnote w:type="continuationSeparator" w:id="0">
    <w:p w:rsidR="00000000" w:rsidRDefault="00244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728" w:rsidRDefault="00B87728">
    <w:pPr>
      <w:pStyle w:val="Yl-jaalaotsak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525C1"/>
    <w:multiLevelType w:val="hybridMultilevel"/>
    <w:tmpl w:val="1A92A9B6"/>
    <w:styleLink w:val="Numeroitu"/>
    <w:lvl w:ilvl="0" w:tplc="14E28A26">
      <w:start w:val="1"/>
      <w:numFmt w:val="decimal"/>
      <w:lvlText w:val="%1."/>
      <w:lvlJc w:val="left"/>
      <w:pPr>
        <w:ind w:left="720" w:hanging="5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B9CB08E">
      <w:start w:val="1"/>
      <w:numFmt w:val="decimal"/>
      <w:lvlText w:val="%2."/>
      <w:lvlJc w:val="left"/>
      <w:pPr>
        <w:ind w:left="940" w:hanging="5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CF60EDA">
      <w:start w:val="1"/>
      <w:numFmt w:val="decimal"/>
      <w:lvlText w:val="%3."/>
      <w:lvlJc w:val="left"/>
      <w:pPr>
        <w:ind w:left="1160" w:hanging="5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6D8C650">
      <w:start w:val="1"/>
      <w:numFmt w:val="decimal"/>
      <w:lvlText w:val="%4."/>
      <w:lvlJc w:val="left"/>
      <w:pPr>
        <w:ind w:left="1380" w:hanging="5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7D497A4">
      <w:start w:val="1"/>
      <w:numFmt w:val="decimal"/>
      <w:lvlText w:val="%5."/>
      <w:lvlJc w:val="left"/>
      <w:pPr>
        <w:ind w:left="1600" w:hanging="5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DC893FE">
      <w:start w:val="1"/>
      <w:numFmt w:val="decimal"/>
      <w:lvlText w:val="%6."/>
      <w:lvlJc w:val="left"/>
      <w:pPr>
        <w:ind w:left="1820" w:hanging="5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130BA7A">
      <w:start w:val="1"/>
      <w:numFmt w:val="decimal"/>
      <w:lvlText w:val="%7."/>
      <w:lvlJc w:val="left"/>
      <w:pPr>
        <w:ind w:left="2040" w:hanging="5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F0E2078">
      <w:start w:val="1"/>
      <w:numFmt w:val="decimal"/>
      <w:lvlText w:val="%8."/>
      <w:lvlJc w:val="left"/>
      <w:pPr>
        <w:ind w:left="2260" w:hanging="5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B445166">
      <w:start w:val="1"/>
      <w:numFmt w:val="decimal"/>
      <w:lvlText w:val="%9."/>
      <w:lvlJc w:val="left"/>
      <w:pPr>
        <w:ind w:left="2480" w:hanging="5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8597564"/>
    <w:multiLevelType w:val="hybridMultilevel"/>
    <w:tmpl w:val="1A92A9B6"/>
    <w:numStyleLink w:val="Numeroitu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IN" w:vendorID="64" w:dllVersion="131078" w:nlCheck="1" w:checkStyle="1"/>
  <w:activeWritingStyle w:appName="MSWord" w:lang="es-ES_tradnl" w:vendorID="64" w:dllVersion="131078" w:nlCheck="1" w:checkStyle="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728"/>
    <w:rsid w:val="0024491B"/>
    <w:rsid w:val="004A1C20"/>
    <w:rsid w:val="00B8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5D878"/>
  <w15:docId w15:val="{E81742F2-9A2E-4316-B97D-5854504B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IN" w:eastAsia="en-I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Yl-jaalaotsakeA">
    <w:name w:val="Ylä- ja alaotsake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Yl-jaalaotsake">
    <w:name w:val="Ylä- ja alaotsak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Oletus">
    <w:name w:val="Oletus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Leipteksti1">
    <w:name w:val="Leipäteksti1"/>
    <w:rPr>
      <w:rFonts w:eastAsia="Times New Roman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Leipteksti">
    <w:name w:val="Leipäteksti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Leipteksti1A">
    <w:name w:val="Leipäteksti1 A"/>
    <w:rPr>
      <w:rFonts w:ascii="Helvetica Neue" w:hAnsi="Helvetica Neue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eroitu">
    <w:name w:val="Numeroitu"/>
    <w:pPr>
      <w:numPr>
        <w:numId w:val="1"/>
      </w:numPr>
    </w:pPr>
  </w:style>
  <w:style w:type="paragraph" w:customStyle="1" w:styleId="Leipteksti1AA">
    <w:name w:val="Leipäteksti1 A A"/>
    <w:rPr>
      <w:rFonts w:ascii="Helvetica Neue" w:hAnsi="Helvetica Neue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BodyText">
    <w:name w:val="Body Text"/>
    <w:rPr>
      <w:rFonts w:ascii="Helvetica Neue" w:hAnsi="Helvetica Neue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396</Words>
  <Characters>2259</Characters>
  <Application>Microsoft Office Word</Application>
  <DocSecurity>0</DocSecurity>
  <Lines>18</Lines>
  <Paragraphs>5</Paragraphs>
  <ScaleCrop>false</ScaleCrop>
  <Company>HP Inc.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Naveenkumar  Balasubramaniyan</cp:lastModifiedBy>
  <cp:revision>3</cp:revision>
  <dcterms:created xsi:type="dcterms:W3CDTF">2025-08-10T01:14:00Z</dcterms:created>
  <dcterms:modified xsi:type="dcterms:W3CDTF">2025-08-10T01:16:00Z</dcterms:modified>
</cp:coreProperties>
</file>