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Association Between TyG-ABSI and Cardiovascular Mortality Based on Fine–Gray Subdistribution Hazard Model</w:t>
      </w:r>
    </w:p>
    <w:tbl>
      <w:tblPr>
        <w:tblStyle w:val="3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2"/>
        <w:gridCol w:w="890"/>
        <w:gridCol w:w="881"/>
        <w:gridCol w:w="1622"/>
        <w:gridCol w:w="1007"/>
        <w:gridCol w:w="1622"/>
        <w:gridCol w:w="1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1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Total Sample Size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Events (n, %)</w:t>
            </w: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Crude HR (95% CI)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Crude P-value</w:t>
            </w: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Adjusted HR (95% CI)</w:t>
            </w:r>
          </w:p>
        </w:tc>
        <w:tc>
          <w:tcPr>
            <w:tcW w:w="11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Adjusted 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1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12,813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545 (4.3%)</w:t>
            </w: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1.72 (1.57–1.88)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&lt; 0.001</w:t>
            </w: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1.18 (1.04–1.35)</w:t>
            </w:r>
          </w:p>
        </w:tc>
        <w:tc>
          <w:tcPr>
            <w:tcW w:w="11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0.013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Adjusted 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gender</w:t>
      </w:r>
      <w:r>
        <w:rPr>
          <w:rFonts w:hint="default" w:ascii="Times New Roman" w:hAnsi="Times New Roman" w:cs="Times New Roman"/>
          <w:sz w:val="24"/>
          <w:szCs w:val="24"/>
        </w:rPr>
        <w:t>, age, race, marital status, education, PIR, smoking, alcohol, cancer, CKD, BMI, energy intake, TC, LDL-C, BUN, UA, Cr, ALT, AST, ALB, TBil, and medication use (antidiabetic, statin, antihypertensive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92254"/>
    <w:rsid w:val="25E45058"/>
    <w:rsid w:val="36995D17"/>
    <w:rsid w:val="73EE7CA9"/>
    <w:rsid w:val="769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2025-08-05T15:50:00Z</dcterms:created>
  <dc:creator>33599</dc:creator>
  <cp:lastModifiedBy>Xin  Zheng</cp:lastModifiedBy>
  <dcterms:modified xsi:type="dcterms:W3CDTF">2025-08-07T08:18:51Z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