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pStyle w:val="Title"/>
        <w:rPr/>
      </w:pPr>
      <w:bookmarkStart w:colFirst="0" w:colLast="0" w:name="_e3jky5lki7z6" w:id="0"/>
      <w:bookmarkEnd w:id="0"/>
      <w:r w:rsidDel="00000000" w:rsidR="00000000" w:rsidRPr="00000000">
        <w:rPr>
          <w:rtl w:val="0"/>
        </w:rPr>
        <w:t xml:space="preserve">Statistical analysis plan: </w:t>
      </w:r>
      <w:r w:rsidDel="00000000" w:rsidR="00000000" w:rsidRPr="00000000">
        <w:rPr>
          <w:rtl w:val="0"/>
        </w:rPr>
        <w:t xml:space="preserve">Emulation</w:t>
      </w:r>
      <w:r w:rsidDel="00000000" w:rsidR="00000000" w:rsidRPr="00000000">
        <w:rPr>
          <w:rtl w:val="0"/>
        </w:rPr>
        <w:t xml:space="preserve"> of a Target Trial in an EMPA-REG inspired population using the Danish registries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The following analysis plan is constructed based on the Reddie protocol and the general analysis plan made for Reddie emulation studies.  The aim is to compare the treatment of SGLT2i with an alternative hypoglycemic treatment without influence on cardiovascular events.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This analysis plan is placed in a repository prior to analyses.  Following analyses any changes compared to the current plan will be registered.</w:t>
      </w:r>
    </w:p>
    <w:p w:rsidR="00000000" w:rsidDel="00000000" w:rsidP="00000000" w:rsidRDefault="00000000" w:rsidRPr="00000000" w14:paraId="00000007">
      <w:pPr>
        <w:pStyle w:val="Heading1"/>
        <w:rPr/>
      </w:pPr>
      <w:bookmarkStart w:colFirst="0" w:colLast="0" w:name="_ozsjzccnsivn" w:id="1"/>
      <w:bookmarkEnd w:id="1"/>
      <w:r w:rsidDel="00000000" w:rsidR="00000000" w:rsidRPr="00000000">
        <w:rPr>
          <w:rtl w:val="0"/>
        </w:rPr>
        <w:t xml:space="preserve">Overall Aim</w:t>
      </w:r>
    </w:p>
    <w:p w:rsidR="00000000" w:rsidDel="00000000" w:rsidP="00000000" w:rsidRDefault="00000000" w:rsidRPr="00000000" w14:paraId="00000008">
      <w:pPr>
        <w:rPr/>
      </w:pPr>
      <w:r w:rsidDel="00000000" w:rsidR="00000000" w:rsidRPr="00000000">
        <w:rPr>
          <w:rtl w:val="0"/>
        </w:rPr>
        <w:t xml:space="preserve">The aim is to identify a population using real world data which resembles as closely as possible a trial population. This is done by replicating in/exclusion c</w:t>
      </w:r>
      <w:r w:rsidDel="00000000" w:rsidR="00000000" w:rsidRPr="00000000">
        <w:rPr>
          <w:rtl w:val="0"/>
        </w:rPr>
        <w:t xml:space="preserve">riteria and then to emulate a hypothetical target trial where everyone adheres to each treatment arm continuously throughout the study period of interest. This is performed using longitudinal targeted maximum likelihood estimation to do complex analysis of the data for inference, which enables us to take post baseline confounders into account.</w:t>
      </w:r>
    </w:p>
    <w:p w:rsidR="00000000" w:rsidDel="00000000" w:rsidP="00000000" w:rsidRDefault="00000000" w:rsidRPr="00000000" w14:paraId="00000009">
      <w:pPr>
        <w:pStyle w:val="Heading1"/>
        <w:rPr/>
      </w:pPr>
      <w:bookmarkStart w:colFirst="0" w:colLast="0" w:name="_f9gdg311fke2" w:id="2"/>
      <w:bookmarkEnd w:id="2"/>
      <w:r w:rsidDel="00000000" w:rsidR="00000000" w:rsidRPr="00000000">
        <w:rPr>
          <w:rtl w:val="0"/>
        </w:rPr>
        <w:t xml:space="preserve">Background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The EMPA-REG trial was a landmark placebo-controlled clinical study that evaluated safety as measured by cardiovascular outcomes in patients with type 2 diabetes who were treated with empagliflozin, an SGLT2 inhibitor, or with placebo. This trial was particularly significant as, having achieved its primary endpoint of non-inferiority, was </w:t>
      </w:r>
      <w:r w:rsidDel="00000000" w:rsidR="00000000" w:rsidRPr="00000000">
        <w:rPr>
          <w:rtl w:val="0"/>
        </w:rPr>
        <w:t xml:space="preserve">among the first to demonstrate the cardiovascular benefits of a diabetes medication</w:t>
      </w:r>
      <w:r w:rsidDel="00000000" w:rsidR="00000000" w:rsidRPr="00000000">
        <w:rPr>
          <w:rtl w:val="0"/>
        </w:rPr>
        <w:t xml:space="preserve">.</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In the following, the key characteristics of EMPA-REG are summarized.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The trial included adults (aged 18 years and older) with type 2 diabetes, established cardiovascular disease, and HbA1c levels between </w:t>
      </w:r>
      <w:r w:rsidDel="00000000" w:rsidR="00000000" w:rsidRPr="00000000">
        <w:rPr>
          <w:rtl w:val="0"/>
        </w:rPr>
        <w:t xml:space="preserve">7% and 10%</w:t>
      </w:r>
      <w:r w:rsidDel="00000000" w:rsidR="00000000" w:rsidRPr="00000000">
        <w:rPr>
          <w:rtl w:val="0"/>
        </w:rPr>
        <w:t xml:space="preserve"> (53-86 mmol/mol) if on stable glucose-lowering therapy or 7% to 9% if not on stable therapy</w:t>
      </w:r>
      <w:r w:rsidDel="00000000" w:rsidR="00000000" w:rsidRPr="00000000">
        <w:rPr>
          <w:rtl w:val="0"/>
        </w:rPr>
        <w:t xml:space="preserve">.</w:t>
      </w:r>
      <w:r w:rsidDel="00000000" w:rsidR="00000000" w:rsidRPr="00000000">
        <w:rPr>
          <w:rtl w:val="0"/>
        </w:rPr>
        <w:t xml:space="preserve"> Further inclusion criteria were a body mass index (BMI) &lt;=45 kg/m2 and an eGFR &gt;=30 </w:t>
      </w:r>
      <w:r w:rsidDel="00000000" w:rsidR="00000000" w:rsidRPr="00000000">
        <w:rPr>
          <w:rtl w:val="0"/>
        </w:rPr>
        <w:t xml:space="preserve">ml/min/body surface area</w:t>
      </w:r>
      <w:r w:rsidDel="00000000" w:rsidR="00000000" w:rsidRPr="00000000">
        <w:rPr>
          <w:rtl w:val="0"/>
        </w:rPr>
        <w:t xml:space="preserve">. </w:t>
      </w:r>
      <w:r w:rsidDel="00000000" w:rsidR="00000000" w:rsidRPr="00000000">
        <w:rPr>
          <w:color w:val="000000"/>
          <w:sz w:val="22"/>
          <w:szCs w:val="22"/>
          <w:rtl w:val="0"/>
        </w:rPr>
        <w:t xml:space="preserve">Exclusion </w:t>
      </w:r>
      <w:r w:rsidDel="00000000" w:rsidR="00000000" w:rsidRPr="00000000">
        <w:rPr>
          <w:rtl w:val="0"/>
        </w:rPr>
        <w:t xml:space="preserve">c</w:t>
      </w:r>
      <w:r w:rsidDel="00000000" w:rsidR="00000000" w:rsidRPr="00000000">
        <w:rPr>
          <w:color w:val="000000"/>
          <w:sz w:val="22"/>
          <w:szCs w:val="22"/>
          <w:rtl w:val="0"/>
        </w:rPr>
        <w:t xml:space="preserve">riteria included</w:t>
      </w:r>
      <w:r w:rsidDel="00000000" w:rsidR="00000000" w:rsidRPr="00000000">
        <w:rPr>
          <w:rtl w:val="0"/>
        </w:rPr>
        <w:t xml:space="preserve"> t</w:t>
      </w:r>
      <w:r w:rsidDel="00000000" w:rsidR="00000000" w:rsidRPr="00000000">
        <w:rPr>
          <w:rtl w:val="0"/>
        </w:rPr>
        <w:t xml:space="preserve">ype 1 diabetes, significant renal impairment, recent history of acute coronary or cerebrovascular events, and heart failure requiring hospitalization. The s</w:t>
      </w:r>
      <w:r w:rsidDel="00000000" w:rsidR="00000000" w:rsidRPr="00000000">
        <w:rPr>
          <w:rtl w:val="0"/>
        </w:rPr>
        <w:t xml:space="preserve">tudy design was a r</w:t>
      </w:r>
      <w:r w:rsidDel="00000000" w:rsidR="00000000" w:rsidRPr="00000000">
        <w:rPr>
          <w:rtl w:val="0"/>
        </w:rPr>
        <w:t xml:space="preserve">andomized, double-blind, placebo-controlled, non-inferiority safety trial. Participants were assigned to receive either empagliflozin 10 mg, empagliflozin 25 mg, or a placebo once daily. </w:t>
      </w:r>
      <w:r w:rsidDel="00000000" w:rsidR="00000000" w:rsidRPr="00000000">
        <w:rPr>
          <w:rtl w:val="0"/>
        </w:rPr>
        <w:t xml:space="preserve">Background glucose-lowering therapy was to remain unchanged for the first 12 weeks after randomization, although intensification was permitted if the patient had a confirmed fasting glucose level of more than 240 mg per deciliter (&gt;13.3 mmol per liter). In cases of medical necessity, dose reduction or discontinuation of background medication could occur. After week 12, investigators were encouraged to adjust glucose-lowering therapy at their discretion to achieve glycemic control according to local guidelines.</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br w:type="textWrapping"/>
        <w:t xml:space="preserve">The study included 7020 patients with a median observation time of 3.1 years. </w:t>
      </w:r>
      <w:r w:rsidDel="00000000" w:rsidR="00000000" w:rsidRPr="00000000">
        <w:rPr>
          <w:rtl w:val="0"/>
        </w:rPr>
        <w:t xml:space="preserve">The trial continued until an adjudicated primary outcome event had occurred in at least 691 patients, the planned duration according to the protocol was 6-8 years.</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e0e0e"/>
        </w:rPr>
      </w:pPr>
      <w:r w:rsidDel="00000000" w:rsidR="00000000" w:rsidRPr="00000000">
        <w:rPr>
          <w:rtl w:val="0"/>
        </w:rPr>
        <w:t xml:space="preserve">Analyses were based on a Cox proportional-hazards model, with study group, age, sex, baseline body-mass index, baseline glycated hemoglobin level, baseline eGFR, and geographic region as factors. </w:t>
      </w:r>
      <w:r w:rsidDel="00000000" w:rsidR="00000000" w:rsidRPr="00000000">
        <w:rPr>
          <w:rtl w:val="0"/>
        </w:rPr>
        <w:t xml:space="preserve">Estimates of cumulative-incidence took competing risk of death from other causes into account, </w:t>
      </w:r>
      <w:r w:rsidDel="00000000" w:rsidR="00000000" w:rsidRPr="00000000">
        <w:rPr>
          <w:rtl w:val="0"/>
        </w:rPr>
        <w:t xml:space="preserve">except for death from any cause, for which Kaplan–Meier estimates were. </w:t>
      </w:r>
      <w:r w:rsidDel="00000000" w:rsidR="00000000" w:rsidRPr="00000000">
        <w:rPr>
          <w:color w:val="0e0e0e"/>
          <w:rtl w:val="0"/>
        </w:rPr>
        <w:t xml:space="preserve">The primary hypothesis was noninferiority for the primary composite outcome (three-point MACE) with empagliflozin (pooled doses of 10 mg and 25 mg) versus placebo, with a noninferiority margin of 1.3 for the hazard ratio (HR). Noninferiority was demonstrated with an upper confidence interval (CI) below 1.3 (HR 0.86, 95% CI: 0.74-0.99), allowing for subsequent superiority analysis.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The p</w:t>
      </w:r>
      <w:r w:rsidDel="00000000" w:rsidR="00000000" w:rsidRPr="00000000">
        <w:rPr>
          <w:rtl w:val="0"/>
        </w:rPr>
        <w:t xml:space="preserve">rimary outcome was a composite outcome including death from cardiovascular causes, nonfatal myocardial infarction, or nonfatal stroke. The secondary outcomes included hospitalization for heart failure, and renal outcomes among others. The cause of death was determined by the principal condition that caused the death, not the immediate mode of death. Clinical Events Committee (CEC) members reviewed all available information and used their clinical expertise to adjudicate the cause of death. All deaths not attributed to the categories of CV death and not attributed to a non-CV cause were presumed CV deaths.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The k</w:t>
      </w:r>
      <w:r w:rsidDel="00000000" w:rsidR="00000000" w:rsidRPr="00000000">
        <w:rPr>
          <w:color w:val="000000"/>
          <w:sz w:val="22"/>
          <w:szCs w:val="22"/>
          <w:rtl w:val="0"/>
        </w:rPr>
        <w:t xml:space="preserve">ey</w:t>
      </w:r>
      <w:r w:rsidDel="00000000" w:rsidR="00000000" w:rsidRPr="00000000">
        <w:rPr>
          <w:rtl w:val="0"/>
        </w:rPr>
        <w:t xml:space="preserve"> finding was that e</w:t>
      </w:r>
      <w:r w:rsidDel="00000000" w:rsidR="00000000" w:rsidRPr="00000000">
        <w:rPr>
          <w:rtl w:val="0"/>
        </w:rPr>
        <w:t xml:space="preserve">mpagliflozin significantly reduced the rate of the primary composite cardiovascular outcome compared to placebo </w:t>
      </w:r>
      <w:r w:rsidDel="00000000" w:rsidR="00000000" w:rsidRPr="00000000">
        <w:rPr>
          <w:rtl w:val="0"/>
        </w:rPr>
        <w:t xml:space="preserve">demonstrating non-inferiority and superiority. Reduction in hospitalization for heart failure and lower rates of all-cause mortality were also observed. The benefits were apparent irrespective of baseline HbA1c, medication regimen, or the presence of kidney disease.</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pStyle w:val="Heading2"/>
        <w:rPr/>
      </w:pPr>
      <w:bookmarkStart w:colFirst="0" w:colLast="0" w:name="_ry9156urpr2o" w:id="3"/>
      <w:bookmarkEnd w:id="3"/>
      <w:r w:rsidDel="00000000" w:rsidR="00000000" w:rsidRPr="00000000">
        <w:rPr>
          <w:rtl w:val="0"/>
        </w:rPr>
        <w:t xml:space="preserve">Research question</w:t>
      </w:r>
    </w:p>
    <w:p w:rsidR="00000000" w:rsidDel="00000000" w:rsidP="00000000" w:rsidRDefault="00000000" w:rsidRPr="00000000" w14:paraId="00000019">
      <w:pPr>
        <w:rPr/>
      </w:pPr>
      <w:r w:rsidDel="00000000" w:rsidR="00000000" w:rsidRPr="00000000">
        <w:rPr>
          <w:rtl w:val="0"/>
        </w:rPr>
        <w:t xml:space="preserve">The question of interest in this study is to compare SQLT2 to an active comparator on cardiovascular disease (CVD) outcomes in a population resembling the trial patients in EMPA-REG, as specified under the study population. We want to compare the risk of CVD outcomes at 1-5 years of follow-up, employing different treatment regimes. </w:t>
      </w:r>
    </w:p>
    <w:p w:rsidR="00000000" w:rsidDel="00000000" w:rsidP="00000000" w:rsidRDefault="00000000" w:rsidRPr="00000000" w14:paraId="0000001A">
      <w:pPr>
        <w:pStyle w:val="Heading1"/>
        <w:rPr/>
      </w:pPr>
      <w:bookmarkStart w:colFirst="0" w:colLast="0" w:name="_gu63rd4xgc4l" w:id="4"/>
      <w:bookmarkEnd w:id="4"/>
      <w:r w:rsidDel="00000000" w:rsidR="00000000" w:rsidRPr="00000000">
        <w:rPr>
          <w:rtl w:val="0"/>
        </w:rPr>
        <w:t xml:space="preserve">Observed data</w:t>
      </w:r>
    </w:p>
    <w:p w:rsidR="00000000" w:rsidDel="00000000" w:rsidP="00000000" w:rsidRDefault="00000000" w:rsidRPr="00000000" w14:paraId="0000001B">
      <w:pPr>
        <w:rPr/>
      </w:pPr>
      <w:r w:rsidDel="00000000" w:rsidR="00000000" w:rsidRPr="00000000">
        <w:rPr>
          <w:rtl w:val="0"/>
        </w:rPr>
        <w:t xml:space="preserve">In this section, the available data is presented on a level of granularity that would enable other researchers to reproduce the data management necessary for carrying out this project. </w:t>
      </w:r>
    </w:p>
    <w:p w:rsidR="00000000" w:rsidDel="00000000" w:rsidP="00000000" w:rsidRDefault="00000000" w:rsidRPr="00000000" w14:paraId="0000001C">
      <w:pPr>
        <w:pStyle w:val="Heading2"/>
        <w:rPr/>
      </w:pPr>
      <w:bookmarkStart w:colFirst="0" w:colLast="0" w:name="_p6e8znb52yee" w:id="5"/>
      <w:bookmarkEnd w:id="5"/>
      <w:r w:rsidDel="00000000" w:rsidR="00000000" w:rsidRPr="00000000">
        <w:rPr>
          <w:rtl w:val="0"/>
        </w:rPr>
        <w:t xml:space="preserve">Study population </w:t>
      </w:r>
    </w:p>
    <w:p w:rsidR="00000000" w:rsidDel="00000000" w:rsidP="00000000" w:rsidRDefault="00000000" w:rsidRPr="00000000" w14:paraId="0000001D">
      <w:pPr>
        <w:rPr/>
      </w:pPr>
      <w:r w:rsidDel="00000000" w:rsidR="00000000" w:rsidRPr="00000000">
        <w:rPr>
          <w:rtl w:val="0"/>
        </w:rPr>
        <w:t xml:space="preserve">The in- and exclusion criteria for the trial and the emulation depend on the date on which they are evaluated. The recruitment process for the two study forms is different. In the real trial, the criteria are likely only evaluated once per patient, but the same patient may be evaluated multiple times. For the emulated trial, we can scan the registers and basically evaluate the criteria on a day-to-day basis. For the emulated trial we define time zero (index date) as the first date the patient redeems one of the pharmacotherapies of interest and fulfills the inclusion and exclusion criteria. </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b w:val="1"/>
        </w:rPr>
      </w:pPr>
      <w:r w:rsidDel="00000000" w:rsidR="00000000" w:rsidRPr="00000000">
        <w:rPr>
          <w:b w:val="1"/>
          <w:rtl w:val="0"/>
        </w:rPr>
        <w:t xml:space="preserve">Inclusion criteria</w:t>
      </w:r>
    </w:p>
    <w:tbl>
      <w:tblPr>
        <w:tblStyle w:val="Table1"/>
        <w:tblW w:w="88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17.5"/>
        <w:gridCol w:w="4417.5"/>
        <w:tblGridChange w:id="0">
          <w:tblGrid>
            <w:gridCol w:w="4417.5"/>
            <w:gridCol w:w="441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pPr>
            <w:r w:rsidDel="00000000" w:rsidR="00000000" w:rsidRPr="00000000">
              <w:rPr>
                <w:rtl w:val="0"/>
              </w:rPr>
              <w:t xml:space="preserve">Trial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pPr>
            <w:r w:rsidDel="00000000" w:rsidR="00000000" w:rsidRPr="00000000">
              <w:rPr>
                <w:rtl w:val="0"/>
              </w:rPr>
              <w:t xml:space="preserve">Emulation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rPr/>
            </w:pPr>
            <w:r w:rsidDel="00000000" w:rsidR="00000000" w:rsidRPr="00000000">
              <w:rPr>
                <w:rtl w:val="0"/>
              </w:rPr>
              <w:t xml:space="preserve">Men or women with type 2 diabetes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pPr>
            <w:r w:rsidDel="00000000" w:rsidR="00000000" w:rsidRPr="00000000">
              <w:rPr>
                <w:rtl w:val="0"/>
              </w:rPr>
              <w:t xml:space="preserve">Patients &gt;= 50 years of age are considered to have type 2 diabetes if treated with an ATC A10 code other than insulin and not prior use of insulin.  Patients with a diagnosis of heart failure using only SGLT2 and patients receiving only GLP-1 are not considered DM2 patients.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rPr/>
            </w:pPr>
            <w:r w:rsidDel="00000000" w:rsidR="00000000" w:rsidRPr="00000000">
              <w:rPr>
                <w:rFonts w:ascii="Arial Unicode MS" w:cs="Arial Unicode MS" w:eastAsia="Arial Unicode MS" w:hAnsi="Arial Unicode MS"/>
                <w:rtl w:val="0"/>
              </w:rPr>
              <w:t xml:space="preserve">Age ≥ 18 years at screening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rPr/>
            </w:pPr>
            <w:r w:rsidDel="00000000" w:rsidR="00000000" w:rsidRPr="00000000">
              <w:rPr>
                <w:rFonts w:ascii="Arial Unicode MS" w:cs="Arial Unicode MS" w:eastAsia="Arial Unicode MS" w:hAnsi="Arial Unicode MS"/>
                <w:rtl w:val="0"/>
              </w:rPr>
              <w:t xml:space="preserve">Age ≥ 50 and &lt;90 years at the treatment of interest initiation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Established cardiovascular disease, defined as:</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History of myocardial infarction &gt;2 months prior to informed consent</w:t>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Evidence of multi-vessel coronary artery disease (further specification in the supplementary)</w:t>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Evidence of single-vessel coronary artery disease, ≥50% luminal narrowing during angiography (coronary or multi-slice computed tomography) not subsequently successfully revascularized (further specification in the supplementary)</w:t>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History of stroke (ischemic or hemorrhagic) &gt;2 months prior to consent  </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Occlusive peripheral artery disease documented by any of the following:  </w:t>
            </w:r>
          </w:p>
          <w:p w:rsidR="00000000" w:rsidDel="00000000" w:rsidP="00000000" w:rsidRDefault="00000000" w:rsidRPr="00000000" w14:paraId="00000031">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Limb angioplasty, stenting, or bypass surgery</w:t>
            </w:r>
          </w:p>
          <w:p w:rsidR="00000000" w:rsidDel="00000000" w:rsidP="00000000" w:rsidRDefault="00000000" w:rsidRPr="00000000" w14:paraId="00000032">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Limb or foot amputation due to circulatory insufficiency </w:t>
            </w:r>
          </w:p>
          <w:p w:rsidR="00000000" w:rsidDel="00000000" w:rsidP="00000000" w:rsidRDefault="00000000" w:rsidRPr="00000000" w14:paraId="00000033">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Evidence of significant peripheral artery stenosis (&gt;50% on angiography, or &gt;50% or hemodynamically significant via non-invasive methods in 1 limb</w:t>
            </w:r>
          </w:p>
          <w:p w:rsidR="00000000" w:rsidDel="00000000" w:rsidP="00000000" w:rsidRDefault="00000000" w:rsidRPr="00000000" w14:paraId="00000034">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Fonts w:ascii="Arial Unicode MS" w:cs="Arial Unicode MS" w:eastAsia="Arial Unicode MS" w:hAnsi="Arial Unicode MS"/>
                <w:rtl w:val="0"/>
              </w:rPr>
              <w:t xml:space="preserve"> Ankle-brachial index &lt;0.9 in ≥1 ankle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pPr>
            <w:r w:rsidDel="00000000" w:rsidR="00000000" w:rsidRPr="00000000">
              <w:rPr>
                <w:rtl w:val="0"/>
              </w:rPr>
              <w:t xml:space="preserve">Defined according to ICD-10 codes in Table 2 1-5,7, a prevalent disease defined by looking 20 years back from baseline.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No glucose-lowering agents for at least 12 weeks before randomization and had a glycated hemoglobin level of at least 7.0% and no more than 9.0% or had received stable glucose-lowering therapy for at least 12 weeks before randomization and had a glycated hemoglobin level of at least 7.0% and no more than 10.0%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pPr>
            <w:r w:rsidDel="00000000" w:rsidR="00000000" w:rsidRPr="00000000">
              <w:rPr>
                <w:rtl w:val="0"/>
              </w:rPr>
              <w:t xml:space="preserve">HbA1c &gt;= 53 mmol/mol at the latest measurement before baseline, max 1 year before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rPr/>
            </w:pPr>
            <w:r w:rsidDel="00000000" w:rsidR="00000000" w:rsidRPr="00000000">
              <w:rPr>
                <w:rtl w:val="0"/>
              </w:rPr>
              <w:t xml:space="preserve">eGFR &gt;30 ml/min/173m2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pPr>
            <w:r w:rsidDel="00000000" w:rsidR="00000000" w:rsidRPr="00000000">
              <w:rPr>
                <w:rtl w:val="0"/>
              </w:rPr>
              <w:t xml:space="preserve">Not enforced in the main analysis, but investigated in a supplementary analysis.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rPr/>
            </w:pPr>
            <w:r w:rsidDel="00000000" w:rsidR="00000000" w:rsidRPr="00000000">
              <w:rPr>
                <w:rFonts w:ascii="Arial Unicode MS" w:cs="Arial Unicode MS" w:eastAsia="Arial Unicode MS" w:hAnsi="Arial Unicode MS"/>
                <w:rtl w:val="0"/>
              </w:rPr>
              <w:t xml:space="preserve">BMI ≤45 kg/m2 (Body Mass Index)</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pPr>
            <w:r w:rsidDel="00000000" w:rsidR="00000000" w:rsidRPr="00000000">
              <w:rPr>
                <w:rtl w:val="0"/>
              </w:rPr>
              <w:t xml:space="preserve">not applicable*</w:t>
            </w:r>
          </w:p>
        </w:tc>
      </w:tr>
    </w:tbl>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03F">
      <w:pPr>
        <w:rPr>
          <w:b w:val="1"/>
        </w:rPr>
      </w:pPr>
      <w:r w:rsidDel="00000000" w:rsidR="00000000" w:rsidRPr="00000000">
        <w:rPr>
          <w:b w:val="1"/>
          <w:rtl w:val="0"/>
        </w:rPr>
        <w:t xml:space="preserve">Exclusion criteria </w:t>
      </w:r>
      <w:r w:rsidDel="00000000" w:rsidR="00000000" w:rsidRPr="00000000">
        <w:rPr>
          <w:rtl w:val="0"/>
        </w:rPr>
      </w:r>
    </w:p>
    <w:tbl>
      <w:tblPr>
        <w:tblStyle w:val="Table2"/>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00"/>
        <w:gridCol w:w="4500"/>
        <w:tblGridChange w:id="0">
          <w:tblGrid>
            <w:gridCol w:w="4500"/>
            <w:gridCol w:w="45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pPr>
            <w:r w:rsidDel="00000000" w:rsidR="00000000" w:rsidRPr="00000000">
              <w:rPr>
                <w:rtl w:val="0"/>
              </w:rPr>
              <w:t xml:space="preserve">Trial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pPr>
            <w:r w:rsidDel="00000000" w:rsidR="00000000" w:rsidRPr="00000000">
              <w:rPr>
                <w:rtl w:val="0"/>
              </w:rPr>
              <w:t xml:space="preserve">Emulation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pPr>
            <w:r w:rsidDel="00000000" w:rsidR="00000000" w:rsidRPr="00000000">
              <w:rPr>
                <w:rtl w:val="0"/>
              </w:rPr>
              <w:t xml:space="preserve">Uncontrolled hyperglycemia with glucose &gt;240 mg/dL after an overnight fast during placebo run-in and confirmed by a second measurement (not on the same day)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pPr>
            <w:r w:rsidDel="00000000" w:rsidR="00000000" w:rsidRPr="00000000">
              <w:rPr>
                <w:rtl w:val="0"/>
              </w:rPr>
              <w:t xml:space="preserve">Not applicable*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pPr>
            <w:r w:rsidDel="00000000" w:rsidR="00000000" w:rsidRPr="00000000">
              <w:rPr>
                <w:rtl w:val="0"/>
              </w:rPr>
              <w:t xml:space="preserve">Indication of liver disease, defined by serum levels of alanine amininotransferase, aspartate aminotransferase, or alkaline phosphatase above 3 x upper limit of normal during screening or run-in phase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pPr>
            <w:r w:rsidDel="00000000" w:rsidR="00000000" w:rsidRPr="00000000">
              <w:rPr>
                <w:rtl w:val="0"/>
              </w:rPr>
              <w:t xml:space="preserve">K721.10 at 0-10 years prior to baseline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pPr>
            <w:r w:rsidDel="00000000" w:rsidR="00000000" w:rsidRPr="00000000">
              <w:rPr>
                <w:rtl w:val="0"/>
              </w:rPr>
              <w:t xml:space="preserve">Planned cardiac surgery or angioplasty within 3 months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pPr>
            <w:r w:rsidDel="00000000" w:rsidR="00000000" w:rsidRPr="00000000">
              <w:rPr>
                <w:rtl w:val="0"/>
              </w:rPr>
              <w:t xml:space="preserve">Not applicable*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pPr>
            <w:r w:rsidDel="00000000" w:rsidR="00000000" w:rsidRPr="00000000">
              <w:rPr>
                <w:rtl w:val="0"/>
              </w:rPr>
              <w:t xml:space="preserve">Estimated glomerular filtration rate &lt;30 ml/min/1.73 m2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pPr>
            <w:r w:rsidDel="00000000" w:rsidR="00000000" w:rsidRPr="00000000">
              <w:rPr>
                <w:rtl w:val="0"/>
              </w:rPr>
              <w:t xml:space="preserve">Excluded if eGFR was &lt;30 ml/min/1.73 m2 within 1 year of baseline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pPr>
            <w:r w:rsidDel="00000000" w:rsidR="00000000" w:rsidRPr="00000000">
              <w:rPr>
                <w:rtl w:val="0"/>
              </w:rPr>
              <w:t xml:space="preserve">Bariatric surgery within the past two years and other gastrointestinal surgeries that induce chronic malabsorption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pPr>
            <w:r w:rsidDel="00000000" w:rsidR="00000000" w:rsidRPr="00000000">
              <w:rPr>
                <w:rtl w:val="0"/>
              </w:rPr>
              <w:t xml:space="preserve">Excluded if procedure codes are present 2 years prior to baseline: codes KJDF10,11,20,21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pPr>
            <w:r w:rsidDel="00000000" w:rsidR="00000000" w:rsidRPr="00000000">
              <w:rPr>
                <w:rtl w:val="0"/>
              </w:rPr>
              <w:t xml:space="preserve">Blood dyscrasias or any disorders causing hemolysis or unstable red blood cells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pPr>
            <w:r w:rsidDel="00000000" w:rsidR="00000000" w:rsidRPr="00000000">
              <w:rPr>
                <w:rtl w:val="0"/>
              </w:rPr>
              <w:t xml:space="preserve">Excluded leukemia, Myelodysplastic syndrome (DD46) 20 years prior to baseline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pPr>
            <w:r w:rsidDel="00000000" w:rsidR="00000000" w:rsidRPr="00000000">
              <w:rPr>
                <w:rtl w:val="0"/>
              </w:rPr>
              <w:t xml:space="preserve">Medical history of cancer (except for basal cell carcinoma) and/or treatment for cancer within the last 5 years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pPr>
            <w:r w:rsidDel="00000000" w:rsidR="00000000" w:rsidRPr="00000000">
              <w:rPr>
                <w:rtl w:val="0"/>
              </w:rPr>
              <w:t xml:space="preserve">Defined from all cancer diagnosis codes, excluding non-melanoma skin cancer, C00-C97, </w:t>
            </w:r>
            <w:r w:rsidDel="00000000" w:rsidR="00000000" w:rsidRPr="00000000">
              <w:rPr>
                <w:rtl w:val="0"/>
              </w:rPr>
              <w:t xml:space="preserve">0-5 y</w:t>
            </w:r>
            <w:r w:rsidDel="00000000" w:rsidR="00000000" w:rsidRPr="00000000">
              <w:rPr>
                <w:rtl w:val="0"/>
              </w:rPr>
              <w:t xml:space="preserve">ears prior to baseline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pPr>
            <w:r w:rsidDel="00000000" w:rsidR="00000000" w:rsidRPr="00000000">
              <w:rPr>
                <w:rtl w:val="0"/>
              </w:rPr>
              <w:t xml:space="preserve">Contraindications to background therapy according to the local label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pPr>
            <w:r w:rsidDel="00000000" w:rsidR="00000000" w:rsidRPr="00000000">
              <w:rPr>
                <w:rtl w:val="0"/>
              </w:rPr>
              <w:t xml:space="preserve">Not relevant</w:t>
            </w:r>
            <w:r w:rsidDel="00000000" w:rsidR="00000000" w:rsidRPr="00000000">
              <w:rPr>
                <w:rtl w:val="0"/>
              </w:rPr>
              <w:t xml:space="preserv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pPr>
            <w:r w:rsidDel="00000000" w:rsidR="00000000" w:rsidRPr="00000000">
              <w:rPr>
                <w:rtl w:val="0"/>
              </w:rPr>
              <w:t xml:space="preserve">Treatment with anti-obesity drugs 3 months prior to informed consent or any other treatment at time of screening leading to unstable body weight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pPr>
            <w:r w:rsidDel="00000000" w:rsidR="00000000" w:rsidRPr="00000000">
              <w:rPr>
                <w:rtl w:val="0"/>
              </w:rPr>
              <w:t xml:space="preserve">Any redemption of a GLP1-RA 90 days before index date, defined by ATC codes in Table 3.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pPr>
            <w:r w:rsidDel="00000000" w:rsidR="00000000" w:rsidRPr="00000000">
              <w:rPr>
                <w:rtl w:val="0"/>
              </w:rPr>
              <w:t xml:space="preserve">Treatment with systemic steroids at the time of informed consent or change in dosage of thyroid hormones within 6 weeks prior to informed consent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pPr>
            <w:r w:rsidDel="00000000" w:rsidR="00000000" w:rsidRPr="00000000">
              <w:rPr>
                <w:rtl w:val="0"/>
              </w:rPr>
              <w:t xml:space="preserve">Any prescription of systemic steroids defined by ATC code H02 within 180 days prior to index date.</w:t>
            </w:r>
          </w:p>
          <w:p w:rsidR="00000000" w:rsidDel="00000000" w:rsidP="00000000" w:rsidRDefault="00000000" w:rsidRPr="00000000" w14:paraId="00000056">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pPr>
            <w:r w:rsidDel="00000000" w:rsidR="00000000" w:rsidRPr="00000000">
              <w:rPr>
                <w:rtl w:val="0"/>
              </w:rPr>
              <w:t xml:space="preserve">Any uncontrolled endocrine disorder except type 2 diabetes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rFonts w:ascii="Roboto" w:cs="Roboto" w:eastAsia="Roboto" w:hAnsi="Roboto"/>
                <w:color w:val="1f1f1f"/>
                <w:sz w:val="21"/>
                <w:szCs w:val="21"/>
              </w:rPr>
            </w:pPr>
            <w:r w:rsidDel="00000000" w:rsidR="00000000" w:rsidRPr="00000000">
              <w:rPr>
                <w:rFonts w:ascii="Roboto" w:cs="Roboto" w:eastAsia="Roboto" w:hAnsi="Roboto"/>
                <w:color w:val="1f1f1f"/>
                <w:sz w:val="21"/>
                <w:szCs w:val="21"/>
                <w:rtl w:val="0"/>
              </w:rPr>
              <w:t xml:space="preserve">Thyroid storm (DE055)</w:t>
            </w:r>
          </w:p>
          <w:p w:rsidR="00000000" w:rsidDel="00000000" w:rsidP="00000000" w:rsidRDefault="00000000" w:rsidRPr="00000000" w14:paraId="00000059">
            <w:pPr>
              <w:widowControl w:val="0"/>
              <w:spacing w:line="240" w:lineRule="auto"/>
              <w:rPr>
                <w:rFonts w:ascii="Roboto" w:cs="Roboto" w:eastAsia="Roboto" w:hAnsi="Roboto"/>
                <w:color w:val="1f1f1f"/>
                <w:sz w:val="21"/>
                <w:szCs w:val="21"/>
              </w:rPr>
            </w:pPr>
            <w:r w:rsidDel="00000000" w:rsidR="00000000" w:rsidRPr="00000000">
              <w:rPr>
                <w:rFonts w:ascii="Roboto" w:cs="Roboto" w:eastAsia="Roboto" w:hAnsi="Roboto"/>
                <w:color w:val="1f1f1f"/>
                <w:sz w:val="21"/>
                <w:szCs w:val="21"/>
                <w:rtl w:val="0"/>
              </w:rPr>
              <w:t xml:space="preserve">Myxodema koma (DE035)</w:t>
            </w:r>
          </w:p>
          <w:p w:rsidR="00000000" w:rsidDel="00000000" w:rsidP="00000000" w:rsidRDefault="00000000" w:rsidRPr="00000000" w14:paraId="0000005A">
            <w:pPr>
              <w:widowControl w:val="0"/>
              <w:spacing w:line="240" w:lineRule="auto"/>
              <w:rPr>
                <w:rFonts w:ascii="Roboto" w:cs="Roboto" w:eastAsia="Roboto" w:hAnsi="Roboto"/>
                <w:color w:val="1f1f1f"/>
                <w:sz w:val="21"/>
                <w:szCs w:val="21"/>
              </w:rPr>
            </w:pPr>
            <w:r w:rsidDel="00000000" w:rsidR="00000000" w:rsidRPr="00000000">
              <w:rPr>
                <w:rFonts w:ascii="Roboto" w:cs="Roboto" w:eastAsia="Roboto" w:hAnsi="Roboto"/>
                <w:color w:val="1f1f1f"/>
                <w:sz w:val="21"/>
                <w:szCs w:val="21"/>
                <w:rtl w:val="0"/>
              </w:rPr>
              <w:t xml:space="preserve">hypercalcemic crisis (not possible) </w:t>
            </w:r>
          </w:p>
          <w:p w:rsidR="00000000" w:rsidDel="00000000" w:rsidP="00000000" w:rsidRDefault="00000000" w:rsidRPr="00000000" w14:paraId="0000005B">
            <w:pPr>
              <w:widowControl w:val="0"/>
              <w:spacing w:line="240" w:lineRule="auto"/>
              <w:rPr>
                <w:rFonts w:ascii="Roboto" w:cs="Roboto" w:eastAsia="Roboto" w:hAnsi="Roboto"/>
                <w:color w:val="1f1f1f"/>
                <w:sz w:val="21"/>
                <w:szCs w:val="21"/>
              </w:rPr>
            </w:pPr>
            <w:r w:rsidDel="00000000" w:rsidR="00000000" w:rsidRPr="00000000">
              <w:rPr>
                <w:rFonts w:ascii="Roboto" w:cs="Roboto" w:eastAsia="Roboto" w:hAnsi="Roboto"/>
                <w:color w:val="1f1f1f"/>
                <w:sz w:val="21"/>
                <w:szCs w:val="21"/>
                <w:rtl w:val="0"/>
              </w:rPr>
              <w:t xml:space="preserve">addisonian crisis (DE272)</w:t>
            </w:r>
          </w:p>
          <w:p w:rsidR="00000000" w:rsidDel="00000000" w:rsidP="00000000" w:rsidRDefault="00000000" w:rsidRPr="00000000" w14:paraId="0000005C">
            <w:pPr>
              <w:widowControl w:val="0"/>
              <w:spacing w:line="240" w:lineRule="auto"/>
              <w:rPr>
                <w:rFonts w:ascii="Roboto" w:cs="Roboto" w:eastAsia="Roboto" w:hAnsi="Roboto"/>
                <w:color w:val="1f1f1f"/>
                <w:sz w:val="21"/>
                <w:szCs w:val="21"/>
              </w:rPr>
            </w:pPr>
            <w:r w:rsidDel="00000000" w:rsidR="00000000" w:rsidRPr="00000000">
              <w:rPr>
                <w:rFonts w:ascii="Roboto" w:cs="Roboto" w:eastAsia="Roboto" w:hAnsi="Roboto"/>
                <w:color w:val="1f1f1f"/>
                <w:sz w:val="21"/>
                <w:szCs w:val="21"/>
                <w:rtl w:val="0"/>
              </w:rPr>
              <w:t xml:space="preserve">morbus cushing (DE240, DE243)</w:t>
            </w:r>
          </w:p>
          <w:p w:rsidR="00000000" w:rsidDel="00000000" w:rsidP="00000000" w:rsidRDefault="00000000" w:rsidRPr="00000000" w14:paraId="0000005D">
            <w:pPr>
              <w:widowControl w:val="0"/>
              <w:spacing w:line="240" w:lineRule="auto"/>
              <w:rPr>
                <w:rFonts w:ascii="Roboto" w:cs="Roboto" w:eastAsia="Roboto" w:hAnsi="Roboto"/>
                <w:color w:val="1f1f1f"/>
                <w:sz w:val="21"/>
                <w:szCs w:val="21"/>
              </w:rPr>
            </w:pPr>
            <w:r w:rsidDel="00000000" w:rsidR="00000000" w:rsidRPr="00000000">
              <w:rPr>
                <w:rFonts w:ascii="Roboto" w:cs="Roboto" w:eastAsia="Roboto" w:hAnsi="Roboto"/>
                <w:color w:val="1f1f1f"/>
                <w:sz w:val="21"/>
                <w:szCs w:val="21"/>
                <w:rtl w:val="0"/>
              </w:rPr>
              <w:t xml:space="preserve">Pheochromocytoma (DM350)</w:t>
            </w:r>
          </w:p>
          <w:p w:rsidR="00000000" w:rsidDel="00000000" w:rsidP="00000000" w:rsidRDefault="00000000" w:rsidRPr="00000000" w14:paraId="0000005E">
            <w:pPr>
              <w:widowControl w:val="0"/>
              <w:spacing w:line="240" w:lineRule="auto"/>
              <w:rPr>
                <w:rFonts w:ascii="Roboto" w:cs="Roboto" w:eastAsia="Roboto" w:hAnsi="Roboto"/>
                <w:color w:val="1f1f1f"/>
                <w:sz w:val="21"/>
                <w:szCs w:val="21"/>
              </w:rPr>
            </w:pPr>
            <w:r w:rsidDel="00000000" w:rsidR="00000000" w:rsidRPr="00000000">
              <w:rPr>
                <w:rFonts w:ascii="Roboto" w:cs="Roboto" w:eastAsia="Roboto" w:hAnsi="Roboto"/>
                <w:color w:val="1f1f1f"/>
                <w:sz w:val="21"/>
                <w:szCs w:val="21"/>
                <w:rtl w:val="0"/>
              </w:rPr>
              <w:t xml:space="preserve">Sympathetic paraganglioma (DE275)</w:t>
            </w:r>
          </w:p>
          <w:p w:rsidR="00000000" w:rsidDel="00000000" w:rsidP="00000000" w:rsidRDefault="00000000" w:rsidRPr="00000000" w14:paraId="0000005F">
            <w:pPr>
              <w:widowControl w:val="0"/>
              <w:spacing w:line="240" w:lineRule="auto"/>
              <w:rPr>
                <w:rFonts w:ascii="Roboto" w:cs="Roboto" w:eastAsia="Roboto" w:hAnsi="Roboto"/>
                <w:color w:val="1f1f1f"/>
                <w:sz w:val="21"/>
                <w:szCs w:val="21"/>
              </w:rPr>
            </w:pPr>
            <w:r w:rsidDel="00000000" w:rsidR="00000000" w:rsidRPr="00000000">
              <w:rPr>
                <w:rFonts w:ascii="Roboto" w:cs="Roboto" w:eastAsia="Roboto" w:hAnsi="Roboto"/>
                <w:color w:val="1f1f1f"/>
                <w:sz w:val="21"/>
                <w:szCs w:val="21"/>
                <w:rtl w:val="0"/>
              </w:rPr>
              <w:t xml:space="preserve">primary hyperaldosteronism (DE260)</w:t>
            </w:r>
          </w:p>
          <w:p w:rsidR="00000000" w:rsidDel="00000000" w:rsidP="00000000" w:rsidRDefault="00000000" w:rsidRPr="00000000" w14:paraId="00000060">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pPr>
            <w:r w:rsidDel="00000000" w:rsidR="00000000" w:rsidRPr="00000000">
              <w:rPr>
                <w:rFonts w:ascii="Arial Unicode MS" w:cs="Arial Unicode MS" w:eastAsia="Arial Unicode MS" w:hAnsi="Arial Unicode MS"/>
                <w:rtl w:val="0"/>
              </w:rPr>
              <w:t xml:space="preserve">Pre-menopausal women (last menstruation ≤1 year prior to informed consent) who were nursing, pregnant, or of child-bearing potential and were not practicing an acceptable method of birth control, or did not plan to continue using this method throughout the study, or did not agree to submit to periodic pregnancy testing during the trial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pPr>
            <w:r w:rsidDel="00000000" w:rsidR="00000000" w:rsidRPr="00000000">
              <w:rPr>
                <w:rtl w:val="0"/>
              </w:rPr>
              <w:t xml:space="preserve">Not applicable*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pPr>
            <w:r w:rsidDel="00000000" w:rsidR="00000000" w:rsidRPr="00000000">
              <w:rPr>
                <w:rtl w:val="0"/>
              </w:rPr>
              <w:t xml:space="preserve">Alcohol or drug abuse within 3 months of informed consent that would interfere with trial participation or any ongoing condition leading to decreased compliance with study procedures or study drug intake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pPr>
            <w:r w:rsidDel="00000000" w:rsidR="00000000" w:rsidRPr="00000000">
              <w:rPr>
                <w:rtl w:val="0"/>
              </w:rPr>
              <w:t xml:space="preserve">Not applicable*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pPr>
            <w:r w:rsidDel="00000000" w:rsidR="00000000" w:rsidRPr="00000000">
              <w:rPr>
                <w:rtl w:val="0"/>
              </w:rPr>
              <w:t xml:space="preserve">Intake of an investigational drug in another trial within 30 days prior to intake of study medication in this trial or participating in another trial involving an investigational drug and/or follow-up</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pPr>
            <w:r w:rsidDel="00000000" w:rsidR="00000000" w:rsidRPr="00000000">
              <w:rPr>
                <w:rtl w:val="0"/>
              </w:rPr>
              <w:t xml:space="preserve">Not applicable*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rPr/>
            </w:pPr>
            <w:r w:rsidDel="00000000" w:rsidR="00000000" w:rsidRPr="00000000">
              <w:rPr>
                <w:rtl w:val="0"/>
              </w:rPr>
              <w:t xml:space="preserve">Any clinical condition that would jeopardize patient safety while participating in this clinical trial (in Canada, this included current genito-urinal infection or genito-urinal infection within 2 weeks prior to informed consent)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pPr>
            <w:r w:rsidDel="00000000" w:rsidR="00000000" w:rsidRPr="00000000">
              <w:rPr>
                <w:rtl w:val="0"/>
              </w:rPr>
              <w:t xml:space="preserve">Not applicable*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rPr/>
            </w:pPr>
            <w:r w:rsidDel="00000000" w:rsidR="00000000" w:rsidRPr="00000000">
              <w:rPr>
                <w:rtl w:val="0"/>
              </w:rPr>
              <w:t xml:space="preserve">Acute coronary syndrome, stroke, or transient ischemic attack within 2 months prior to informed consent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pPr>
            <w:r w:rsidDel="00000000" w:rsidR="00000000" w:rsidRPr="00000000">
              <w:rPr>
                <w:rtl w:val="0"/>
              </w:rPr>
              <w:t xml:space="preserve">Any occurrence of the primary or secondary outcomes within 2 months prior to index date </w:t>
            </w:r>
          </w:p>
        </w:tc>
      </w:tr>
    </w:tbl>
    <w:p w:rsidR="00000000" w:rsidDel="00000000" w:rsidP="00000000" w:rsidRDefault="00000000" w:rsidRPr="00000000" w14:paraId="0000006B">
      <w:pPr>
        <w:rPr/>
      </w:pPr>
      <w:r w:rsidDel="00000000" w:rsidR="00000000" w:rsidRPr="00000000">
        <w:rPr>
          <w:rtl w:val="0"/>
        </w:rPr>
        <w:t xml:space="preserve">*(Not applicable: Ill defined or not at all defined in the danish registries.)</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Further for the emulation, we will employ the following exclusion criteria: </w:t>
      </w:r>
    </w:p>
    <w:p w:rsidR="00000000" w:rsidDel="00000000" w:rsidP="00000000" w:rsidRDefault="00000000" w:rsidRPr="00000000" w14:paraId="0000006E">
      <w:pPr>
        <w:widowControl w:val="0"/>
        <w:numPr>
          <w:ilvl w:val="0"/>
          <w:numId w:val="5"/>
        </w:numPr>
        <w:spacing w:line="240" w:lineRule="auto"/>
        <w:ind w:left="720" w:hanging="360"/>
      </w:pPr>
      <w:r w:rsidDel="00000000" w:rsidR="00000000" w:rsidRPr="00000000">
        <w:rPr>
          <w:rtl w:val="0"/>
        </w:rPr>
        <w:t xml:space="preserve">Collection of insulin as first A10 before age 30 years, assumed to indicative of type 1 diabetes </w:t>
      </w:r>
    </w:p>
    <w:p w:rsidR="00000000" w:rsidDel="00000000" w:rsidP="00000000" w:rsidRDefault="00000000" w:rsidRPr="00000000" w14:paraId="0000006F">
      <w:pPr>
        <w:numPr>
          <w:ilvl w:val="0"/>
          <w:numId w:val="5"/>
        </w:numPr>
        <w:ind w:left="720" w:hanging="360"/>
      </w:pPr>
      <w:r w:rsidDel="00000000" w:rsidR="00000000" w:rsidRPr="00000000">
        <w:rPr>
          <w:rtl w:val="0"/>
        </w:rPr>
        <w:t xml:space="preserve">Initiation of metformin as a female at age &lt;30 years, assumed to be indicative of polycystic ovary syndrome. </w:t>
      </w:r>
    </w:p>
    <w:p w:rsidR="00000000" w:rsidDel="00000000" w:rsidP="00000000" w:rsidRDefault="00000000" w:rsidRPr="00000000" w14:paraId="00000070">
      <w:pPr>
        <w:numPr>
          <w:ilvl w:val="0"/>
          <w:numId w:val="5"/>
        </w:numPr>
        <w:ind w:left="720" w:hanging="360"/>
      </w:pPr>
      <w:r w:rsidDel="00000000" w:rsidR="00000000" w:rsidRPr="00000000">
        <w:rPr>
          <w:rtl w:val="0"/>
        </w:rPr>
        <w:t xml:space="preserve">Immigration and Emigration within 20 years prior to baseline.</w:t>
      </w:r>
    </w:p>
    <w:p w:rsidR="00000000" w:rsidDel="00000000" w:rsidP="00000000" w:rsidRDefault="00000000" w:rsidRPr="00000000" w14:paraId="00000071">
      <w:pPr>
        <w:ind w:left="720" w:firstLine="0"/>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pStyle w:val="Heading2"/>
        <w:rPr/>
      </w:pPr>
      <w:bookmarkStart w:colFirst="0" w:colLast="0" w:name="_l3bo8liu5lr" w:id="6"/>
      <w:bookmarkEnd w:id="6"/>
      <w:r w:rsidDel="00000000" w:rsidR="00000000" w:rsidRPr="00000000">
        <w:rPr>
          <w:rtl w:val="0"/>
        </w:rPr>
        <w:t xml:space="preserve">Time period</w:t>
      </w:r>
    </w:p>
    <w:p w:rsidR="00000000" w:rsidDel="00000000" w:rsidP="00000000" w:rsidRDefault="00000000" w:rsidRPr="00000000" w14:paraId="00000074">
      <w:pPr>
        <w:rPr/>
      </w:pPr>
      <w:r w:rsidDel="00000000" w:rsidR="00000000" w:rsidRPr="00000000">
        <w:rPr>
          <w:rtl w:val="0"/>
        </w:rPr>
        <w:t xml:space="preserve">The overall trial duration was defined by a specific number of occurrences of outcomes. The first SGLT2 pharmacotherapy was approved in Denmark in 2013, and accordingly, in the emulation, we will include the timeframe of 2013-2021, allowing a minimum of one year of follow-up, </w:t>
      </w:r>
      <w:r w:rsidDel="00000000" w:rsidR="00000000" w:rsidRPr="00000000">
        <w:rPr>
          <w:rtl w:val="0"/>
        </w:rPr>
        <w:t xml:space="preserve">but looking back 20 years from the baseline regarding definitio</w:t>
      </w:r>
      <w:r w:rsidDel="00000000" w:rsidR="00000000" w:rsidRPr="00000000">
        <w:rPr>
          <w:rtl w:val="0"/>
        </w:rPr>
        <w:t xml:space="preserve">ns of co-variates and in- and exclusion criteria. </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pStyle w:val="Heading2"/>
        <w:rPr/>
      </w:pPr>
      <w:bookmarkStart w:colFirst="0" w:colLast="0" w:name="_3hgmhg3gqdsg" w:id="7"/>
      <w:bookmarkEnd w:id="7"/>
      <w:r w:rsidDel="00000000" w:rsidR="00000000" w:rsidRPr="00000000">
        <w:rPr>
          <w:rtl w:val="0"/>
        </w:rPr>
        <w:t xml:space="preserve">Baseline definition</w:t>
      </w:r>
    </w:p>
    <w:p w:rsidR="00000000" w:rsidDel="00000000" w:rsidP="00000000" w:rsidRDefault="00000000" w:rsidRPr="00000000" w14:paraId="00000077">
      <w:pPr>
        <w:rPr/>
      </w:pPr>
      <w:r w:rsidDel="00000000" w:rsidR="00000000" w:rsidRPr="00000000">
        <w:rPr>
          <w:rtl w:val="0"/>
        </w:rPr>
        <w:t xml:space="preserve">For the current study, time zero (index date and baseline) is the first time the patient redeems a prescription of one of the pharmacotherapies of interest and fulfills the inclusion and exclusion criteria, during the time period of interest. </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pStyle w:val="Heading2"/>
        <w:rPr/>
      </w:pPr>
      <w:bookmarkStart w:colFirst="0" w:colLast="0" w:name="_7bxk4akn9uf5" w:id="8"/>
      <w:bookmarkEnd w:id="8"/>
      <w:r w:rsidDel="00000000" w:rsidR="00000000" w:rsidRPr="00000000">
        <w:rPr>
          <w:rtl w:val="0"/>
        </w:rPr>
        <w:t xml:space="preserve">Placebo emulation</w:t>
      </w: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In the trial, the comparator group was placebo. Placebo includes the best standard of care. However, in the protocol, it is stated that the basis of why the placebo-controlled design is considered ethically acceptable is due to appropriate criteria for patient discontinuation, the ability to change background treatment to achieve glucose and HbA1c goals, and criteria for rescue therapy as defined in the relevant guidelines. In practice, it can be assumed that the placebo group received an active comparator (best standard of care). I</w:t>
      </w:r>
      <w:r w:rsidDel="00000000" w:rsidR="00000000" w:rsidRPr="00000000">
        <w:rPr>
          <w:rtl w:val="0"/>
        </w:rPr>
        <w:t xml:space="preserve">n the emulation, we include DPP4 as the active comparator of interest, due to the </w:t>
      </w:r>
      <w:r w:rsidDel="00000000" w:rsidR="00000000" w:rsidRPr="00000000">
        <w:rPr>
          <w:rtl w:val="0"/>
        </w:rPr>
        <w:t xml:space="preserve">hypothesized</w:t>
      </w:r>
      <w:r w:rsidDel="00000000" w:rsidR="00000000" w:rsidRPr="00000000">
        <w:rPr>
          <w:rtl w:val="0"/>
        </w:rPr>
        <w:t xml:space="preserve"> neutral effects on cardiovascular outcomes and to obtain an exchangeable population given all known variables. (TECOS trial Doi: 10:1056)</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pStyle w:val="Heading2"/>
        <w:rPr/>
      </w:pPr>
      <w:bookmarkStart w:colFirst="0" w:colLast="0" w:name="_2ec6pfept9g1" w:id="9"/>
      <w:bookmarkEnd w:id="9"/>
      <w:r w:rsidDel="00000000" w:rsidR="00000000" w:rsidRPr="00000000">
        <w:rPr>
          <w:rtl w:val="0"/>
        </w:rPr>
        <w:t xml:space="preserve">Discrete-time approximation of observed treatment</w:t>
      </w:r>
    </w:p>
    <w:p w:rsidR="00000000" w:rsidDel="00000000" w:rsidP="00000000" w:rsidRDefault="00000000" w:rsidRPr="00000000" w14:paraId="0000007D">
      <w:pPr>
        <w:rPr/>
      </w:pPr>
      <w:r w:rsidDel="00000000" w:rsidR="00000000" w:rsidRPr="00000000">
        <w:rPr>
          <w:rtl w:val="0"/>
        </w:rPr>
        <w:t xml:space="preserve">The aim of trial emulation is primarily to compare continuous treatment with SGLT2 with continuous treatment with DPP4 for 1-5 years. We will employ a discrete time scale with periods of six months and patients are considered on treatment in a time interval if at least one prescription was redeemed in that interval. </w:t>
      </w:r>
    </w:p>
    <w:p w:rsidR="00000000" w:rsidDel="00000000" w:rsidP="00000000" w:rsidRDefault="00000000" w:rsidRPr="00000000" w14:paraId="0000007E">
      <w:pPr>
        <w:pStyle w:val="Heading1"/>
        <w:rPr/>
      </w:pPr>
      <w:bookmarkStart w:colFirst="0" w:colLast="0" w:name="_gpgtscneduo9" w:id="10"/>
      <w:bookmarkEnd w:id="10"/>
      <w:r w:rsidDel="00000000" w:rsidR="00000000" w:rsidRPr="00000000">
        <w:rPr>
          <w:rtl w:val="0"/>
        </w:rPr>
        <w:t xml:space="preserve">Target parameter </w:t>
      </w:r>
    </w:p>
    <w:p w:rsidR="00000000" w:rsidDel="00000000" w:rsidP="00000000" w:rsidRDefault="00000000" w:rsidRPr="00000000" w14:paraId="0000007F">
      <w:pPr>
        <w:rPr/>
      </w:pPr>
      <w:r w:rsidDel="00000000" w:rsidR="00000000" w:rsidRPr="00000000">
        <w:rPr>
          <w:rtl w:val="0"/>
        </w:rPr>
        <w:t xml:space="preserve">In this study we will examine the primary target parameter of interest emulating on-treatment, investigating different treatment regimes:</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numPr>
          <w:ilvl w:val="0"/>
          <w:numId w:val="1"/>
        </w:numPr>
        <w:ind w:left="720" w:hanging="360"/>
      </w:pPr>
      <w:r w:rsidDel="00000000" w:rsidR="00000000" w:rsidRPr="00000000">
        <w:rPr>
          <w:rtl w:val="0"/>
        </w:rPr>
        <w:t xml:space="preserve">Take SGLT2  for 1-5 years, respectively,vs. take DPP4 for 1-5 years, respectively</w:t>
      </w:r>
      <w:r w:rsidDel="00000000" w:rsidR="00000000" w:rsidRPr="00000000">
        <w:rPr>
          <w:rtl w:val="0"/>
        </w:rPr>
        <w:t xml:space="preserve">.</w:t>
      </w:r>
    </w:p>
    <w:p w:rsidR="00000000" w:rsidDel="00000000" w:rsidP="00000000" w:rsidRDefault="00000000" w:rsidRPr="00000000" w14:paraId="00000082">
      <w:pPr>
        <w:ind w:left="720" w:firstLine="0"/>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The target parameter is the 1-5 year risk of the primary outcomes, enabling estimates of r</w:t>
      </w:r>
      <w:r w:rsidDel="00000000" w:rsidR="00000000" w:rsidRPr="00000000">
        <w:rPr>
          <w:rtl w:val="0"/>
        </w:rPr>
        <w:t xml:space="preserve">isk difference and risk ratio,</w:t>
      </w:r>
      <w:r w:rsidDel="00000000" w:rsidR="00000000" w:rsidRPr="00000000">
        <w:rPr>
          <w:rtl w:val="0"/>
        </w:rPr>
        <w:t xml:space="preserve"> as well as 95% CI, under the treatment regimens, i.e., had all patients hypothetically been randomized to the treatment regimens. In other words, as an example, take SGLT2 for 4 years vs take DPP4 for 4 years and compare.</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pStyle w:val="Heading2"/>
        <w:rPr/>
      </w:pPr>
      <w:bookmarkStart w:colFirst="0" w:colLast="0" w:name="_qf8nuqgzrrf8" w:id="11"/>
      <w:bookmarkEnd w:id="11"/>
      <w:r w:rsidDel="00000000" w:rsidR="00000000" w:rsidRPr="00000000">
        <w:rPr>
          <w:rtl w:val="0"/>
        </w:rPr>
        <w:t xml:space="preserve">Outcome(s)</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We will pursue the primary objective and emulate the primary and secondary endpoints as summarized in the following: </w:t>
      </w:r>
    </w:p>
    <w:p w:rsidR="00000000" w:rsidDel="00000000" w:rsidP="00000000" w:rsidRDefault="00000000" w:rsidRPr="00000000" w14:paraId="0000008A">
      <w:pPr>
        <w:rPr/>
      </w:pPr>
      <w:r w:rsidDel="00000000" w:rsidR="00000000" w:rsidRPr="00000000">
        <w:rPr>
          <w:rtl w:val="0"/>
        </w:rPr>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rPr/>
            </w:pPr>
            <w:r w:rsidDel="00000000" w:rsidR="00000000" w:rsidRPr="00000000">
              <w:rPr>
                <w:rtl w:val="0"/>
              </w:rPr>
              <w:t xml:space="preserve">EMPA-REG Trial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rPr/>
            </w:pPr>
            <w:r w:rsidDel="00000000" w:rsidR="00000000" w:rsidRPr="00000000">
              <w:rPr>
                <w:rtl w:val="0"/>
              </w:rPr>
              <w:t xml:space="preserve">Emulation </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line="240" w:lineRule="auto"/>
              <w:jc w:val="center"/>
              <w:rPr/>
            </w:pPr>
            <w:r w:rsidDel="00000000" w:rsidR="00000000" w:rsidRPr="00000000">
              <w:rPr>
                <w:rtl w:val="0"/>
              </w:rPr>
              <w:t xml:space="preserve">Primary composite endpoint* </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rPr/>
            </w:pPr>
            <w:r w:rsidDel="00000000" w:rsidR="00000000" w:rsidRPr="00000000">
              <w:rPr>
                <w:rtl w:val="0"/>
              </w:rPr>
              <w:t xml:space="preserve">First occurrence of cardiovascular death, nonfatal myocardial infarction, or nonfatal stroke (a composite cardiovascular outcome)</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rPr/>
            </w:pPr>
            <w:r w:rsidDel="00000000" w:rsidR="00000000" w:rsidRPr="00000000">
              <w:rPr>
                <w:rtl w:val="0"/>
              </w:rPr>
              <w:t xml:space="preserve">First occurrence of cardiovascular death*, nonfatal myocardial infarction, or nonfatal stroke, defined by ICD-10 codes as specified in Table 2</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rPr/>
            </w:pP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jc w:val="center"/>
              <w:rPr/>
            </w:pPr>
            <w:r w:rsidDel="00000000" w:rsidR="00000000" w:rsidRPr="00000000">
              <w:rPr>
                <w:rtl w:val="0"/>
              </w:rPr>
              <w:t xml:space="preserve">Secondary endpoints*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rPr/>
            </w:pPr>
            <w:r w:rsidDel="00000000" w:rsidR="00000000" w:rsidRPr="00000000">
              <w:rPr>
                <w:rtl w:val="0"/>
              </w:rPr>
              <w:t xml:space="preserve">First occurrence of an expanded composite cardiovascular outcome, defined as the primary outcome </w:t>
            </w:r>
            <w:r w:rsidDel="00000000" w:rsidR="00000000" w:rsidRPr="00000000">
              <w:rPr>
                <w:rtl w:val="0"/>
              </w:rPr>
              <w:t xml:space="preserve">plus hospitalization for unstable angina.</w:t>
            </w:r>
          </w:p>
          <w:p w:rsidR="00000000" w:rsidDel="00000000" w:rsidP="00000000" w:rsidRDefault="00000000" w:rsidRPr="00000000" w14:paraId="0000009A">
            <w:pPr>
              <w:widowControl w:val="0"/>
              <w:spacing w:line="240" w:lineRule="auto"/>
              <w:rPr/>
            </w:pPr>
            <w:r w:rsidDel="00000000" w:rsidR="00000000" w:rsidRPr="00000000">
              <w:rPr>
                <w:rtl w:val="0"/>
              </w:rPr>
            </w:r>
          </w:p>
          <w:p w:rsidR="00000000" w:rsidDel="00000000" w:rsidP="00000000" w:rsidRDefault="00000000" w:rsidRPr="00000000" w14:paraId="0000009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pacing w:line="240" w:lineRule="auto"/>
              <w:rPr/>
            </w:pPr>
            <w:r w:rsidDel="00000000" w:rsidR="00000000" w:rsidRPr="00000000">
              <w:rPr>
                <w:rtl w:val="0"/>
              </w:rPr>
              <w:t xml:space="preserve">First occurrence of the primary outcomes or unstable angina, defined in Table 2</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jc w:val="center"/>
              <w:rPr/>
            </w:pPr>
            <w:r w:rsidDel="00000000" w:rsidR="00000000" w:rsidRPr="00000000">
              <w:rPr>
                <w:rtl w:val="0"/>
              </w:rPr>
              <w:t xml:space="preserve">Additional endpoints*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rPr/>
            </w:pPr>
            <w:r w:rsidDel="00000000" w:rsidR="00000000" w:rsidRPr="00000000">
              <w:rPr>
                <w:rtl w:val="0"/>
              </w:rPr>
              <w:t xml:space="preserve">All-cause death</w:t>
            </w:r>
          </w:p>
          <w:p w:rsidR="00000000" w:rsidDel="00000000" w:rsidP="00000000" w:rsidRDefault="00000000" w:rsidRPr="00000000" w14:paraId="000000A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spacing w:line="240" w:lineRule="auto"/>
              <w:rPr/>
            </w:pPr>
            <w:r w:rsidDel="00000000" w:rsidR="00000000" w:rsidRPr="00000000">
              <w:rPr>
                <w:rtl w:val="0"/>
              </w:rPr>
              <w:t xml:space="preserve">All-cause death </w:t>
            </w:r>
            <w:r w:rsidDel="00000000" w:rsidR="00000000" w:rsidRPr="00000000">
              <w:rPr>
                <w:rtl w:val="0"/>
              </w:rPr>
            </w:r>
          </w:p>
          <w:p w:rsidR="00000000" w:rsidDel="00000000" w:rsidP="00000000" w:rsidRDefault="00000000" w:rsidRPr="00000000" w14:paraId="000000A2">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rPr/>
            </w:pPr>
            <w:r w:rsidDel="00000000" w:rsidR="00000000" w:rsidRPr="00000000">
              <w:rPr>
                <w:rtl w:val="0"/>
              </w:rPr>
              <w:t xml:space="preserve">Revascularization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rPr/>
            </w:pPr>
            <w:r w:rsidDel="00000000" w:rsidR="00000000" w:rsidRPr="00000000">
              <w:rPr>
                <w:rtl w:val="0"/>
              </w:rPr>
              <w:t xml:space="preserve">Revascularization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rPr/>
            </w:pPr>
            <w:r w:rsidDel="00000000" w:rsidR="00000000" w:rsidRPr="00000000">
              <w:rPr>
                <w:rtl w:val="0"/>
              </w:rPr>
              <w:t xml:space="preserve">Heart failure requiring hospitalization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rPr/>
            </w:pPr>
            <w:r w:rsidDel="00000000" w:rsidR="00000000" w:rsidRPr="00000000">
              <w:rPr>
                <w:rtl w:val="0"/>
              </w:rPr>
              <w:t xml:space="preserve">Heart failure</w:t>
            </w:r>
            <w:r w:rsidDel="00000000" w:rsidR="00000000" w:rsidRPr="00000000">
              <w:rPr>
                <w:rtl w:val="0"/>
              </w:rPr>
              <w:t xml:space="preserve"> </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rPr/>
            </w:pPr>
            <w:r w:rsidDel="00000000" w:rsidR="00000000" w:rsidRPr="00000000">
              <w:rPr>
                <w:rtl w:val="0"/>
              </w:rPr>
              <w:t xml:space="preserve">Transient ischemic attack</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rPr/>
            </w:pPr>
            <w:r w:rsidDel="00000000" w:rsidR="00000000" w:rsidRPr="00000000">
              <w:rPr>
                <w:rtl w:val="0"/>
              </w:rPr>
              <w:t xml:space="preserve">Transient ischemic attack</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rPr/>
            </w:pPr>
            <w:r w:rsidDel="00000000" w:rsidR="00000000" w:rsidRPr="00000000">
              <w:rPr>
                <w:rtl w:val="0"/>
              </w:rPr>
              <w:t xml:space="preserve">Silent myocardial infarction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rPr/>
            </w:pPr>
            <w:r w:rsidDel="00000000" w:rsidR="00000000" w:rsidRPr="00000000">
              <w:rPr>
                <w:rtl w:val="0"/>
              </w:rPr>
              <w:t xml:space="preserve">(ill defined in the danish registries)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line="240" w:lineRule="auto"/>
              <w:rPr/>
            </w:pPr>
            <w:r w:rsidDel="00000000" w:rsidR="00000000" w:rsidRPr="00000000">
              <w:rPr>
                <w:rtl w:val="0"/>
              </w:rPr>
              <w:t xml:space="preserve">Each component of the composite cardiovascular outcome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rPr/>
            </w:pPr>
            <w:r w:rsidDel="00000000" w:rsidR="00000000" w:rsidRPr="00000000">
              <w:rPr>
                <w:rtl w:val="0"/>
              </w:rPr>
              <w:t xml:space="preserve">Each component of the composite cardiovascular outcome </w:t>
            </w:r>
          </w:p>
        </w:tc>
      </w:tr>
    </w:tbl>
    <w:p w:rsidR="00000000" w:rsidDel="00000000" w:rsidP="00000000" w:rsidRDefault="00000000" w:rsidRPr="00000000" w14:paraId="000000AD">
      <w:pPr>
        <w:rPr>
          <w:i w:val="1"/>
        </w:rPr>
      </w:pPr>
      <w:r w:rsidDel="00000000" w:rsidR="00000000" w:rsidRPr="00000000">
        <w:rPr>
          <w:i w:val="1"/>
          <w:rtl w:val="0"/>
        </w:rPr>
        <w:t xml:space="preserve">*See table 2 for definitions/codes</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t xml:space="preserve">Further, in the trial, a long list of additional endpoints were used as supportive endpoints for the secondary objective, which we will not pursue. </w:t>
      </w:r>
    </w:p>
    <w:p w:rsidR="00000000" w:rsidDel="00000000" w:rsidP="00000000" w:rsidRDefault="00000000" w:rsidRPr="00000000" w14:paraId="000000B0">
      <w:pPr>
        <w:pStyle w:val="Heading2"/>
        <w:rPr/>
      </w:pPr>
      <w:bookmarkStart w:colFirst="0" w:colLast="0" w:name="_xposllejjdo" w:id="12"/>
      <w:bookmarkEnd w:id="12"/>
      <w:r w:rsidDel="00000000" w:rsidR="00000000" w:rsidRPr="00000000">
        <w:rPr>
          <w:rtl w:val="0"/>
        </w:rPr>
        <w:t xml:space="preserve">Adjustment variables </w:t>
      </w:r>
    </w:p>
    <w:p w:rsidR="00000000" w:rsidDel="00000000" w:rsidP="00000000" w:rsidRDefault="00000000" w:rsidRPr="00000000" w14:paraId="000000B1">
      <w:pPr>
        <w:rPr/>
      </w:pPr>
      <w:r w:rsidDel="00000000" w:rsidR="00000000" w:rsidRPr="00000000">
        <w:rPr>
          <w:rtl w:val="0"/>
        </w:rPr>
        <w:t xml:space="preserve">We include information on various confounders, pre-baseline, as well as time-varying, as specified in the following. Definitions are included in Tables 1-3 further below. Concomitant glucose-lowering treatment is included as a baseline variable looking 180 days back from treatment initiation and included as time-varying confounders in case of initiation after baseline. Co-medication is defined as looking 180 days back from baseline, and history of comorbidities is defined as looking </w:t>
      </w:r>
      <w:r w:rsidDel="00000000" w:rsidR="00000000" w:rsidRPr="00000000">
        <w:rPr>
          <w:rtl w:val="0"/>
        </w:rPr>
        <w:t xml:space="preserve">20 </w:t>
      </w:r>
      <w:r w:rsidDel="00000000" w:rsidR="00000000" w:rsidRPr="00000000">
        <w:rPr>
          <w:rtl w:val="0"/>
        </w:rPr>
        <w:t xml:space="preserve">years back from baseline. </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t xml:space="preserve">The final choice of adjustment variables requires that support in analyses is ensured.</w:t>
      </w:r>
    </w:p>
    <w:p w:rsidR="00000000" w:rsidDel="00000000" w:rsidP="00000000" w:rsidRDefault="00000000" w:rsidRPr="00000000" w14:paraId="000000B4">
      <w:pPr>
        <w:pStyle w:val="Heading3"/>
        <w:rPr>
          <w:color w:val="000000"/>
        </w:rPr>
      </w:pPr>
      <w:bookmarkStart w:colFirst="0" w:colLast="0" w:name="_rkghvoh16xnu" w:id="13"/>
      <w:bookmarkEnd w:id="13"/>
      <w:r w:rsidDel="00000000" w:rsidR="00000000" w:rsidRPr="00000000">
        <w:rPr>
          <w:color w:val="000000"/>
          <w:rtl w:val="0"/>
        </w:rPr>
        <w:t xml:space="preserve">Baseline</w:t>
      </w:r>
      <w:r w:rsidDel="00000000" w:rsidR="00000000" w:rsidRPr="00000000">
        <w:rPr>
          <w:color w:val="000000"/>
          <w:rtl w:val="0"/>
        </w:rPr>
        <w:t xml:space="preserve"> variables</w:t>
      </w:r>
      <w:r w:rsidDel="00000000" w:rsidR="00000000" w:rsidRPr="00000000">
        <w:rPr>
          <w:rtl w:val="0"/>
        </w:rPr>
      </w:r>
    </w:p>
    <w:p w:rsidR="00000000" w:rsidDel="00000000" w:rsidP="00000000" w:rsidRDefault="00000000" w:rsidRPr="00000000" w14:paraId="000000B5">
      <w:pPr>
        <w:numPr>
          <w:ilvl w:val="0"/>
          <w:numId w:val="6"/>
        </w:numPr>
        <w:ind w:left="720" w:hanging="360"/>
      </w:pPr>
      <w:r w:rsidDel="00000000" w:rsidR="00000000" w:rsidRPr="00000000">
        <w:rPr>
          <w:rtl w:val="0"/>
        </w:rPr>
        <w:t xml:space="preserve">Age </w:t>
      </w:r>
    </w:p>
    <w:p w:rsidR="00000000" w:rsidDel="00000000" w:rsidP="00000000" w:rsidRDefault="00000000" w:rsidRPr="00000000" w14:paraId="000000B6">
      <w:pPr>
        <w:numPr>
          <w:ilvl w:val="0"/>
          <w:numId w:val="6"/>
        </w:numPr>
        <w:ind w:left="720" w:hanging="360"/>
      </w:pPr>
      <w:r w:rsidDel="00000000" w:rsidR="00000000" w:rsidRPr="00000000">
        <w:rPr>
          <w:rtl w:val="0"/>
        </w:rPr>
        <w:t xml:space="preserve">Sex</w:t>
      </w:r>
    </w:p>
    <w:p w:rsidR="00000000" w:rsidDel="00000000" w:rsidP="00000000" w:rsidRDefault="00000000" w:rsidRPr="00000000" w14:paraId="000000B7">
      <w:pPr>
        <w:numPr>
          <w:ilvl w:val="0"/>
          <w:numId w:val="6"/>
        </w:numPr>
        <w:ind w:left="720" w:hanging="360"/>
      </w:pPr>
      <w:r w:rsidDel="00000000" w:rsidR="00000000" w:rsidRPr="00000000">
        <w:rPr>
          <w:rtl w:val="0"/>
        </w:rPr>
        <w:t xml:space="preserve">Income (equivalized, 5-year mean) </w:t>
      </w:r>
    </w:p>
    <w:p w:rsidR="00000000" w:rsidDel="00000000" w:rsidP="00000000" w:rsidRDefault="00000000" w:rsidRPr="00000000" w14:paraId="000000B8">
      <w:pPr>
        <w:numPr>
          <w:ilvl w:val="0"/>
          <w:numId w:val="6"/>
        </w:numPr>
        <w:ind w:left="720" w:hanging="360"/>
        <w:rPr/>
      </w:pPr>
      <w:r w:rsidDel="00000000" w:rsidR="00000000" w:rsidRPr="00000000">
        <w:rPr>
          <w:rtl w:val="0"/>
        </w:rPr>
        <w:t xml:space="preserve">Degree of urbanization of home address (rural, suburban, or urban) (DEGURBA) </w:t>
      </w:r>
    </w:p>
    <w:p w:rsidR="00000000" w:rsidDel="00000000" w:rsidP="00000000" w:rsidRDefault="00000000" w:rsidRPr="00000000" w14:paraId="000000B9">
      <w:pPr>
        <w:numPr>
          <w:ilvl w:val="0"/>
          <w:numId w:val="6"/>
        </w:numPr>
        <w:ind w:left="720" w:hanging="360"/>
      </w:pPr>
      <w:r w:rsidDel="00000000" w:rsidR="00000000" w:rsidRPr="00000000">
        <w:rPr>
          <w:rtl w:val="0"/>
        </w:rPr>
        <w:t xml:space="preserve">Education, ISCED class</w:t>
      </w:r>
    </w:p>
    <w:p w:rsidR="00000000" w:rsidDel="00000000" w:rsidP="00000000" w:rsidRDefault="00000000" w:rsidRPr="00000000" w14:paraId="000000BA">
      <w:pPr>
        <w:numPr>
          <w:ilvl w:val="0"/>
          <w:numId w:val="6"/>
        </w:numPr>
        <w:ind w:left="720" w:hanging="360"/>
      </w:pPr>
      <w:r w:rsidDel="00000000" w:rsidR="00000000" w:rsidRPr="00000000">
        <w:rPr>
          <w:rtl w:val="0"/>
        </w:rPr>
        <w:t xml:space="preserve">Duration of Diabetes, categorized as 0-5, 5-10, &gt;10 years</w:t>
      </w:r>
    </w:p>
    <w:p w:rsidR="00000000" w:rsidDel="00000000" w:rsidP="00000000" w:rsidRDefault="00000000" w:rsidRPr="00000000" w14:paraId="000000BB">
      <w:pPr>
        <w:numPr>
          <w:ilvl w:val="0"/>
          <w:numId w:val="6"/>
        </w:numPr>
        <w:ind w:left="720" w:hanging="360"/>
      </w:pPr>
      <w:r w:rsidDel="00000000" w:rsidR="00000000" w:rsidRPr="00000000">
        <w:rPr>
          <w:rtl w:val="0"/>
        </w:rPr>
        <w:t xml:space="preserve">HbA1c (continuous), latest maximum 1 year before baseline </w:t>
      </w:r>
    </w:p>
    <w:p w:rsidR="00000000" w:rsidDel="00000000" w:rsidP="00000000" w:rsidRDefault="00000000" w:rsidRPr="00000000" w14:paraId="000000BC">
      <w:pPr>
        <w:numPr>
          <w:ilvl w:val="0"/>
          <w:numId w:val="6"/>
        </w:numPr>
        <w:ind w:left="720" w:hanging="360"/>
      </w:pPr>
      <w:r w:rsidDel="00000000" w:rsidR="00000000" w:rsidRPr="00000000">
        <w:rPr>
          <w:rtl w:val="0"/>
        </w:rPr>
        <w:t xml:space="preserve">History of ischemic heart disease</w:t>
      </w:r>
    </w:p>
    <w:p w:rsidR="00000000" w:rsidDel="00000000" w:rsidP="00000000" w:rsidRDefault="00000000" w:rsidRPr="00000000" w14:paraId="000000BD">
      <w:pPr>
        <w:numPr>
          <w:ilvl w:val="0"/>
          <w:numId w:val="6"/>
        </w:numPr>
        <w:ind w:left="720" w:hanging="360"/>
      </w:pPr>
      <w:r w:rsidDel="00000000" w:rsidR="00000000" w:rsidRPr="00000000">
        <w:rPr>
          <w:rtl w:val="0"/>
        </w:rPr>
        <w:t xml:space="preserve">History of heart failure</w:t>
      </w:r>
    </w:p>
    <w:p w:rsidR="00000000" w:rsidDel="00000000" w:rsidP="00000000" w:rsidRDefault="00000000" w:rsidRPr="00000000" w14:paraId="000000BE">
      <w:pPr>
        <w:numPr>
          <w:ilvl w:val="0"/>
          <w:numId w:val="6"/>
        </w:numPr>
        <w:ind w:left="720" w:hanging="360"/>
      </w:pPr>
      <w:r w:rsidDel="00000000" w:rsidR="00000000" w:rsidRPr="00000000">
        <w:rPr>
          <w:rtl w:val="0"/>
        </w:rPr>
        <w:t xml:space="preserve">History of stroke</w:t>
      </w:r>
    </w:p>
    <w:p w:rsidR="00000000" w:rsidDel="00000000" w:rsidP="00000000" w:rsidRDefault="00000000" w:rsidRPr="00000000" w14:paraId="000000BF">
      <w:pPr>
        <w:numPr>
          <w:ilvl w:val="0"/>
          <w:numId w:val="6"/>
        </w:numPr>
        <w:ind w:left="720" w:hanging="360"/>
      </w:pPr>
      <w:r w:rsidDel="00000000" w:rsidR="00000000" w:rsidRPr="00000000">
        <w:rPr>
          <w:rtl w:val="0"/>
        </w:rPr>
        <w:t xml:space="preserve">History of peripheral artery disease</w:t>
      </w:r>
    </w:p>
    <w:p w:rsidR="00000000" w:rsidDel="00000000" w:rsidP="00000000" w:rsidRDefault="00000000" w:rsidRPr="00000000" w14:paraId="000000C0">
      <w:pPr>
        <w:numPr>
          <w:ilvl w:val="0"/>
          <w:numId w:val="6"/>
        </w:numPr>
        <w:ind w:left="720" w:hanging="360"/>
      </w:pPr>
      <w:r w:rsidDel="00000000" w:rsidR="00000000" w:rsidRPr="00000000">
        <w:rPr>
          <w:rtl w:val="0"/>
        </w:rPr>
        <w:t xml:space="preserve">History of renal disease</w:t>
      </w:r>
    </w:p>
    <w:p w:rsidR="00000000" w:rsidDel="00000000" w:rsidP="00000000" w:rsidRDefault="00000000" w:rsidRPr="00000000" w14:paraId="000000C1">
      <w:pPr>
        <w:numPr>
          <w:ilvl w:val="0"/>
          <w:numId w:val="6"/>
        </w:numPr>
        <w:ind w:left="720" w:hanging="360"/>
      </w:pPr>
      <w:r w:rsidDel="00000000" w:rsidR="00000000" w:rsidRPr="00000000">
        <w:rPr>
          <w:rtl w:val="0"/>
        </w:rPr>
        <w:t xml:space="preserve">History of diabetic eye disease</w:t>
      </w:r>
    </w:p>
    <w:p w:rsidR="00000000" w:rsidDel="00000000" w:rsidP="00000000" w:rsidRDefault="00000000" w:rsidRPr="00000000" w14:paraId="000000C2">
      <w:pPr>
        <w:numPr>
          <w:ilvl w:val="0"/>
          <w:numId w:val="6"/>
        </w:numPr>
        <w:ind w:left="720" w:hanging="360"/>
      </w:pPr>
      <w:r w:rsidDel="00000000" w:rsidR="00000000" w:rsidRPr="00000000">
        <w:rPr>
          <w:rtl w:val="0"/>
        </w:rPr>
        <w:t xml:space="preserve">History of chronic obstructive pulmonary disease</w:t>
      </w:r>
    </w:p>
    <w:p w:rsidR="00000000" w:rsidDel="00000000" w:rsidP="00000000" w:rsidRDefault="00000000" w:rsidRPr="00000000" w14:paraId="000000C3">
      <w:pPr>
        <w:numPr>
          <w:ilvl w:val="0"/>
          <w:numId w:val="6"/>
        </w:numPr>
        <w:ind w:left="720" w:hanging="360"/>
      </w:pPr>
      <w:r w:rsidDel="00000000" w:rsidR="00000000" w:rsidRPr="00000000">
        <w:rPr>
          <w:rtl w:val="0"/>
        </w:rPr>
        <w:t xml:space="preserve">History of hypertension</w:t>
      </w:r>
    </w:p>
    <w:p w:rsidR="00000000" w:rsidDel="00000000" w:rsidP="00000000" w:rsidRDefault="00000000" w:rsidRPr="00000000" w14:paraId="000000C4">
      <w:pPr>
        <w:numPr>
          <w:ilvl w:val="0"/>
          <w:numId w:val="6"/>
        </w:numPr>
        <w:ind w:left="720" w:hanging="360"/>
      </w:pPr>
      <w:r w:rsidDel="00000000" w:rsidR="00000000" w:rsidRPr="00000000">
        <w:rPr>
          <w:rtl w:val="0"/>
        </w:rPr>
        <w:t xml:space="preserve">History of atrial fibrillation</w:t>
      </w:r>
    </w:p>
    <w:p w:rsidR="00000000" w:rsidDel="00000000" w:rsidP="00000000" w:rsidRDefault="00000000" w:rsidRPr="00000000" w14:paraId="000000C5">
      <w:pPr>
        <w:numPr>
          <w:ilvl w:val="0"/>
          <w:numId w:val="6"/>
        </w:numPr>
        <w:ind w:left="720" w:hanging="360"/>
        <w:rPr>
          <w:u w:val="none"/>
        </w:rPr>
      </w:pPr>
      <w:r w:rsidDel="00000000" w:rsidR="00000000" w:rsidRPr="00000000">
        <w:rPr>
          <w:rtl w:val="0"/>
        </w:rPr>
        <w:t xml:space="preserve">Concomitant glucose lowering treatment</w:t>
      </w:r>
    </w:p>
    <w:p w:rsidR="00000000" w:rsidDel="00000000" w:rsidP="00000000" w:rsidRDefault="00000000" w:rsidRPr="00000000" w14:paraId="000000C6">
      <w:pPr>
        <w:numPr>
          <w:ilvl w:val="0"/>
          <w:numId w:val="6"/>
        </w:numPr>
        <w:ind w:left="720" w:hanging="360"/>
      </w:pPr>
      <w:r w:rsidDel="00000000" w:rsidR="00000000" w:rsidRPr="00000000">
        <w:rPr>
          <w:rtl w:val="0"/>
        </w:rPr>
        <w:t xml:space="preserve">Therapy with</w:t>
      </w:r>
      <w:r w:rsidDel="00000000" w:rsidR="00000000" w:rsidRPr="00000000">
        <w:rPr>
          <w:highlight w:val="white"/>
          <w:rtl w:val="0"/>
        </w:rPr>
        <w:t xml:space="preserve"> aldosterone receptor antagonists, beta-blockers, angiotensin-converting enzyme inhibitors/angiotensin receptor-2 blockers, loop diuretics, calcium channel blockers, thiazide, acetylsalicylic acid, statins</w:t>
      </w:r>
    </w:p>
    <w:p w:rsidR="00000000" w:rsidDel="00000000" w:rsidP="00000000" w:rsidRDefault="00000000" w:rsidRPr="00000000" w14:paraId="000000C7">
      <w:pPr>
        <w:numPr>
          <w:ilvl w:val="0"/>
          <w:numId w:val="6"/>
        </w:numPr>
        <w:ind w:left="720" w:hanging="360"/>
        <w:rPr/>
      </w:pPr>
      <w:r w:rsidDel="00000000" w:rsidR="00000000" w:rsidRPr="00000000">
        <w:rPr>
          <w:rtl w:val="0"/>
        </w:rPr>
        <w:t xml:space="preserve">Glomerular filtration rate based on creatinine (eGFR)</w:t>
      </w:r>
    </w:p>
    <w:p w:rsidR="00000000" w:rsidDel="00000000" w:rsidP="00000000" w:rsidRDefault="00000000" w:rsidRPr="00000000" w14:paraId="000000C8">
      <w:pPr>
        <w:rPr>
          <w:highlight w:val="white"/>
        </w:rPr>
      </w:pPr>
      <w:r w:rsidDel="00000000" w:rsidR="00000000" w:rsidRPr="00000000">
        <w:rPr>
          <w:rtl w:val="0"/>
        </w:rPr>
      </w:r>
    </w:p>
    <w:p w:rsidR="00000000" w:rsidDel="00000000" w:rsidP="00000000" w:rsidRDefault="00000000" w:rsidRPr="00000000" w14:paraId="000000C9">
      <w:pPr>
        <w:rPr>
          <w:highlight w:val="white"/>
        </w:rPr>
      </w:pPr>
      <w:r w:rsidDel="00000000" w:rsidR="00000000" w:rsidRPr="00000000">
        <w:rPr>
          <w:highlight w:val="white"/>
          <w:rtl w:val="0"/>
        </w:rPr>
        <w:t xml:space="preserve">Comedication is defined by ATC-codes in Table 1 and comorbidities are defined by ICD-10 and ATC-codes in Table 2. </w:t>
      </w:r>
    </w:p>
    <w:p w:rsidR="00000000" w:rsidDel="00000000" w:rsidP="00000000" w:rsidRDefault="00000000" w:rsidRPr="00000000" w14:paraId="000000CA">
      <w:pPr>
        <w:pStyle w:val="Heading3"/>
        <w:rPr>
          <w:color w:val="000000"/>
        </w:rPr>
      </w:pPr>
      <w:bookmarkStart w:colFirst="0" w:colLast="0" w:name="_dh1jz25ngm5t" w:id="14"/>
      <w:bookmarkEnd w:id="14"/>
      <w:r w:rsidDel="00000000" w:rsidR="00000000" w:rsidRPr="00000000">
        <w:rPr>
          <w:color w:val="000000"/>
          <w:rtl w:val="0"/>
        </w:rPr>
        <w:t xml:space="preserve">Time-dependent </w:t>
      </w:r>
      <w:r w:rsidDel="00000000" w:rsidR="00000000" w:rsidRPr="00000000">
        <w:rPr>
          <w:color w:val="000000"/>
          <w:rtl w:val="0"/>
        </w:rPr>
        <w:t xml:space="preserve">variables</w:t>
      </w:r>
      <w:r w:rsidDel="00000000" w:rsidR="00000000" w:rsidRPr="00000000">
        <w:rPr>
          <w:color w:val="000000"/>
          <w:rtl w:val="0"/>
        </w:rPr>
        <w:t xml:space="preserve"> </w:t>
      </w:r>
    </w:p>
    <w:p w:rsidR="00000000" w:rsidDel="00000000" w:rsidP="00000000" w:rsidRDefault="00000000" w:rsidRPr="00000000" w14:paraId="000000CB">
      <w:pPr>
        <w:rPr/>
      </w:pPr>
      <w:r w:rsidDel="00000000" w:rsidR="00000000" w:rsidRPr="00000000">
        <w:rPr>
          <w:rtl w:val="0"/>
        </w:rPr>
        <w:t xml:space="preserve">Respective outcomes in the primary and secondary analyses are not to be included. </w:t>
      </w:r>
    </w:p>
    <w:p w:rsidR="00000000" w:rsidDel="00000000" w:rsidP="00000000" w:rsidRDefault="00000000" w:rsidRPr="00000000" w14:paraId="000000CC">
      <w:pPr>
        <w:numPr>
          <w:ilvl w:val="0"/>
          <w:numId w:val="2"/>
        </w:numPr>
        <w:ind w:left="720" w:hanging="360"/>
      </w:pPr>
      <w:r w:rsidDel="00000000" w:rsidR="00000000" w:rsidRPr="00000000">
        <w:rPr>
          <w:rtl w:val="0"/>
        </w:rPr>
        <w:t xml:space="preserve">Adding hypoglycemic treatment</w:t>
      </w:r>
    </w:p>
    <w:p w:rsidR="00000000" w:rsidDel="00000000" w:rsidP="00000000" w:rsidRDefault="00000000" w:rsidRPr="00000000" w14:paraId="000000CD">
      <w:pPr>
        <w:numPr>
          <w:ilvl w:val="0"/>
          <w:numId w:val="2"/>
        </w:numPr>
        <w:ind w:left="720" w:hanging="360"/>
        <w:rPr>
          <w:u w:val="none"/>
        </w:rPr>
      </w:pPr>
      <w:r w:rsidDel="00000000" w:rsidR="00000000" w:rsidRPr="00000000">
        <w:rPr>
          <w:rtl w:val="0"/>
        </w:rPr>
        <w:t xml:space="preserve">Adding GLP-1</w:t>
      </w:r>
    </w:p>
    <w:p w:rsidR="00000000" w:rsidDel="00000000" w:rsidP="00000000" w:rsidRDefault="00000000" w:rsidRPr="00000000" w14:paraId="000000CE">
      <w:pPr>
        <w:numPr>
          <w:ilvl w:val="0"/>
          <w:numId w:val="2"/>
        </w:numPr>
        <w:ind w:left="720" w:hanging="360"/>
      </w:pPr>
      <w:r w:rsidDel="00000000" w:rsidR="00000000" w:rsidRPr="00000000">
        <w:rPr>
          <w:rtl w:val="0"/>
        </w:rPr>
        <w:t xml:space="preserve">Incident Ischemic heart disease</w:t>
      </w:r>
    </w:p>
    <w:p w:rsidR="00000000" w:rsidDel="00000000" w:rsidP="00000000" w:rsidRDefault="00000000" w:rsidRPr="00000000" w14:paraId="000000CF">
      <w:pPr>
        <w:numPr>
          <w:ilvl w:val="0"/>
          <w:numId w:val="2"/>
        </w:numPr>
        <w:ind w:left="720" w:hanging="360"/>
      </w:pPr>
      <w:r w:rsidDel="00000000" w:rsidR="00000000" w:rsidRPr="00000000">
        <w:rPr>
          <w:rtl w:val="0"/>
        </w:rPr>
        <w:t xml:space="preserve">Incident heart failure</w:t>
      </w:r>
    </w:p>
    <w:p w:rsidR="00000000" w:rsidDel="00000000" w:rsidP="00000000" w:rsidRDefault="00000000" w:rsidRPr="00000000" w14:paraId="000000D0">
      <w:pPr>
        <w:numPr>
          <w:ilvl w:val="0"/>
          <w:numId w:val="2"/>
        </w:numPr>
        <w:ind w:left="720" w:hanging="360"/>
      </w:pPr>
      <w:r w:rsidDel="00000000" w:rsidR="00000000" w:rsidRPr="00000000">
        <w:rPr>
          <w:rtl w:val="0"/>
        </w:rPr>
        <w:t xml:space="preserve">Incident peripheral artery disease</w:t>
      </w:r>
    </w:p>
    <w:p w:rsidR="00000000" w:rsidDel="00000000" w:rsidP="00000000" w:rsidRDefault="00000000" w:rsidRPr="00000000" w14:paraId="000000D1">
      <w:pPr>
        <w:numPr>
          <w:ilvl w:val="0"/>
          <w:numId w:val="2"/>
        </w:numPr>
        <w:ind w:left="720" w:hanging="360"/>
      </w:pPr>
      <w:r w:rsidDel="00000000" w:rsidR="00000000" w:rsidRPr="00000000">
        <w:rPr>
          <w:rtl w:val="0"/>
        </w:rPr>
        <w:t xml:space="preserve">Incident renal disease</w:t>
      </w:r>
    </w:p>
    <w:p w:rsidR="00000000" w:rsidDel="00000000" w:rsidP="00000000" w:rsidRDefault="00000000" w:rsidRPr="00000000" w14:paraId="000000D2">
      <w:pPr>
        <w:numPr>
          <w:ilvl w:val="0"/>
          <w:numId w:val="2"/>
        </w:numPr>
        <w:ind w:left="720" w:hanging="360"/>
      </w:pPr>
      <w:r w:rsidDel="00000000" w:rsidR="00000000" w:rsidRPr="00000000">
        <w:rPr>
          <w:rtl w:val="0"/>
        </w:rPr>
        <w:t xml:space="preserve">Incident diabetic eye disease</w:t>
      </w:r>
    </w:p>
    <w:p w:rsidR="00000000" w:rsidDel="00000000" w:rsidP="00000000" w:rsidRDefault="00000000" w:rsidRPr="00000000" w14:paraId="000000D3">
      <w:pPr>
        <w:numPr>
          <w:ilvl w:val="0"/>
          <w:numId w:val="2"/>
        </w:numPr>
        <w:ind w:left="720" w:hanging="360"/>
      </w:pPr>
      <w:r w:rsidDel="00000000" w:rsidR="00000000" w:rsidRPr="00000000">
        <w:rPr>
          <w:rtl w:val="0"/>
        </w:rPr>
        <w:t xml:space="preserve">Incident chronic obstructive pulmonary disease</w:t>
      </w:r>
    </w:p>
    <w:p w:rsidR="00000000" w:rsidDel="00000000" w:rsidP="00000000" w:rsidRDefault="00000000" w:rsidRPr="00000000" w14:paraId="000000D4">
      <w:pPr>
        <w:numPr>
          <w:ilvl w:val="0"/>
          <w:numId w:val="2"/>
        </w:numPr>
        <w:ind w:left="720" w:hanging="360"/>
      </w:pPr>
      <w:r w:rsidDel="00000000" w:rsidR="00000000" w:rsidRPr="00000000">
        <w:rPr>
          <w:rtl w:val="0"/>
        </w:rPr>
        <w:t xml:space="preserve">Incident hypertension</w:t>
      </w:r>
    </w:p>
    <w:p w:rsidR="00000000" w:rsidDel="00000000" w:rsidP="00000000" w:rsidRDefault="00000000" w:rsidRPr="00000000" w14:paraId="000000D5">
      <w:pPr>
        <w:numPr>
          <w:ilvl w:val="0"/>
          <w:numId w:val="2"/>
        </w:numPr>
        <w:ind w:left="720" w:hanging="360"/>
      </w:pPr>
      <w:r w:rsidDel="00000000" w:rsidR="00000000" w:rsidRPr="00000000">
        <w:rPr>
          <w:rtl w:val="0"/>
        </w:rPr>
        <w:t xml:space="preserve">Incident atrial fibrillation</w:t>
      </w:r>
    </w:p>
    <w:p w:rsidR="00000000" w:rsidDel="00000000" w:rsidP="00000000" w:rsidRDefault="00000000" w:rsidRPr="00000000" w14:paraId="000000D6">
      <w:pPr>
        <w:pStyle w:val="Heading1"/>
        <w:rPr/>
      </w:pPr>
      <w:bookmarkStart w:colFirst="0" w:colLast="0" w:name="_4q29rxnllaa9" w:id="15"/>
      <w:bookmarkEnd w:id="15"/>
      <w:r w:rsidDel="00000000" w:rsidR="00000000" w:rsidRPr="00000000">
        <w:rPr>
          <w:rtl w:val="0"/>
        </w:rPr>
        <w:t xml:space="preserve">Descriptive analyses</w:t>
      </w:r>
    </w:p>
    <w:p w:rsidR="00000000" w:rsidDel="00000000" w:rsidP="00000000" w:rsidRDefault="00000000" w:rsidRPr="00000000" w14:paraId="000000D7">
      <w:pPr>
        <w:rPr/>
      </w:pPr>
      <w:r w:rsidDel="00000000" w:rsidR="00000000" w:rsidRPr="00000000">
        <w:rPr>
          <w:rtl w:val="0"/>
        </w:rPr>
        <w:t xml:space="preserve">A series of descriptive analyses will be made. These will include the following questions using non-parametric analyses: </w:t>
      </w:r>
    </w:p>
    <w:p w:rsidR="00000000" w:rsidDel="00000000" w:rsidP="00000000" w:rsidRDefault="00000000" w:rsidRPr="00000000" w14:paraId="000000D8">
      <w:pPr>
        <w:numPr>
          <w:ilvl w:val="0"/>
          <w:numId w:val="4"/>
        </w:numPr>
        <w:ind w:left="720" w:hanging="360"/>
      </w:pPr>
      <w:r w:rsidDel="00000000" w:rsidR="00000000" w:rsidRPr="00000000">
        <w:rPr>
          <w:rtl w:val="0"/>
        </w:rPr>
        <w:t xml:space="preserve">Baseline characteristics of the two study arms </w:t>
      </w:r>
    </w:p>
    <w:p w:rsidR="00000000" w:rsidDel="00000000" w:rsidP="00000000" w:rsidRDefault="00000000" w:rsidRPr="00000000" w14:paraId="000000D9">
      <w:pPr>
        <w:numPr>
          <w:ilvl w:val="0"/>
          <w:numId w:val="4"/>
        </w:numPr>
        <w:ind w:left="720" w:hanging="360"/>
      </w:pPr>
      <w:r w:rsidDel="00000000" w:rsidR="00000000" w:rsidRPr="00000000">
        <w:rPr>
          <w:rtl w:val="0"/>
        </w:rPr>
        <w:t xml:space="preserve">Time to treatment discontinuation, by treatment, accounting for death, emigration, and administrative censoring  </w:t>
      </w:r>
    </w:p>
    <w:p w:rsidR="00000000" w:rsidDel="00000000" w:rsidP="00000000" w:rsidRDefault="00000000" w:rsidRPr="00000000" w14:paraId="000000DA">
      <w:pPr>
        <w:numPr>
          <w:ilvl w:val="0"/>
          <w:numId w:val="4"/>
        </w:numPr>
        <w:ind w:left="720" w:hanging="360"/>
      </w:pPr>
      <w:r w:rsidDel="00000000" w:rsidR="00000000" w:rsidRPr="00000000">
        <w:rPr>
          <w:rtl w:val="0"/>
        </w:rPr>
        <w:t xml:space="preserve">Time to GLP1-RA initiation by treatment, accounting for death, emigration, and administrative censoring  </w:t>
      </w:r>
    </w:p>
    <w:p w:rsidR="00000000" w:rsidDel="00000000" w:rsidP="00000000" w:rsidRDefault="00000000" w:rsidRPr="00000000" w14:paraId="000000DB">
      <w:pPr>
        <w:numPr>
          <w:ilvl w:val="0"/>
          <w:numId w:val="4"/>
        </w:numPr>
        <w:ind w:left="720" w:hanging="360"/>
      </w:pPr>
      <w:r w:rsidDel="00000000" w:rsidR="00000000" w:rsidRPr="00000000">
        <w:rPr>
          <w:rtl w:val="0"/>
        </w:rPr>
        <w:t xml:space="preserve">Time to insulin initiation by treatment, accounting for death, emigration, and administrative censoring.</w:t>
      </w:r>
    </w:p>
    <w:p w:rsidR="00000000" w:rsidDel="00000000" w:rsidP="00000000" w:rsidRDefault="00000000" w:rsidRPr="00000000" w14:paraId="000000DC">
      <w:pPr>
        <w:numPr>
          <w:ilvl w:val="0"/>
          <w:numId w:val="4"/>
        </w:numPr>
        <w:ind w:left="720" w:hanging="360"/>
      </w:pPr>
      <w:r w:rsidDel="00000000" w:rsidR="00000000" w:rsidRPr="00000000">
        <w:rPr>
          <w:rtl w:val="0"/>
        </w:rPr>
        <w:t xml:space="preserve">Number of primary and secondary outcomes by initial treatment </w:t>
      </w:r>
    </w:p>
    <w:p w:rsidR="00000000" w:rsidDel="00000000" w:rsidP="00000000" w:rsidRDefault="00000000" w:rsidRPr="00000000" w14:paraId="000000DD">
      <w:pPr>
        <w:pStyle w:val="Heading1"/>
        <w:rPr/>
      </w:pPr>
      <w:bookmarkStart w:colFirst="0" w:colLast="0" w:name="_c44nioha3d87" w:id="16"/>
      <w:bookmarkEnd w:id="16"/>
      <w:r w:rsidDel="00000000" w:rsidR="00000000" w:rsidRPr="00000000">
        <w:rPr>
          <w:rtl w:val="0"/>
        </w:rPr>
        <w:t xml:space="preserve">Statistical estimation </w:t>
      </w:r>
    </w:p>
    <w:p w:rsidR="00000000" w:rsidDel="00000000" w:rsidP="00000000" w:rsidRDefault="00000000" w:rsidRPr="00000000" w14:paraId="000000DE">
      <w:pPr>
        <w:rPr/>
      </w:pPr>
      <w:r w:rsidDel="00000000" w:rsidR="00000000" w:rsidRPr="00000000">
        <w:rPr>
          <w:rtl w:val="0"/>
        </w:rPr>
        <w:t xml:space="preserve">We will employ a discrete time scale with periods of 6 months. We estimate the target parameters with a longitudinal targeted minimum loss estimator cite:petersen2014targeted,lendle2017ltmle. The estimator updates an initial sequential regression estimator using inverse probability weighting (propensity of treatment, probability of not being censored). All nuisance parameter regression models needed for the initial estimator and for the targeting, step were adjusted for additive effects of all variables, updated to the current time interval, such that we never confuse the causal time order of the variables. Specifically, we regress the outcome/treatment/censoring variables defined in the calendar time interval (t,t+6months] on the most recent values of the time-dependent variables at time t and the whole history of the treatment variables at time t. All nuisance parameter models will be fitted using </w:t>
      </w:r>
      <w:r w:rsidDel="00000000" w:rsidR="00000000" w:rsidRPr="00000000">
        <w:rPr>
          <w:rtl w:val="0"/>
        </w:rPr>
        <w:t xml:space="preserve">penalized elastic net t</w:t>
      </w:r>
      <w:r w:rsidDel="00000000" w:rsidR="00000000" w:rsidRPr="00000000">
        <w:rPr>
          <w:rtl w:val="0"/>
        </w:rPr>
        <w:t xml:space="preserve">he penalty parameters such as to undersmooth the regression fits. We do </w:t>
      </w:r>
      <w:r w:rsidDel="00000000" w:rsidR="00000000" w:rsidRPr="00000000">
        <w:rPr>
          <w:rtl w:val="0"/>
        </w:rPr>
        <w:t xml:space="preserve">not truncate propensity scores and censoring probabilities.</w:t>
      </w:r>
      <w:r w:rsidDel="00000000" w:rsidR="00000000" w:rsidRPr="00000000">
        <w:rPr>
          <w:rtl w:val="0"/>
        </w:rPr>
        <w:t xml:space="preserve"> Reported are the longitudinal targeted minimum loss estimates (LTMLE) with 95% confidence intervals.</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t xml:space="preserve">Some decisions await results obtained from the descriptive analyses performed in phase two of the analysis plan synthesis, which will guide the final formulation of the analysis plan (phase three). </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pStyle w:val="Heading2"/>
        <w:rPr/>
      </w:pPr>
      <w:bookmarkStart w:colFirst="0" w:colLast="0" w:name="_5vvsl8wafttz" w:id="17"/>
      <w:bookmarkEnd w:id="17"/>
      <w:r w:rsidDel="00000000" w:rsidR="00000000" w:rsidRPr="00000000">
        <w:rPr>
          <w:rtl w:val="0"/>
        </w:rPr>
        <w:t xml:space="preserve">Subgroups</w:t>
      </w:r>
      <w:r w:rsidDel="00000000" w:rsidR="00000000" w:rsidRPr="00000000">
        <w:rPr>
          <w:rtl w:val="0"/>
        </w:rPr>
        <w:t xml:space="preserve">: </w:t>
      </w:r>
    </w:p>
    <w:p w:rsidR="00000000" w:rsidDel="00000000" w:rsidP="00000000" w:rsidRDefault="00000000" w:rsidRPr="00000000" w14:paraId="000000E3">
      <w:pPr>
        <w:rPr/>
      </w:pPr>
      <w:r w:rsidDel="00000000" w:rsidR="00000000" w:rsidRPr="00000000">
        <w:rPr>
          <w:rtl w:val="0"/>
        </w:rPr>
        <w:t xml:space="preserve">We will at least repeat the analysis of the primary and secondary outcomes in subgroups</w:t>
      </w:r>
      <w:r w:rsidDel="00000000" w:rsidR="00000000" w:rsidRPr="00000000">
        <w:rPr>
          <w:rtl w:val="0"/>
        </w:rPr>
        <w:t xml:space="preserve"> listed below. </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numPr>
          <w:ilvl w:val="0"/>
          <w:numId w:val="7"/>
        </w:numPr>
        <w:ind w:left="720" w:hanging="360"/>
        <w:rPr>
          <w:u w:val="none"/>
        </w:rPr>
      </w:pPr>
      <w:r w:rsidDel="00000000" w:rsidR="00000000" w:rsidRPr="00000000">
        <w:rPr>
          <w:rtl w:val="0"/>
        </w:rPr>
        <w:t xml:space="preserve">Age brackets: 50-&lt;60 years, 60-&lt;70years, 70-&lt;80years, &gt;80 years of age.</w:t>
      </w:r>
    </w:p>
    <w:p w:rsidR="00000000" w:rsidDel="00000000" w:rsidP="00000000" w:rsidRDefault="00000000" w:rsidRPr="00000000" w14:paraId="000000E6">
      <w:pPr>
        <w:numPr>
          <w:ilvl w:val="0"/>
          <w:numId w:val="7"/>
        </w:numPr>
        <w:ind w:left="720" w:hanging="360"/>
        <w:rPr>
          <w:u w:val="none"/>
        </w:rPr>
      </w:pPr>
      <w:r w:rsidDel="00000000" w:rsidR="00000000" w:rsidRPr="00000000">
        <w:rPr>
          <w:rtl w:val="0"/>
        </w:rPr>
        <w:t xml:space="preserve">Gender: Male and female</w:t>
      </w:r>
    </w:p>
    <w:p w:rsidR="00000000" w:rsidDel="00000000" w:rsidP="00000000" w:rsidRDefault="00000000" w:rsidRPr="00000000" w14:paraId="000000E7">
      <w:pPr>
        <w:numPr>
          <w:ilvl w:val="0"/>
          <w:numId w:val="7"/>
        </w:numPr>
        <w:ind w:left="720" w:hanging="360"/>
        <w:rPr>
          <w:u w:val="none"/>
        </w:rPr>
      </w:pPr>
      <w:r w:rsidDel="00000000" w:rsidR="00000000" w:rsidRPr="00000000">
        <w:rPr>
          <w:rtl w:val="0"/>
        </w:rPr>
        <w:t xml:space="preserve">Duration of diabetes: by year</w:t>
      </w:r>
    </w:p>
    <w:p w:rsidR="00000000" w:rsidDel="00000000" w:rsidP="00000000" w:rsidRDefault="00000000" w:rsidRPr="00000000" w14:paraId="000000E8">
      <w:pPr>
        <w:numPr>
          <w:ilvl w:val="0"/>
          <w:numId w:val="7"/>
        </w:numPr>
        <w:ind w:left="720" w:hanging="360"/>
        <w:rPr>
          <w:u w:val="none"/>
        </w:rPr>
      </w:pPr>
      <w:r w:rsidDel="00000000" w:rsidR="00000000" w:rsidRPr="00000000">
        <w:rPr>
          <w:rtl w:val="0"/>
        </w:rPr>
        <w:t xml:space="preserve">Hba1c at baseline: &gt;8.5% (69 mmol/mol) and &lt;8.5%</w:t>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pStyle w:val="Heading2"/>
        <w:rPr/>
      </w:pPr>
      <w:bookmarkStart w:colFirst="0" w:colLast="0" w:name="_4z9q6h3sqdoe" w:id="18"/>
      <w:bookmarkEnd w:id="18"/>
      <w:r w:rsidDel="00000000" w:rsidR="00000000" w:rsidRPr="00000000">
        <w:rPr>
          <w:rtl w:val="0"/>
        </w:rPr>
        <w:t xml:space="preserve">Sensitivity analyses:  </w:t>
      </w:r>
      <w:r w:rsidDel="00000000" w:rsidR="00000000" w:rsidRPr="00000000">
        <w:rPr>
          <w:rtl w:val="0"/>
        </w:rPr>
      </w:r>
    </w:p>
    <w:p w:rsidR="00000000" w:rsidDel="00000000" w:rsidP="00000000" w:rsidRDefault="00000000" w:rsidRPr="00000000" w14:paraId="000000EB">
      <w:pPr>
        <w:rPr/>
      </w:pPr>
      <w:r w:rsidDel="00000000" w:rsidR="00000000" w:rsidRPr="00000000">
        <w:rPr>
          <w:rtl w:val="0"/>
        </w:rPr>
        <w:t xml:space="preserve">For sensitivity analysis we will have two approaches. Firstly, we will employ a grace period of 30 days, moving the index date to day 30 after treatment initiation and repeating the main analysis. This is to reduce the risk of reverse causality.</w:t>
      </w:r>
      <w:r w:rsidDel="00000000" w:rsidR="00000000" w:rsidRPr="00000000">
        <w:rPr>
          <w:rtl w:val="0"/>
        </w:rPr>
      </w:r>
    </w:p>
    <w:p w:rsidR="00000000" w:rsidDel="00000000" w:rsidP="00000000" w:rsidRDefault="00000000" w:rsidRPr="00000000" w14:paraId="000000EC">
      <w:pPr>
        <w:rPr/>
      </w:pPr>
      <w:r w:rsidDel="00000000" w:rsidR="00000000" w:rsidRPr="00000000">
        <w:rPr>
          <w:rtl w:val="0"/>
        </w:rPr>
        <w:t xml:space="preserve">Secondly, to reduce risk of temporal effect, we adjust for the calendar year by doing stratified sampling ensuring that there are an equal number of observations in both treatment groups.</w:t>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Link to trial: </w:t>
      </w:r>
      <w:hyperlink r:id="rId6">
        <w:r w:rsidDel="00000000" w:rsidR="00000000" w:rsidRPr="00000000">
          <w:rPr>
            <w:color w:val="1155cc"/>
            <w:u w:val="single"/>
            <w:rtl w:val="0"/>
          </w:rPr>
          <w:t xml:space="preserve">https://www.nejm.org/doi/full/10.1056/nejmoa1504720</w:t>
        </w:r>
      </w:hyperlink>
      <w:r w:rsidDel="00000000" w:rsidR="00000000" w:rsidRPr="00000000">
        <w:rPr>
          <w:rtl w:val="0"/>
        </w:rPr>
      </w:r>
    </w:p>
    <w:p w:rsidR="00000000" w:rsidDel="00000000" w:rsidP="00000000" w:rsidRDefault="00000000" w:rsidRPr="00000000" w14:paraId="000000F0">
      <w:pPr>
        <w:rPr/>
      </w:pPr>
      <w:r w:rsidDel="00000000" w:rsidR="00000000" w:rsidRPr="00000000">
        <w:rPr>
          <w:rtl w:val="0"/>
        </w:rPr>
        <w:t xml:space="preserve">Link to supplementary: </w:t>
      </w:r>
      <w:hyperlink r:id="rId7">
        <w:r w:rsidDel="00000000" w:rsidR="00000000" w:rsidRPr="00000000">
          <w:rPr>
            <w:color w:val="1155cc"/>
            <w:u w:val="single"/>
            <w:rtl w:val="0"/>
          </w:rPr>
          <w:t xml:space="preserve">https://www.nejm.org/doi/suppl/10.1056/NEJMoa1504720/suppl_file/nejmoa1504720_appendix.pdf</w:t>
        </w:r>
      </w:hyperlink>
      <w:r w:rsidDel="00000000" w:rsidR="00000000" w:rsidRPr="00000000">
        <w:rPr>
          <w:rtl w:val="0"/>
        </w:rPr>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br w:type="page"/>
      </w:r>
      <w:r w:rsidDel="00000000" w:rsidR="00000000" w:rsidRPr="00000000">
        <w:rPr>
          <w:rtl w:val="0"/>
        </w:rPr>
      </w:r>
    </w:p>
    <w:p w:rsidR="00000000" w:rsidDel="00000000" w:rsidP="00000000" w:rsidRDefault="00000000" w:rsidRPr="00000000" w14:paraId="000000F6">
      <w:pPr>
        <w:rPr/>
      </w:pPr>
      <w:r w:rsidDel="00000000" w:rsidR="00000000" w:rsidRPr="00000000">
        <w:rPr>
          <w:rtl w:val="0"/>
        </w:rPr>
        <w:t xml:space="preserve">Table 1: Definitions of concomitant medication types</w:t>
      </w:r>
    </w:p>
    <w:tbl>
      <w:tblPr>
        <w:tblStyle w:val="Table4"/>
        <w:tblW w:w="9025.511811023624"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542.7409945849795"/>
        <w:gridCol w:w="4482.770816438643"/>
        <w:tblGridChange w:id="0">
          <w:tblGrid>
            <w:gridCol w:w="4542.7409945849795"/>
            <w:gridCol w:w="4482.770816438643"/>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F7">
            <w:pPr>
              <w:rPr>
                <w:b w:val="1"/>
              </w:rPr>
            </w:pPr>
            <w:r w:rsidDel="00000000" w:rsidR="00000000" w:rsidRPr="00000000">
              <w:rPr>
                <w:b w:val="1"/>
                <w:rtl w:val="0"/>
              </w:rPr>
              <w:t xml:space="preserve">Drug</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F8">
            <w:pPr>
              <w:rPr>
                <w:b w:val="1"/>
              </w:rPr>
            </w:pPr>
            <w:r w:rsidDel="00000000" w:rsidR="00000000" w:rsidRPr="00000000">
              <w:rPr>
                <w:b w:val="1"/>
                <w:rtl w:val="0"/>
              </w:rPr>
              <w:t xml:space="preserve">ATC code</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F9">
            <w:pPr>
              <w:rPr/>
            </w:pPr>
            <w:r w:rsidDel="00000000" w:rsidR="00000000" w:rsidRPr="00000000">
              <w:rPr>
                <w:rtl w:val="0"/>
              </w:rPr>
              <w:t xml:space="preserve">Mineralocorticoids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FA">
            <w:pPr>
              <w:rPr/>
            </w:pPr>
            <w:r w:rsidDel="00000000" w:rsidR="00000000" w:rsidRPr="00000000">
              <w:rPr>
                <w:rtl w:val="0"/>
              </w:rPr>
              <w:t xml:space="preserve">H02AA</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FB">
            <w:pPr>
              <w:rPr/>
            </w:pPr>
            <w:r w:rsidDel="00000000" w:rsidR="00000000" w:rsidRPr="00000000">
              <w:rPr>
                <w:rtl w:val="0"/>
              </w:rPr>
              <w:t xml:space="preserve">Beta-blocker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FC">
            <w:pPr>
              <w:rPr/>
            </w:pPr>
            <w:r w:rsidDel="00000000" w:rsidR="00000000" w:rsidRPr="00000000">
              <w:rPr>
                <w:rtl w:val="0"/>
              </w:rPr>
              <w:t xml:space="preserve">C07</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FD">
            <w:pPr>
              <w:rPr/>
            </w:pPr>
            <w:r w:rsidDel="00000000" w:rsidR="00000000" w:rsidRPr="00000000">
              <w:rPr>
                <w:rtl w:val="0"/>
              </w:rPr>
              <w:t xml:space="preserve">Renin-angiotensin system inhibitor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FE">
            <w:pPr>
              <w:rPr/>
            </w:pPr>
            <w:r w:rsidDel="00000000" w:rsidR="00000000" w:rsidRPr="00000000">
              <w:rPr>
                <w:rtl w:val="0"/>
              </w:rPr>
              <w:t xml:space="preserve">C09</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FF">
            <w:pPr>
              <w:rPr/>
            </w:pPr>
            <w:r w:rsidDel="00000000" w:rsidR="00000000" w:rsidRPr="00000000">
              <w:rPr>
                <w:rtl w:val="0"/>
              </w:rPr>
              <w:t xml:space="preserve">Loop diuretics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00">
            <w:pPr>
              <w:rPr/>
            </w:pPr>
            <w:r w:rsidDel="00000000" w:rsidR="00000000" w:rsidRPr="00000000">
              <w:rPr>
                <w:rtl w:val="0"/>
              </w:rPr>
              <w:t xml:space="preserve">C03C, C03EB</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01">
            <w:pPr>
              <w:rPr/>
            </w:pPr>
            <w:r w:rsidDel="00000000" w:rsidR="00000000" w:rsidRPr="00000000">
              <w:rPr>
                <w:rtl w:val="0"/>
              </w:rPr>
              <w:t xml:space="preserve">Calcium channel blockers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02">
            <w:pPr>
              <w:rPr/>
            </w:pPr>
            <w:r w:rsidDel="00000000" w:rsidR="00000000" w:rsidRPr="00000000">
              <w:rPr>
                <w:rtl w:val="0"/>
              </w:rPr>
              <w:t xml:space="preserve">C08</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03">
            <w:pPr>
              <w:rPr/>
            </w:pPr>
            <w:r w:rsidDel="00000000" w:rsidR="00000000" w:rsidRPr="00000000">
              <w:rPr>
                <w:rtl w:val="0"/>
              </w:rPr>
              <w:t xml:space="preserve">Thiazide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04">
            <w:pPr>
              <w:rPr/>
            </w:pPr>
            <w:r w:rsidDel="00000000" w:rsidR="00000000" w:rsidRPr="00000000">
              <w:rPr>
                <w:rtl w:val="0"/>
              </w:rPr>
              <w:t xml:space="preserve">CO3A</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05">
            <w:pPr>
              <w:rPr/>
            </w:pPr>
            <w:r w:rsidDel="00000000" w:rsidR="00000000" w:rsidRPr="00000000">
              <w:rPr>
                <w:rtl w:val="0"/>
              </w:rPr>
              <w:t xml:space="preserve">Acetylsalicylic acid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06">
            <w:pPr>
              <w:rPr/>
            </w:pPr>
            <w:r w:rsidDel="00000000" w:rsidR="00000000" w:rsidRPr="00000000">
              <w:rPr>
                <w:rtl w:val="0"/>
              </w:rPr>
              <w:t xml:space="preserve">B01AC06, NO2BA01</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07">
            <w:pPr>
              <w:rPr/>
            </w:pPr>
            <w:r w:rsidDel="00000000" w:rsidR="00000000" w:rsidRPr="00000000">
              <w:rPr>
                <w:rtl w:val="0"/>
              </w:rPr>
              <w:t xml:space="preserve">Statin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08">
            <w:pPr>
              <w:rPr/>
            </w:pPr>
            <w:r w:rsidDel="00000000" w:rsidR="00000000" w:rsidRPr="00000000">
              <w:rPr>
                <w:rtl w:val="0"/>
              </w:rPr>
              <w:t xml:space="preserve">C10A, A10BH51, A10BH52</w:t>
            </w:r>
          </w:p>
        </w:tc>
      </w:tr>
    </w:tbl>
    <w:p w:rsidR="00000000" w:rsidDel="00000000" w:rsidP="00000000" w:rsidRDefault="00000000" w:rsidRPr="00000000" w14:paraId="00000109">
      <w:pPr>
        <w:rPr/>
      </w:pPr>
      <w:r w:rsidDel="00000000" w:rsidR="00000000" w:rsidRPr="00000000">
        <w:br w:type="page"/>
      </w:r>
      <w:r w:rsidDel="00000000" w:rsidR="00000000" w:rsidRPr="00000000">
        <w:rPr>
          <w:rtl w:val="0"/>
        </w:rPr>
      </w:r>
    </w:p>
    <w:p w:rsidR="00000000" w:rsidDel="00000000" w:rsidP="00000000" w:rsidRDefault="00000000" w:rsidRPr="00000000" w14:paraId="0000010A">
      <w:pPr>
        <w:rPr/>
      </w:pPr>
      <w:r w:rsidDel="00000000" w:rsidR="00000000" w:rsidRPr="00000000">
        <w:rPr>
          <w:rtl w:val="0"/>
        </w:rPr>
        <w:t xml:space="preserve">Table 2: Definitions of diseases </w:t>
      </w:r>
    </w:p>
    <w:tbl>
      <w:tblPr>
        <w:tblStyle w:val="Table5"/>
        <w:tblW w:w="87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95"/>
        <w:gridCol w:w="2895"/>
        <w:gridCol w:w="2370"/>
        <w:gridCol w:w="2700"/>
        <w:tblGridChange w:id="0">
          <w:tblGrid>
            <w:gridCol w:w="795"/>
            <w:gridCol w:w="2895"/>
            <w:gridCol w:w="2370"/>
            <w:gridCol w:w="2700"/>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0B">
            <w:pP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0C">
            <w:pPr>
              <w:rPr>
                <w:b w:val="1"/>
              </w:rPr>
            </w:pPr>
            <w:r w:rsidDel="00000000" w:rsidR="00000000" w:rsidRPr="00000000">
              <w:rPr>
                <w:b w:val="1"/>
                <w:rtl w:val="0"/>
              </w:rPr>
              <w:t xml:space="preserve">Disease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0D">
            <w:pPr>
              <w:rPr>
                <w:b w:val="1"/>
              </w:rPr>
            </w:pPr>
            <w:r w:rsidDel="00000000" w:rsidR="00000000" w:rsidRPr="00000000">
              <w:rPr>
                <w:b w:val="1"/>
                <w:rtl w:val="0"/>
              </w:rPr>
              <w:t xml:space="preserve">ICD-10 / **Procedure codes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0E">
            <w:pPr>
              <w:rPr>
                <w:b w:val="1"/>
              </w:rPr>
            </w:pPr>
            <w:r w:rsidDel="00000000" w:rsidR="00000000" w:rsidRPr="00000000">
              <w:rPr>
                <w:b w:val="1"/>
                <w:rtl w:val="0"/>
              </w:rPr>
              <w:t xml:space="preserve">ATC code</w:t>
            </w:r>
          </w:p>
        </w:tc>
      </w:tr>
      <w:tr>
        <w:trPr>
          <w:cantSplit w:val="0"/>
          <w:trHeight w:val="5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0F">
            <w:pP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10">
            <w:pPr>
              <w:rPr/>
            </w:pPr>
            <w:r w:rsidDel="00000000" w:rsidR="00000000" w:rsidRPr="00000000">
              <w:rPr>
                <w:rtl w:val="0"/>
              </w:rPr>
              <w:t xml:space="preserve">Heart failure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11">
            <w:pPr>
              <w:rPr/>
            </w:pPr>
            <w:r w:rsidDel="00000000" w:rsidR="00000000" w:rsidRPr="00000000">
              <w:rPr>
                <w:rtl w:val="0"/>
              </w:rPr>
              <w:t xml:space="preserve">I110, </w:t>
            </w:r>
            <w:r w:rsidDel="00000000" w:rsidR="00000000" w:rsidRPr="00000000">
              <w:rPr>
                <w:rtl w:val="0"/>
              </w:rPr>
              <w:t xml:space="preserve">I130, I132, I420, I426-I429</w:t>
            </w:r>
            <w:r w:rsidDel="00000000" w:rsidR="00000000" w:rsidRPr="00000000">
              <w:rPr>
                <w:rtl w:val="0"/>
              </w:rPr>
              <w:t xml:space="preserve">, I50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12">
            <w:pPr>
              <w:rPr/>
            </w:pPr>
            <w:r w:rsidDel="00000000" w:rsidR="00000000" w:rsidRPr="00000000">
              <w:rPr>
                <w:rtl w:val="0"/>
              </w:rPr>
              <w:t xml:space="preserve"> </w:t>
            </w:r>
          </w:p>
        </w:tc>
      </w:tr>
      <w:tr>
        <w:trPr>
          <w:cantSplit w:val="0"/>
          <w:trHeight w:val="336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13">
            <w:pPr>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14">
            <w:pPr>
              <w:rPr/>
            </w:pPr>
            <w:r w:rsidDel="00000000" w:rsidR="00000000" w:rsidRPr="00000000">
              <w:rPr>
                <w:rtl w:val="0"/>
              </w:rPr>
              <w:t xml:space="preserve">Hypertension*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15">
            <w:pPr>
              <w:rPr/>
            </w:pPr>
            <w:r w:rsidDel="00000000" w:rsidR="00000000" w:rsidRPr="00000000">
              <w:rPr>
                <w:rtl w:val="0"/>
              </w:rPr>
              <w:t xml:space="preserve">I10, I109, I11, I110, I119, I119A, I12, I120, I129, I13, I130, I131, I132, I139, I15, I150, I151, I152, I158, I159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16">
            <w:pPr>
              <w:rPr/>
            </w:pPr>
            <w:r w:rsidDel="00000000" w:rsidR="00000000" w:rsidRPr="00000000">
              <w:rPr>
                <w:rtl w:val="0"/>
              </w:rPr>
              <w:t xml:space="preserve">CO2A, CO2B, CO2C, CO2DA, CO2DB, CO2DD, CO2DG, CO2L, CO3A, CO3B, CO3D, CO3E, CO3X, CO7A, CO7B, CO7C, CO7D, CO7F, CO8, CO9AA, CO9BA, CO9BB, CO9CA, CO9DA, CO9DB, CO9XA02, CO9XA52</w:t>
            </w:r>
          </w:p>
        </w:tc>
      </w:tr>
      <w:tr>
        <w:trPr>
          <w:cantSplit w:val="0"/>
          <w:trHeight w:val="5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17">
            <w:pP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18">
            <w:pPr>
              <w:rPr/>
            </w:pPr>
            <w:r w:rsidDel="00000000" w:rsidR="00000000" w:rsidRPr="00000000">
              <w:rPr>
                <w:rtl w:val="0"/>
              </w:rPr>
              <w:t xml:space="preserve">Ischemic heart disease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19">
            <w:pPr>
              <w:rPr/>
            </w:pPr>
            <w:r w:rsidDel="00000000" w:rsidR="00000000" w:rsidRPr="00000000">
              <w:rPr>
                <w:rtl w:val="0"/>
              </w:rPr>
              <w:t xml:space="preserve">I20, I23, I24, I25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1A">
            <w:pPr>
              <w:rPr/>
            </w:pPr>
            <w:r w:rsidDel="00000000" w:rsidR="00000000" w:rsidRPr="00000000">
              <w:rPr>
                <w:rtl w:val="0"/>
              </w:rPr>
              <w:t xml:space="preserve"> </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1B">
            <w:pPr>
              <w:rPr/>
            </w:pPr>
            <w:r w:rsidDel="00000000" w:rsidR="00000000" w:rsidRPr="00000000">
              <w:rPr>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1C">
            <w:pPr>
              <w:rPr/>
            </w:pPr>
            <w:r w:rsidDel="00000000" w:rsidR="00000000" w:rsidRPr="00000000">
              <w:rPr>
                <w:rtl w:val="0"/>
              </w:rPr>
              <w:t xml:space="preserve">Stroke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1D">
            <w:pPr>
              <w:rPr/>
            </w:pPr>
            <w:r w:rsidDel="00000000" w:rsidR="00000000" w:rsidRPr="00000000">
              <w:rPr>
                <w:rtl w:val="0"/>
              </w:rPr>
              <w:t xml:space="preserve">I60-61, I63-64, G45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1E">
            <w:pPr>
              <w:rPr/>
            </w:pPr>
            <w:r w:rsidDel="00000000" w:rsidR="00000000" w:rsidRPr="00000000">
              <w:rPr>
                <w:rtl w:val="0"/>
              </w:rPr>
              <w:t xml:space="preserve"> </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1F">
            <w:pPr>
              <w:rPr/>
            </w:pPr>
            <w:r w:rsidDel="00000000" w:rsidR="00000000" w:rsidRPr="00000000">
              <w:rPr>
                <w:rtl w:val="0"/>
              </w:rPr>
              <w:t xml:space="preserve">4b</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20">
            <w:pPr>
              <w:rPr/>
            </w:pPr>
            <w:r w:rsidDel="00000000" w:rsidR="00000000" w:rsidRPr="00000000">
              <w:rPr>
                <w:rtl w:val="0"/>
              </w:rPr>
              <w:t xml:space="preserve">Cerebral transient ischemic attack</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21">
            <w:pPr>
              <w:rPr/>
            </w:pPr>
            <w:r w:rsidDel="00000000" w:rsidR="00000000" w:rsidRPr="00000000">
              <w:rPr>
                <w:rtl w:val="0"/>
              </w:rPr>
              <w:t xml:space="preserve">G45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22">
            <w:pPr>
              <w:rPr/>
            </w:pP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23">
            <w:pPr>
              <w:rPr/>
            </w:pPr>
            <w:r w:rsidDel="00000000" w:rsidR="00000000" w:rsidRPr="00000000">
              <w:rPr>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24">
            <w:pPr>
              <w:rPr/>
            </w:pPr>
            <w:r w:rsidDel="00000000" w:rsidR="00000000" w:rsidRPr="00000000">
              <w:rPr>
                <w:rtl w:val="0"/>
              </w:rPr>
              <w:t xml:space="preserve">Peripheral vascular disease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25">
            <w:pPr>
              <w:rPr/>
            </w:pPr>
            <w:r w:rsidDel="00000000" w:rsidR="00000000" w:rsidRPr="00000000">
              <w:rPr>
                <w:rtl w:val="0"/>
              </w:rPr>
              <w:t xml:space="preserve">I70, I739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26">
            <w:pPr>
              <w:rPr/>
            </w:pPr>
            <w:r w:rsidDel="00000000" w:rsidR="00000000" w:rsidRPr="00000000">
              <w:rPr>
                <w:rtl w:val="0"/>
              </w:rPr>
              <w:t xml:space="preserve"> </w:t>
            </w:r>
          </w:p>
        </w:tc>
      </w:tr>
      <w:tr>
        <w:trPr>
          <w:cantSplit w:val="0"/>
          <w:trHeight w:val="20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27">
            <w:pPr>
              <w:rPr/>
            </w:pPr>
            <w:r w:rsidDel="00000000" w:rsidR="00000000" w:rsidRPr="00000000">
              <w:rPr>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28">
            <w:pPr>
              <w:rPr/>
            </w:pPr>
            <w:r w:rsidDel="00000000" w:rsidR="00000000" w:rsidRPr="00000000">
              <w:rPr>
                <w:rtl w:val="0"/>
              </w:rPr>
              <w:t xml:space="preserve">Renal disease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29">
            <w:pPr>
              <w:rPr/>
            </w:pPr>
            <w:r w:rsidDel="00000000" w:rsidR="00000000" w:rsidRPr="00000000">
              <w:rPr>
                <w:rtl w:val="0"/>
              </w:rPr>
              <w:t xml:space="preserve">N02-08, N11-12, N14, N17-19, N26, N158-160, N162-164, N168, Q612-613, Q615, Q619, E112, E131, E142, I120, R34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2A">
            <w:pPr>
              <w:rPr/>
            </w:pPr>
            <w:r w:rsidDel="00000000" w:rsidR="00000000" w:rsidRPr="00000000">
              <w:rPr>
                <w:rtl w:val="0"/>
              </w:rPr>
              <w:t xml:space="preserve"> </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2B">
            <w:pPr>
              <w:rPr/>
            </w:pPr>
            <w:r w:rsidDel="00000000" w:rsidR="00000000" w:rsidRPr="00000000">
              <w:rPr>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2C">
            <w:pPr>
              <w:rPr/>
            </w:pPr>
            <w:r w:rsidDel="00000000" w:rsidR="00000000" w:rsidRPr="00000000">
              <w:rPr>
                <w:rtl w:val="0"/>
              </w:rPr>
              <w:t xml:space="preserve">Atrial fibrillation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2D">
            <w:pPr>
              <w:rPr/>
            </w:pPr>
            <w:r w:rsidDel="00000000" w:rsidR="00000000" w:rsidRPr="00000000">
              <w:rPr>
                <w:rtl w:val="0"/>
              </w:rPr>
              <w:t xml:space="preserve">I48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2E">
            <w:pPr>
              <w:rPr/>
            </w:pPr>
            <w:r w:rsidDel="00000000" w:rsidR="00000000" w:rsidRPr="00000000">
              <w:rPr>
                <w:rtl w:val="0"/>
              </w:rPr>
              <w:t xml:space="preserve"> </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2F">
            <w:pPr>
              <w:rPr/>
            </w:pPr>
            <w:r w:rsidDel="00000000" w:rsidR="00000000" w:rsidRPr="00000000">
              <w:rPr>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30">
            <w:pPr>
              <w:rPr/>
            </w:pPr>
            <w:r w:rsidDel="00000000" w:rsidR="00000000" w:rsidRPr="00000000">
              <w:rPr>
                <w:rtl w:val="0"/>
              </w:rPr>
              <w:t xml:space="preserve">Cancer, except non-melanoma skin cancer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31">
            <w:pPr>
              <w:rPr/>
            </w:pPr>
            <w:r w:rsidDel="00000000" w:rsidR="00000000" w:rsidRPr="00000000">
              <w:rPr>
                <w:rtl w:val="0"/>
              </w:rPr>
              <w:t xml:space="preserve">C00-C97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32">
            <w:pPr>
              <w:rPr/>
            </w:pPr>
            <w:r w:rsidDel="00000000" w:rsidR="00000000" w:rsidRPr="00000000">
              <w:rPr>
                <w:rtl w:val="0"/>
              </w:rPr>
              <w:t xml:space="preserve"> </w:t>
            </w:r>
          </w:p>
        </w:tc>
      </w:tr>
      <w:tr>
        <w:trPr>
          <w:cantSplit w:val="0"/>
          <w:trHeight w:val="6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33">
            <w:pPr>
              <w:rPr/>
            </w:pPr>
            <w:r w:rsidDel="00000000" w:rsidR="00000000" w:rsidRPr="00000000">
              <w:rPr>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34">
            <w:pPr>
              <w:rPr/>
            </w:pPr>
            <w:r w:rsidDel="00000000" w:rsidR="00000000" w:rsidRPr="00000000">
              <w:rPr>
                <w:rtl w:val="0"/>
              </w:rPr>
              <w:t xml:space="preserve">Chronic obstructive pulmonary disease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35">
            <w:pPr>
              <w:rPr/>
            </w:pPr>
            <w:r w:rsidDel="00000000" w:rsidR="00000000" w:rsidRPr="00000000">
              <w:rPr>
                <w:rtl w:val="0"/>
              </w:rPr>
              <w:t xml:space="preserve">J42, J44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36">
            <w:pPr>
              <w:rPr/>
            </w:pPr>
            <w:r w:rsidDel="00000000" w:rsidR="00000000" w:rsidRPr="00000000">
              <w:rPr>
                <w:rtl w:val="0"/>
              </w:rPr>
              <w:t xml:space="preserve"> </w:t>
            </w:r>
          </w:p>
        </w:tc>
      </w:tr>
      <w:tr>
        <w:trPr>
          <w:cantSplit w:val="0"/>
          <w:trHeight w:val="5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37">
            <w:pPr>
              <w:rPr/>
            </w:pPr>
            <w:r w:rsidDel="00000000" w:rsidR="00000000" w:rsidRPr="00000000">
              <w:rPr>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38">
            <w:pPr>
              <w:rPr/>
            </w:pPr>
            <w:r w:rsidDel="00000000" w:rsidR="00000000" w:rsidRPr="00000000">
              <w:rPr>
                <w:rtl w:val="0"/>
              </w:rPr>
              <w:t xml:space="preserve">Myocardial infarction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39">
            <w:pPr>
              <w:rPr/>
            </w:pPr>
            <w:r w:rsidDel="00000000" w:rsidR="00000000" w:rsidRPr="00000000">
              <w:rPr>
                <w:rtl w:val="0"/>
              </w:rPr>
              <w:t xml:space="preserve">I21, </w:t>
            </w:r>
            <w:r w:rsidDel="00000000" w:rsidR="00000000" w:rsidRPr="00000000">
              <w:rPr>
                <w:rtl w:val="0"/>
              </w:rPr>
              <w:t xml:space="preserve">I22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3A">
            <w:pPr>
              <w:rPr/>
            </w:pPr>
            <w:r w:rsidDel="00000000" w:rsidR="00000000" w:rsidRPr="00000000">
              <w:rPr>
                <w:rtl w:val="0"/>
              </w:rPr>
            </w:r>
          </w:p>
        </w:tc>
      </w:tr>
      <w:tr>
        <w:trPr>
          <w:cantSplit w:val="0"/>
          <w:trHeight w:val="5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3B">
            <w:pPr>
              <w:rPr/>
            </w:pPr>
            <w:r w:rsidDel="00000000" w:rsidR="00000000" w:rsidRPr="00000000">
              <w:rPr>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3C">
            <w:pPr>
              <w:rPr/>
            </w:pPr>
            <w:r w:rsidDel="00000000" w:rsidR="00000000" w:rsidRPr="00000000">
              <w:rPr>
                <w:rtl w:val="0"/>
              </w:rPr>
              <w:t xml:space="preserve">Revascularization </w:t>
            </w:r>
          </w:p>
        </w:tc>
        <w:tc>
          <w:tcPr>
            <w:tcBorders>
              <w:top w:color="000000" w:space="0" w:sz="4" w:val="single"/>
              <w:left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3D">
            <w:pPr>
              <w:rPr>
                <w:i w:val="1"/>
              </w:rPr>
            </w:pPr>
            <w:r w:rsidDel="00000000" w:rsidR="00000000" w:rsidRPr="00000000">
              <w:rPr>
                <w:i w:val="1"/>
                <w:rtl w:val="0"/>
              </w:rPr>
              <w:t xml:space="preserve">O21,O211,O212,O27,O20,O271,O37,O371,O372,O4,O41,O42,O34,O341,O342**</w:t>
            </w:r>
            <w:r w:rsidDel="00000000" w:rsidR="00000000" w:rsidRPr="00000000">
              <w:rPr>
                <w:rtl w:val="0"/>
              </w:rPr>
            </w:r>
          </w:p>
        </w:tc>
        <w:tc>
          <w:tcPr>
            <w:tcBorders>
              <w:top w:color="000000" w:space="0" w:sz="4" w:val="single"/>
              <w:left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3E">
            <w:pPr>
              <w:rPr/>
            </w:pPr>
            <w:r w:rsidDel="00000000" w:rsidR="00000000" w:rsidRPr="00000000">
              <w:rPr>
                <w:rtl w:val="0"/>
              </w:rPr>
            </w:r>
          </w:p>
        </w:tc>
      </w:tr>
      <w:tr>
        <w:trPr>
          <w:cantSplit w:val="0"/>
          <w:trHeight w:val="6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3F">
            <w:pPr>
              <w:rPr/>
            </w:pPr>
            <w:r w:rsidDel="00000000" w:rsidR="00000000" w:rsidRPr="00000000">
              <w:rPr>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140">
            <w:pPr>
              <w:rPr/>
            </w:pPr>
            <w:r w:rsidDel="00000000" w:rsidR="00000000" w:rsidRPr="00000000">
              <w:rPr>
                <w:rtl w:val="0"/>
              </w:rPr>
              <w:t xml:space="preserve">Unstable angina</w:t>
            </w:r>
          </w:p>
        </w:tc>
        <w:tc>
          <w:tcPr>
            <w:tcBorders>
              <w:bottom w:color="212121" w:space="0" w:sz="4" w:val="single"/>
              <w:right w:color="212121" w:space="0" w:sz="4" w:val="single"/>
            </w:tcBorders>
            <w:tcMar>
              <w:top w:w="40.0" w:type="dxa"/>
              <w:left w:w="100.0" w:type="dxa"/>
              <w:bottom w:w="40.0" w:type="dxa"/>
              <w:right w:w="100.0" w:type="dxa"/>
            </w:tcMar>
            <w:vAlign w:val="top"/>
          </w:tcPr>
          <w:p w:rsidR="00000000" w:rsidDel="00000000" w:rsidP="00000000" w:rsidRDefault="00000000" w:rsidRPr="00000000" w14:paraId="00000141">
            <w:pPr>
              <w:rPr>
                <w:rFonts w:ascii="Cambria" w:cs="Cambria" w:eastAsia="Cambria" w:hAnsi="Cambria"/>
                <w:color w:val="212121"/>
                <w:sz w:val="24"/>
                <w:szCs w:val="24"/>
              </w:rPr>
            </w:pPr>
            <w:r w:rsidDel="00000000" w:rsidR="00000000" w:rsidRPr="00000000">
              <w:rPr>
                <w:rtl w:val="0"/>
              </w:rPr>
              <w:t xml:space="preserve">I20</w:t>
            </w:r>
            <w:r w:rsidDel="00000000" w:rsidR="00000000" w:rsidRPr="00000000">
              <w:rPr>
                <w:rtl w:val="0"/>
              </w:rPr>
            </w:r>
          </w:p>
        </w:tc>
        <w:tc>
          <w:tcPr>
            <w:tcBorders>
              <w:left w:color="212121" w:space="0" w:sz="4" w:val="single"/>
              <w:bottom w:color="212121" w:space="0" w:sz="4" w:val="single"/>
              <w:right w:color="212121" w:space="0" w:sz="4" w:val="single"/>
            </w:tcBorders>
            <w:tcMar>
              <w:top w:w="40.0" w:type="dxa"/>
              <w:left w:w="100.0" w:type="dxa"/>
              <w:bottom w:w="40.0" w:type="dxa"/>
              <w:right w:w="100.0" w:type="dxa"/>
            </w:tcMar>
            <w:vAlign w:val="top"/>
          </w:tcPr>
          <w:p w:rsidR="00000000" w:rsidDel="00000000" w:rsidP="00000000" w:rsidRDefault="00000000" w:rsidRPr="00000000" w14:paraId="00000142">
            <w:pPr>
              <w:rPr>
                <w:rFonts w:ascii="Cambria" w:cs="Cambria" w:eastAsia="Cambria" w:hAnsi="Cambria"/>
                <w:color w:val="212121"/>
                <w:sz w:val="24"/>
                <w:szCs w:val="24"/>
              </w:rPr>
            </w:pPr>
            <w:r w:rsidDel="00000000" w:rsidR="00000000" w:rsidRPr="00000000">
              <w:rPr>
                <w:rtl w:val="0"/>
              </w:rPr>
            </w:r>
          </w:p>
        </w:tc>
      </w:tr>
    </w:tbl>
    <w:p w:rsidR="00000000" w:rsidDel="00000000" w:rsidP="00000000" w:rsidRDefault="00000000" w:rsidRPr="00000000" w14:paraId="00000143">
      <w:pPr>
        <w:rPr/>
      </w:pPr>
      <w:r w:rsidDel="00000000" w:rsidR="00000000" w:rsidRPr="00000000">
        <w:rPr>
          <w:rtl w:val="0"/>
        </w:rPr>
        <w:t xml:space="preserve">*Hypertension when defined by ATC requires at least two distinct redemption of prescriptions in two consecutive quarters. Date of hypertension, defined by the last of these redemptions. </w:t>
        <w:br w:type="textWrapping"/>
        <w:t xml:space="preserve">**Nordic procedure codes and not ICD10 codes.</w:t>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pPr>
      <w:r w:rsidDel="00000000" w:rsidR="00000000" w:rsidRPr="00000000">
        <w:rPr>
          <w:rtl w:val="0"/>
        </w:rPr>
        <w:t xml:space="preserve">Table 3: ATC codes to define glucose-lowering drug classes</w:t>
      </w:r>
    </w:p>
    <w:p w:rsidR="00000000" w:rsidDel="00000000" w:rsidP="00000000" w:rsidRDefault="00000000" w:rsidRPr="00000000" w14:paraId="00000148">
      <w:pPr>
        <w:rPr/>
      </w:pPr>
      <w:r w:rsidDel="00000000" w:rsidR="00000000" w:rsidRPr="00000000">
        <w:rPr>
          <w:rtl w:val="0"/>
        </w:rPr>
      </w:r>
    </w:p>
    <w:tbl>
      <w:tblPr>
        <w:tblStyle w:val="Table6"/>
        <w:tblpPr w:leftFromText="180" w:rightFromText="180" w:topFromText="180" w:bottomFromText="180" w:vertAnchor="text" w:horzAnchor="text" w:tblpX="0" w:tblpY="0"/>
        <w:tblW w:w="62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650"/>
        <w:gridCol w:w="4590"/>
        <w:tblGridChange w:id="0">
          <w:tblGrid>
            <w:gridCol w:w="1650"/>
            <w:gridCol w:w="4590"/>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0.0" w:type="dxa"/>
              <w:bottom w:w="0.0" w:type="dxa"/>
            </w:tcMar>
          </w:tcPr>
          <w:p w:rsidR="00000000" w:rsidDel="00000000" w:rsidP="00000000" w:rsidRDefault="00000000" w:rsidRPr="00000000" w14:paraId="00000149">
            <w:pPr>
              <w:spacing w:line="240" w:lineRule="auto"/>
              <w:rPr>
                <w:b w:val="1"/>
              </w:rPr>
            </w:pPr>
            <w:r w:rsidDel="00000000" w:rsidR="00000000" w:rsidRPr="00000000">
              <w:rPr>
                <w:b w:val="1"/>
                <w:rtl w:val="0"/>
              </w:rPr>
              <w:t xml:space="preserve">Drug class</w:t>
            </w:r>
          </w:p>
        </w:tc>
        <w:tc>
          <w:tcPr>
            <w:tcBorders>
              <w:top w:color="000000" w:space="0" w:sz="4" w:val="single"/>
              <w:left w:color="000000" w:space="0" w:sz="4" w:val="single"/>
              <w:bottom w:color="000000" w:space="0" w:sz="4" w:val="single"/>
              <w:right w:color="000000" w:space="0" w:sz="4" w:val="single"/>
            </w:tcBorders>
            <w:tcMar>
              <w:top w:w="0.0" w:type="dxa"/>
              <w:bottom w:w="0.0" w:type="dxa"/>
            </w:tcMar>
          </w:tcPr>
          <w:p w:rsidR="00000000" w:rsidDel="00000000" w:rsidP="00000000" w:rsidRDefault="00000000" w:rsidRPr="00000000" w14:paraId="0000014A">
            <w:pPr>
              <w:spacing w:line="240" w:lineRule="auto"/>
              <w:rPr>
                <w:b w:val="1"/>
              </w:rPr>
            </w:pPr>
            <w:r w:rsidDel="00000000" w:rsidR="00000000" w:rsidRPr="00000000">
              <w:rPr>
                <w:b w:val="1"/>
                <w:rtl w:val="0"/>
              </w:rPr>
              <w:t xml:space="preserve">ATC-codes</w:t>
            </w:r>
          </w:p>
        </w:tc>
      </w:tr>
      <w:tr>
        <w:trPr>
          <w:cantSplit w:val="0"/>
          <w:trHeight w:val="435" w:hRule="atLeast"/>
          <w:tblHeader w:val="0"/>
        </w:trPr>
        <w:tc>
          <w:tcPr>
            <w:tcBorders>
              <w:top w:color="000000" w:space="0" w:sz="4" w:val="single"/>
              <w:left w:color="000000" w:space="0" w:sz="4" w:val="single"/>
              <w:bottom w:color="000000" w:space="0" w:sz="4" w:val="single"/>
              <w:right w:color="000000" w:space="0" w:sz="4" w:val="single"/>
            </w:tcBorders>
            <w:tcMar>
              <w:top w:w="0.0" w:type="dxa"/>
              <w:bottom w:w="0.0" w:type="dxa"/>
            </w:tcMar>
          </w:tcPr>
          <w:p w:rsidR="00000000" w:rsidDel="00000000" w:rsidP="00000000" w:rsidRDefault="00000000" w:rsidRPr="00000000" w14:paraId="0000014B">
            <w:pPr>
              <w:spacing w:line="240" w:lineRule="auto"/>
              <w:rPr/>
            </w:pPr>
            <w:r w:rsidDel="00000000" w:rsidR="00000000" w:rsidRPr="00000000">
              <w:rPr>
                <w:rtl w:val="0"/>
              </w:rPr>
              <w:t xml:space="preserve">Insulin</w:t>
            </w:r>
          </w:p>
        </w:tc>
        <w:tc>
          <w:tcPr>
            <w:tcBorders>
              <w:top w:color="000000" w:space="0" w:sz="4" w:val="single"/>
              <w:left w:color="000000" w:space="0" w:sz="4" w:val="single"/>
              <w:bottom w:color="000000" w:space="0" w:sz="4" w:val="single"/>
              <w:right w:color="000000" w:space="0" w:sz="4" w:val="single"/>
            </w:tcBorders>
            <w:tcMar>
              <w:top w:w="0.0" w:type="dxa"/>
              <w:bottom w:w="0.0" w:type="dxa"/>
            </w:tcMar>
          </w:tcPr>
          <w:p w:rsidR="00000000" w:rsidDel="00000000" w:rsidP="00000000" w:rsidRDefault="00000000" w:rsidRPr="00000000" w14:paraId="0000014C">
            <w:pPr>
              <w:spacing w:line="240" w:lineRule="auto"/>
              <w:rPr/>
            </w:pPr>
            <w:r w:rsidDel="00000000" w:rsidR="00000000" w:rsidRPr="00000000">
              <w:rPr>
                <w:rtl w:val="0"/>
              </w:rPr>
              <w:t xml:space="preserve">A10A</w:t>
            </w:r>
          </w:p>
        </w:tc>
      </w:tr>
      <w:tr>
        <w:trPr>
          <w:cantSplit w:val="0"/>
          <w:trHeight w:val="378.14173228346465" w:hRule="atLeast"/>
          <w:tblHeader w:val="0"/>
        </w:trPr>
        <w:tc>
          <w:tcPr>
            <w:tcBorders>
              <w:top w:color="000000" w:space="0" w:sz="4" w:val="single"/>
              <w:left w:color="000000" w:space="0" w:sz="4" w:val="single"/>
              <w:bottom w:color="000000" w:space="0" w:sz="4" w:val="single"/>
              <w:right w:color="000000" w:space="0" w:sz="4" w:val="single"/>
            </w:tcBorders>
            <w:tcMar>
              <w:top w:w="0.0" w:type="dxa"/>
              <w:bottom w:w="0.0" w:type="dxa"/>
            </w:tcMar>
          </w:tcPr>
          <w:p w:rsidR="00000000" w:rsidDel="00000000" w:rsidP="00000000" w:rsidRDefault="00000000" w:rsidRPr="00000000" w14:paraId="0000014D">
            <w:pPr>
              <w:spacing w:line="240" w:lineRule="auto"/>
              <w:rPr/>
            </w:pPr>
            <w:r w:rsidDel="00000000" w:rsidR="00000000" w:rsidRPr="00000000">
              <w:rPr>
                <w:rtl w:val="0"/>
              </w:rPr>
              <w:t xml:space="preserve">Biguanidk</w:t>
            </w:r>
          </w:p>
        </w:tc>
        <w:tc>
          <w:tcPr>
            <w:tcBorders>
              <w:top w:color="000000" w:space="0" w:sz="4" w:val="single"/>
              <w:left w:color="000000" w:space="0" w:sz="4" w:val="single"/>
              <w:bottom w:color="000000" w:space="0" w:sz="4" w:val="single"/>
              <w:right w:color="000000" w:space="0" w:sz="4" w:val="single"/>
            </w:tcBorders>
            <w:tcMar>
              <w:top w:w="0.0" w:type="dxa"/>
              <w:bottom w:w="0.0" w:type="dxa"/>
            </w:tcMar>
          </w:tcPr>
          <w:p w:rsidR="00000000" w:rsidDel="00000000" w:rsidP="00000000" w:rsidRDefault="00000000" w:rsidRPr="00000000" w14:paraId="0000014E">
            <w:pPr>
              <w:spacing w:line="240" w:lineRule="auto"/>
              <w:rPr/>
            </w:pPr>
            <w:r w:rsidDel="00000000" w:rsidR="00000000" w:rsidRPr="00000000">
              <w:rPr>
                <w:rtl w:val="0"/>
              </w:rPr>
              <w:t xml:space="preserve">A10BA01, A10BA03, A10BD01</w:t>
            </w:r>
          </w:p>
        </w:tc>
      </w:tr>
      <w:tr>
        <w:trPr>
          <w:cantSplit w:val="0"/>
          <w:trHeight w:val="435" w:hRule="atLeast"/>
          <w:tblHeader w:val="0"/>
        </w:trPr>
        <w:tc>
          <w:tcPr>
            <w:tcBorders>
              <w:top w:color="000000" w:space="0" w:sz="4" w:val="single"/>
              <w:left w:color="000000" w:space="0" w:sz="4" w:val="single"/>
              <w:bottom w:color="000000" w:space="0" w:sz="4" w:val="single"/>
              <w:right w:color="000000" w:space="0" w:sz="4" w:val="single"/>
            </w:tcBorders>
            <w:tcMar>
              <w:top w:w="0.0" w:type="dxa"/>
              <w:bottom w:w="0.0" w:type="dxa"/>
            </w:tcMar>
          </w:tcPr>
          <w:p w:rsidR="00000000" w:rsidDel="00000000" w:rsidP="00000000" w:rsidRDefault="00000000" w:rsidRPr="00000000" w14:paraId="0000014F">
            <w:pPr>
              <w:spacing w:line="240" w:lineRule="auto"/>
              <w:rPr/>
            </w:pPr>
            <w:r w:rsidDel="00000000" w:rsidR="00000000" w:rsidRPr="00000000">
              <w:rPr>
                <w:rtl w:val="0"/>
              </w:rPr>
              <w:t xml:space="preserve">Metformin</w:t>
            </w:r>
          </w:p>
        </w:tc>
        <w:tc>
          <w:tcPr>
            <w:tcBorders>
              <w:top w:color="000000" w:space="0" w:sz="4" w:val="single"/>
              <w:left w:color="000000" w:space="0" w:sz="4" w:val="single"/>
              <w:bottom w:color="000000" w:space="0" w:sz="4" w:val="single"/>
              <w:right w:color="000000" w:space="0" w:sz="4" w:val="single"/>
            </w:tcBorders>
            <w:tcMar>
              <w:top w:w="0.0" w:type="dxa"/>
              <w:bottom w:w="0.0" w:type="dxa"/>
            </w:tcMar>
          </w:tcPr>
          <w:p w:rsidR="00000000" w:rsidDel="00000000" w:rsidP="00000000" w:rsidRDefault="00000000" w:rsidRPr="00000000" w14:paraId="00000150">
            <w:pPr>
              <w:spacing w:line="240" w:lineRule="auto"/>
              <w:rPr/>
            </w:pPr>
            <w:r w:rsidDel="00000000" w:rsidR="00000000" w:rsidRPr="00000000">
              <w:rPr>
                <w:rtl w:val="0"/>
              </w:rPr>
              <w:t xml:space="preserve">A10BA02, A10BD02-3, A10BD05, A10BD07-8, A10B10-11, A10BD20, A10BD22-23, A10BD25-27</w:t>
            </w:r>
          </w:p>
        </w:tc>
      </w:tr>
      <w:tr>
        <w:trPr>
          <w:cantSplit w:val="0"/>
          <w:trHeight w:val="485.925292968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1">
            <w:pPr>
              <w:spacing w:line="240" w:lineRule="auto"/>
              <w:rPr/>
            </w:pPr>
            <w:r w:rsidDel="00000000" w:rsidR="00000000" w:rsidRPr="00000000">
              <w:rPr>
                <w:rtl w:val="0"/>
              </w:rPr>
              <w:t xml:space="preserve">Sulfonylurea</w:t>
            </w:r>
          </w:p>
        </w:tc>
        <w:tc>
          <w:tcPr>
            <w:tcBorders>
              <w:top w:color="000000" w:space="0" w:sz="4" w:val="single"/>
              <w:left w:color="000000" w:space="0" w:sz="4" w:val="single"/>
              <w:bottom w:color="000000" w:space="0" w:sz="4" w:val="single"/>
              <w:right w:color="000000" w:space="0" w:sz="4" w:val="single"/>
            </w:tcBorders>
            <w:tcMar>
              <w:top w:w="0.0" w:type="dxa"/>
              <w:bottom w:w="0.0" w:type="dxa"/>
            </w:tcMar>
          </w:tcPr>
          <w:p w:rsidR="00000000" w:rsidDel="00000000" w:rsidP="00000000" w:rsidRDefault="00000000" w:rsidRPr="00000000" w14:paraId="00000152">
            <w:pPr>
              <w:spacing w:line="240" w:lineRule="auto"/>
              <w:rPr/>
            </w:pPr>
            <w:r w:rsidDel="00000000" w:rsidR="00000000" w:rsidRPr="00000000">
              <w:rPr>
                <w:rtl w:val="0"/>
              </w:rPr>
              <w:t xml:space="preserve">A10BB, A10BDO1, A10BD04, A10BDO</w:t>
            </w:r>
          </w:p>
        </w:tc>
      </w:tr>
      <w:tr>
        <w:trPr>
          <w:cantSplit w:val="0"/>
          <w:trHeight w:val="485.925292968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3">
            <w:pPr>
              <w:spacing w:line="240" w:lineRule="auto"/>
              <w:rPr/>
            </w:pPr>
            <w:r w:rsidDel="00000000" w:rsidR="00000000" w:rsidRPr="00000000">
              <w:rPr>
                <w:rtl w:val="0"/>
              </w:rPr>
              <w:t xml:space="preserve">Alfa glucosidase inhib</w:t>
            </w:r>
          </w:p>
        </w:tc>
        <w:tc>
          <w:tcPr>
            <w:tcBorders>
              <w:top w:color="000000" w:space="0" w:sz="4" w:val="single"/>
              <w:left w:color="000000" w:space="0" w:sz="4" w:val="single"/>
              <w:bottom w:color="000000" w:space="0" w:sz="4" w:val="single"/>
              <w:right w:color="000000" w:space="0" w:sz="4" w:val="single"/>
            </w:tcBorders>
            <w:tcMar>
              <w:top w:w="0.0" w:type="dxa"/>
              <w:bottom w:w="0.0" w:type="dxa"/>
            </w:tcMar>
          </w:tcPr>
          <w:p w:rsidR="00000000" w:rsidDel="00000000" w:rsidP="00000000" w:rsidRDefault="00000000" w:rsidRPr="00000000" w14:paraId="00000154">
            <w:pPr>
              <w:spacing w:line="240" w:lineRule="auto"/>
              <w:rPr/>
            </w:pPr>
            <w:r w:rsidDel="00000000" w:rsidR="00000000" w:rsidRPr="00000000">
              <w:rPr>
                <w:rtl w:val="0"/>
              </w:rPr>
              <w:t xml:space="preserve">A10BF, A10BD17</w:t>
            </w:r>
          </w:p>
        </w:tc>
      </w:tr>
      <w:tr>
        <w:trPr>
          <w:cantSplit w:val="0"/>
          <w:trHeight w:val="485.925292968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5">
            <w:pPr>
              <w:spacing w:line="240" w:lineRule="auto"/>
              <w:rPr/>
            </w:pPr>
            <w:r w:rsidDel="00000000" w:rsidR="00000000" w:rsidRPr="00000000">
              <w:rPr>
                <w:rtl w:val="0"/>
              </w:rPr>
              <w:t xml:space="preserve">Thiazolodinidion</w:t>
            </w:r>
          </w:p>
        </w:tc>
        <w:tc>
          <w:tcPr>
            <w:tcBorders>
              <w:top w:color="000000" w:space="0" w:sz="4" w:val="single"/>
              <w:left w:color="000000" w:space="0" w:sz="4" w:val="single"/>
              <w:bottom w:color="000000" w:space="0" w:sz="4" w:val="single"/>
              <w:right w:color="000000" w:space="0" w:sz="4" w:val="single"/>
            </w:tcBorders>
            <w:tcMar>
              <w:top w:w="0.0" w:type="dxa"/>
              <w:bottom w:w="0.0" w:type="dxa"/>
            </w:tcMar>
          </w:tcPr>
          <w:p w:rsidR="00000000" w:rsidDel="00000000" w:rsidP="00000000" w:rsidRDefault="00000000" w:rsidRPr="00000000" w14:paraId="00000156">
            <w:pPr>
              <w:spacing w:line="240" w:lineRule="auto"/>
              <w:rPr/>
            </w:pPr>
            <w:r w:rsidDel="00000000" w:rsidR="00000000" w:rsidRPr="00000000">
              <w:rPr>
                <w:rtl w:val="0"/>
              </w:rPr>
              <w:t xml:space="preserve">A10BG, A10BD03-06, A10BD09, A10BD12, A10BD26</w:t>
            </w:r>
          </w:p>
        </w:tc>
      </w:tr>
      <w:tr>
        <w:trPr>
          <w:cantSplit w:val="0"/>
          <w:trHeight w:val="485.925292968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7">
            <w:pPr>
              <w:spacing w:line="240" w:lineRule="auto"/>
              <w:rPr/>
            </w:pPr>
            <w:r w:rsidDel="00000000" w:rsidR="00000000" w:rsidRPr="00000000">
              <w:rPr>
                <w:rtl w:val="0"/>
              </w:rPr>
              <w:t xml:space="preserve">DPP4</w:t>
            </w:r>
          </w:p>
        </w:tc>
        <w:tc>
          <w:tcPr>
            <w:tcBorders>
              <w:top w:color="000000" w:space="0" w:sz="4" w:val="single"/>
              <w:left w:color="000000" w:space="0" w:sz="4" w:val="single"/>
              <w:bottom w:color="000000" w:space="0" w:sz="4" w:val="single"/>
              <w:right w:color="000000" w:space="0" w:sz="4" w:val="single"/>
            </w:tcBorders>
            <w:tcMar>
              <w:top w:w="0.0" w:type="dxa"/>
              <w:bottom w:w="0.0" w:type="dxa"/>
            </w:tcMar>
          </w:tcPr>
          <w:p w:rsidR="00000000" w:rsidDel="00000000" w:rsidP="00000000" w:rsidRDefault="00000000" w:rsidRPr="00000000" w14:paraId="00000158">
            <w:pPr>
              <w:spacing w:line="240" w:lineRule="auto"/>
              <w:rPr/>
            </w:pPr>
            <w:r w:rsidDel="00000000" w:rsidR="00000000" w:rsidRPr="00000000">
              <w:rPr>
                <w:rtl w:val="0"/>
              </w:rPr>
              <w:t xml:space="preserve">A10BH, A10BD07-13, A10BD18, A10BD19, A10BD21, A10BD22, A10BD24-25, A20BD27 </w:t>
            </w:r>
          </w:p>
        </w:tc>
      </w:tr>
      <w:tr>
        <w:trPr>
          <w:cantSplit w:val="0"/>
          <w:trHeight w:val="485.925292968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9">
            <w:pPr>
              <w:spacing w:line="240" w:lineRule="auto"/>
              <w:rPr/>
            </w:pPr>
            <w:r w:rsidDel="00000000" w:rsidR="00000000" w:rsidRPr="00000000">
              <w:rPr>
                <w:rtl w:val="0"/>
              </w:rPr>
              <w:t xml:space="preserve">SGLT2</w:t>
            </w:r>
          </w:p>
        </w:tc>
        <w:tc>
          <w:tcPr>
            <w:tcBorders>
              <w:top w:color="000000" w:space="0" w:sz="4" w:val="single"/>
              <w:left w:color="000000" w:space="0" w:sz="4" w:val="single"/>
              <w:bottom w:color="000000" w:space="0" w:sz="4" w:val="single"/>
              <w:right w:color="000000" w:space="0" w:sz="4" w:val="single"/>
            </w:tcBorders>
            <w:tcMar>
              <w:top w:w="0.0" w:type="dxa"/>
              <w:bottom w:w="0.0" w:type="dxa"/>
            </w:tcMar>
          </w:tcPr>
          <w:p w:rsidR="00000000" w:rsidDel="00000000" w:rsidP="00000000" w:rsidRDefault="00000000" w:rsidRPr="00000000" w14:paraId="0000015A">
            <w:pPr>
              <w:spacing w:line="240" w:lineRule="auto"/>
              <w:rPr/>
            </w:pPr>
            <w:r w:rsidDel="00000000" w:rsidR="00000000" w:rsidRPr="00000000">
              <w:rPr>
                <w:rtl w:val="0"/>
              </w:rPr>
              <w:t xml:space="preserve">A10BK, A10BD15-16, A10BD19-21, A10BD23-25, A10BD27 </w:t>
            </w:r>
          </w:p>
        </w:tc>
      </w:tr>
      <w:tr>
        <w:trPr>
          <w:cantSplit w:val="0"/>
          <w:trHeight w:val="25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B">
            <w:pPr>
              <w:spacing w:line="240" w:lineRule="auto"/>
              <w:rPr/>
            </w:pPr>
            <w:r w:rsidDel="00000000" w:rsidR="00000000" w:rsidRPr="00000000">
              <w:rPr>
                <w:rtl w:val="0"/>
              </w:rPr>
              <w:t xml:space="preserve">GLP1-RA</w:t>
            </w:r>
          </w:p>
        </w:tc>
        <w:tc>
          <w:tcPr>
            <w:tcBorders>
              <w:top w:color="000000" w:space="0" w:sz="4" w:val="single"/>
              <w:left w:color="000000" w:space="0" w:sz="4" w:val="single"/>
              <w:bottom w:color="000000" w:space="0" w:sz="4" w:val="single"/>
              <w:right w:color="000000" w:space="0" w:sz="4" w:val="single"/>
            </w:tcBorders>
            <w:tcMar>
              <w:top w:w="0.0" w:type="dxa"/>
              <w:bottom w:w="0.0" w:type="dxa"/>
            </w:tcMar>
          </w:tcPr>
          <w:p w:rsidR="00000000" w:rsidDel="00000000" w:rsidP="00000000" w:rsidRDefault="00000000" w:rsidRPr="00000000" w14:paraId="0000015C">
            <w:pPr>
              <w:keepLines w:val="1"/>
              <w:spacing w:line="240" w:lineRule="auto"/>
              <w:rPr/>
            </w:pPr>
            <w:r w:rsidDel="00000000" w:rsidR="00000000" w:rsidRPr="00000000">
              <w:rPr>
                <w:rtl w:val="0"/>
              </w:rPr>
              <w:t xml:space="preserve">A10BJ, A10AE54, A10AE56</w:t>
            </w:r>
          </w:p>
        </w:tc>
      </w:tr>
    </w:tbl>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pPr>
      <w:r w:rsidDel="00000000" w:rsidR="00000000" w:rsidRPr="00000000">
        <w:rPr>
          <w:rtl w:val="0"/>
        </w:rPr>
      </w:r>
    </w:p>
    <w:sectPr>
      <w:headerReference r:id="rId8" w:type="default"/>
      <w:footerReference r:id="rId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Cambr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7">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www.nejm.org/doi/full/10.1056/nejmoa1504720" TargetMode="External"/><Relationship Id="rId7" Type="http://schemas.openxmlformats.org/officeDocument/2006/relationships/hyperlink" Target="https://www.nejm.org/doi/suppl/10.1056/NEJMoa1504720/suppl_file/nejmoa1504720_appendix.pdf"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