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default" w:ascii="Times New Roman" w:hAnsi="Times New Roman" w:eastAsia="微软雅黑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微软雅黑" w:cs="Times New Roman"/>
          <w:b/>
          <w:bCs/>
          <w:sz w:val="28"/>
          <w:szCs w:val="28"/>
        </w:rPr>
        <w:t>Supplemental materials</w:t>
      </w:r>
    </w:p>
    <w:p>
      <w:pPr>
        <w:ind w:left="0" w:leftChars="0" w:firstLine="0" w:firstLineChars="0"/>
        <w:jc w:val="left"/>
        <w:rPr>
          <w:rFonts w:hint="eastAsia" w:eastAsia="微软雅黑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t>Table S1</w:t>
      </w:r>
      <w:r>
        <w:rPr>
          <w:rFonts w:hint="eastAsia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t>. Definitions of CKM</w:t>
      </w:r>
      <w:r>
        <w:rPr>
          <w:rFonts w:hint="eastAsia" w:eastAsia="微软雅黑" w:cs="Times New Roman"/>
          <w:b/>
          <w:bCs/>
          <w:sz w:val="21"/>
          <w:szCs w:val="21"/>
          <w:lang w:val="en-US" w:eastAsia="zh-CN"/>
        </w:rPr>
        <w:t>.</w:t>
      </w:r>
    </w:p>
    <w:tbl>
      <w:tblPr>
        <w:tblStyle w:val="3"/>
        <w:tblW w:w="11019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47"/>
        <w:gridCol w:w="8172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8" w:hRule="atLeast"/>
          <w:jc w:val="center"/>
        </w:trPr>
        <w:tc>
          <w:tcPr>
            <w:tcW w:w="2847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CKM syndrome stages</w:t>
            </w:r>
          </w:p>
        </w:tc>
        <w:tc>
          <w:tcPr>
            <w:tcW w:w="8172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>
            <w:pPr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en-US" w:eastAsia="zh-CN"/>
              </w:rPr>
              <w:t>Definition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4" w:hRule="atLeast"/>
          <w:jc w:val="center"/>
        </w:trPr>
        <w:tc>
          <w:tcPr>
            <w:tcW w:w="2847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Stage 0: No CKM risk factors</w:t>
            </w:r>
          </w:p>
        </w:tc>
        <w:tc>
          <w:tcPr>
            <w:tcW w:w="8172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Individuals with normal BMI and waist circumference, normoglycemia, normotension, a normal lipid profile, and no evidence of CKD or subclinical or clinical CVD.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70" w:hRule="atLeast"/>
          <w:jc w:val="center"/>
        </w:trPr>
        <w:tc>
          <w:tcPr>
            <w:tcW w:w="2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Stage 1: Excess or dysfunctional adiposity</w:t>
            </w:r>
          </w:p>
        </w:tc>
        <w:tc>
          <w:tcPr>
            <w:tcW w:w="81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Individuals with overweight/obesity, abdominal obesity, or dysfunctional adipose tissue, without the presence of other metabolic risk factors or CKD.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>①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BMI ≥23 kg/m².</w:t>
            </w:r>
          </w:p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>②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Waist circumference ≥80cm in women or ≥90cm in men</w:t>
            </w:r>
            <w:r>
              <w:rPr>
                <w:rFonts w:hint="eastAsia" w:cs="Times New Roman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>③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Fasting blood glucose ≥ 100-124 mg/dL, or 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HbA</w:t>
            </w:r>
            <w:r>
              <w:rPr>
                <w:rFonts w:hint="default" w:ascii="Times New Roman" w:hAnsi="Times New Roman" w:cs="Times New Roman"/>
                <w:b w:val="0"/>
                <w:bCs w:val="0"/>
                <w:vertAlign w:val="subscript"/>
              </w:rPr>
              <w:t>₁</w:t>
            </w: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</w:rPr>
              <w:t>c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between 5.7% and 6.4%</w:t>
            </w:r>
            <w:r>
              <w:rPr>
                <w:rFonts w:hint="default" w:ascii="Times New Roman" w:hAnsi="Times New Roman" w:cs="Times New Roman"/>
                <w:vertAlign w:val="superscript"/>
                <w:lang w:val="en-US" w:eastAsia="zh-CN"/>
              </w:rPr>
              <w:t>*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.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5" w:hRule="atLeast"/>
          <w:jc w:val="center"/>
        </w:trPr>
        <w:tc>
          <w:tcPr>
            <w:tcW w:w="2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Stage 2: Metabolic risk factors and CKD</w:t>
            </w:r>
          </w:p>
        </w:tc>
        <w:tc>
          <w:tcPr>
            <w:tcW w:w="81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Individuals with metabolic risk factors (hypertriglyceridemia, hypertension, MetS</w:t>
            </w:r>
            <w:r>
              <w:rPr>
                <w:rFonts w:hint="default" w:ascii="Times New Roman" w:hAnsi="Times New Roman" w:cs="Times New Roman"/>
                <w:vertAlign w:val="superscript"/>
                <w:lang w:val="en-US" w:eastAsia="zh-CN"/>
              </w:rPr>
              <w:t>#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, diabetes), or moderate-to-high-risk CKD stage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(The stage of CKD is determined by the KDIGO criteria, using eGFR and UACR</w:t>
            </w:r>
            <w:r>
              <w:rPr>
                <w:rFonts w:hint="eastAsia" w:cs="Times New Roman"/>
                <w:sz w:val="24"/>
                <w:szCs w:val="24"/>
                <w:vertAlign w:val="superscript"/>
                <w:lang w:val="en-US" w:eastAsia="zh-CN"/>
              </w:rPr>
              <w:t>[1]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. The eGFR was computed using the 2021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race and ethnicity‐free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CKD-EPI creatinine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equation</w:t>
            </w:r>
            <w:r>
              <w:rPr>
                <w:rFonts w:hint="eastAsia" w:cs="Times New Roman"/>
                <w:sz w:val="24"/>
                <w:szCs w:val="24"/>
                <w:vertAlign w:val="superscript"/>
                <w:lang w:val="en-US" w:eastAsia="zh-CN"/>
              </w:rPr>
              <w:t>[2]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.)</w:t>
            </w:r>
          </w:p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>①</w:t>
            </w:r>
            <w:r>
              <w:rPr>
                <w:rFonts w:hint="eastAsia" w:eastAsia="微软雅黑" w:cs="Times New Roman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>ypertriglyceridemia</w:t>
            </w:r>
            <w:r>
              <w:rPr>
                <w:rFonts w:hint="eastAsia" w:eastAsia="微软雅黑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>is defined by</w:t>
            </w:r>
            <w:r>
              <w:rPr>
                <w:rFonts w:hint="eastAsia" w:ascii="Times New Roman" w:hAnsi="Times New Roman" w:eastAsia="微软雅黑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TG ≥135mg/dL</w:t>
            </w:r>
            <w:r>
              <w:rPr>
                <w:rFonts w:hint="eastAsia" w:cs="Times New Roman"/>
                <w:lang w:val="en-US" w:eastAsia="zh-CN"/>
              </w:rPr>
              <w:t>.</w:t>
            </w:r>
          </w:p>
          <w:p>
            <w:pPr>
              <w:ind w:left="0" w:leftChars="0" w:firstLine="0" w:firstLineChars="0"/>
              <w:jc w:val="left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 xml:space="preserve">②Hypertension is defined by 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SBP ≥130 mmHg</w:t>
            </w:r>
            <w:r>
              <w:rPr>
                <w:rFonts w:hint="eastAsia" w:ascii="Times New Roman" w:hAnsi="Times New Roman" w:cs="Times New Roman"/>
                <w:b w:val="0"/>
                <w:bCs w:val="0"/>
                <w:lang w:val="en-US" w:eastAsia="zh-CN"/>
              </w:rPr>
              <w:t>,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 xml:space="preserve"> DBP</w:t>
            </w: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≥80 mmHg</w:t>
            </w: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>, a medical diagnosis, or taking antihypertensive medication</w:t>
            </w:r>
            <w:r>
              <w:rPr>
                <w:rFonts w:hint="eastAsia" w:eastAsia="微软雅黑" w:cs="Times New Roman"/>
                <w:vertAlign w:val="superscript"/>
                <w:lang w:val="en-US" w:eastAsia="zh-CN"/>
              </w:rPr>
              <w:t>[3]</w:t>
            </w: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>.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 xml:space="preserve">③Diabetes is defined by FBG &gt; 126 mg/dL, 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HbA</w:t>
            </w:r>
            <w:r>
              <w:rPr>
                <w:rFonts w:hint="default" w:ascii="Times New Roman" w:hAnsi="Times New Roman" w:cs="Times New Roman"/>
                <w:b w:val="0"/>
                <w:bCs w:val="0"/>
                <w:vertAlign w:val="subscript"/>
              </w:rPr>
              <w:t>₁</w:t>
            </w:r>
            <w:r>
              <w:rPr>
                <w:rFonts w:hint="default" w:ascii="Times New Roman" w:hAnsi="Times New Roman" w:cs="Times New Roman"/>
                <w:b w:val="0"/>
                <w:bCs w:val="0"/>
                <w:vertAlign w:val="baseline"/>
              </w:rPr>
              <w:t>c</w:t>
            </w: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 xml:space="preserve"> ≥ 6.5%, a medical diagnosis, or taking insulin or glucose-lowering medication</w:t>
            </w:r>
            <w:r>
              <w:rPr>
                <w:rFonts w:hint="eastAsia" w:eastAsia="微软雅黑" w:cs="Times New Roman"/>
                <w:vertAlign w:val="superscript"/>
                <w:lang w:val="en-US" w:eastAsia="zh-CN"/>
              </w:rPr>
              <w:t>[4]</w:t>
            </w: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>.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>④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Moderate-to-high-risk CKD: UACR ≥ 30 mg/g and eGFR ≥ 60 ml/min/1.73m</w:t>
            </w:r>
            <w:r>
              <w:rPr>
                <w:rFonts w:hint="default" w:ascii="Times New Roman" w:hAnsi="Times New Roman" w:cs="Times New Roman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, UACR &lt; 300 mg/g and eGFR ≤ 45-59 ml/min/1.73m</w:t>
            </w:r>
            <w:r>
              <w:rPr>
                <w:rFonts w:hint="default" w:ascii="Times New Roman" w:hAnsi="Times New Roman" w:cs="Times New Roman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, or UACR &lt; 30 mg/g and eGFR ≤ 30-44 ml/min/1.73m</w:t>
            </w:r>
            <w:r>
              <w:rPr>
                <w:rFonts w:hint="default" w:ascii="Times New Roman" w:hAnsi="Times New Roman" w:cs="Times New Roman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. 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4" w:hRule="atLeast"/>
          <w:jc w:val="center"/>
        </w:trPr>
        <w:tc>
          <w:tcPr>
            <w:tcW w:w="28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Stage 3: Subclinical CVD in CKM</w:t>
            </w:r>
          </w:p>
        </w:tc>
        <w:tc>
          <w:tcPr>
            <w:tcW w:w="817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Risk equivalents of subclinical CVD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>①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Very high-risk CKD</w:t>
            </w:r>
            <w:r>
              <w:rPr>
                <w:rFonts w:hint="eastAsia" w:cs="Times New Roman"/>
                <w:lang w:val="en-US" w:eastAsia="zh-CN"/>
              </w:rPr>
              <w:t xml:space="preserve"> in KDIGO classification: UACR ≥300 mg/g and eGFR ≤45-59 ml/min/1.73m</w:t>
            </w:r>
            <w:r>
              <w:rPr>
                <w:rFonts w:hint="eastAsia" w:cs="Times New Roman"/>
                <w:vertAlign w:val="superscript"/>
                <w:lang w:val="en-US" w:eastAsia="zh-CN"/>
              </w:rPr>
              <w:t>2</w:t>
            </w:r>
            <w:r>
              <w:rPr>
                <w:rFonts w:hint="eastAsia" w:cs="Times New Roman"/>
                <w:lang w:val="en-US" w:eastAsia="zh-CN"/>
              </w:rPr>
              <w:t>, UACR ≥30 mg/g and eGFR ≤30-44 ml/min/1.73m</w:t>
            </w:r>
            <w:r>
              <w:rPr>
                <w:rFonts w:hint="eastAsia" w:cs="Times New Roman"/>
                <w:vertAlign w:val="superscript"/>
                <w:lang w:val="en-US" w:eastAsia="zh-CN"/>
              </w:rPr>
              <w:t>2</w:t>
            </w:r>
            <w:r>
              <w:rPr>
                <w:rFonts w:hint="eastAsia" w:cs="Times New Roman"/>
                <w:lang w:val="en-US" w:eastAsia="zh-CN"/>
              </w:rPr>
              <w:t>, or eGFR ≤29 ml/min/1.73m</w:t>
            </w:r>
            <w:r>
              <w:rPr>
                <w:rFonts w:hint="eastAsia" w:cs="Times New Roman"/>
                <w:vertAlign w:val="superscript"/>
                <w:lang w:val="en-US" w:eastAsia="zh-CN"/>
              </w:rPr>
              <w:t>2</w:t>
            </w:r>
            <w:r>
              <w:rPr>
                <w:rFonts w:hint="eastAsia" w:cs="Times New Roman"/>
                <w:lang w:val="en-US" w:eastAsia="zh-CN"/>
              </w:rPr>
              <w:t>. 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lang w:val="en-US" w:eastAsia="zh-CN"/>
              </w:rPr>
              <w:t>②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High predicted 10-year CVD risk</w:t>
            </w:r>
            <w:r>
              <w:rPr>
                <w:rFonts w:hint="eastAsia" w:cs="Times New Roman"/>
                <w:lang w:val="en-US" w:eastAsia="zh-CN"/>
              </w:rPr>
              <w:t xml:space="preserve">: the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predicted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lang w:val="en-US" w:eastAsia="zh-CN"/>
              </w:rPr>
              <w:t xml:space="preserve">risk ≥20%,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as calculated by </w:t>
            </w:r>
            <w:r>
              <w:rPr>
                <w:rFonts w:hint="eastAsia" w:cs="Times New Roman"/>
                <w:lang w:val="en-US" w:eastAsia="zh-CN"/>
              </w:rPr>
              <w:t>the PREVENT equations</w:t>
            </w:r>
            <w:r>
              <w:rPr>
                <w:rFonts w:hint="eastAsia" w:cs="Times New Roman"/>
                <w:vertAlign w:val="superscript"/>
                <w:lang w:val="en-US" w:eastAsia="zh-CN"/>
              </w:rPr>
              <w:t>[5,6]</w:t>
            </w:r>
            <w:r>
              <w:rPr>
                <w:rFonts w:hint="eastAsia" w:cs="Times New Roman"/>
                <w:lang w:val="en-US" w:eastAsia="zh-CN"/>
              </w:rPr>
              <w:t>.</w:t>
            </w:r>
          </w:p>
        </w:tc>
      </w:tr>
    </w:tbl>
    <w:p>
      <w:pPr>
        <w:ind w:left="0" w:leftChars="0" w:firstLine="0" w:firstLineChars="0"/>
        <w:jc w:val="left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Abbreviations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: BMI, body mass index; CKD, chronic kidney disease; CVD, cardiovascular disease;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CKM,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cardiovascular-kidney-metabolic;</w:t>
      </w:r>
      <w:r>
        <w:rPr>
          <w:rFonts w:hint="eastAsia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HbA1c, hemoglobin A1c; HDL, high-density lipoprotein; MetS, metabolic syndrome; KDIGO, Kidney Disease Improving Global Outcomes; eGFR,</w:t>
      </w:r>
      <w:r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  <w:t xml:space="preserve"> estimated glomerular filtration rate; CKD-EPI, </w:t>
      </w:r>
      <w:r>
        <w:rPr>
          <w:rFonts w:hint="default" w:ascii="Times New Roman" w:hAnsi="Times New Roman" w:cs="Times New Roman"/>
          <w:sz w:val="21"/>
          <w:szCs w:val="21"/>
        </w:rPr>
        <w:t>Chronic Kidney Disease Epidemiology Collaboration</w:t>
      </w:r>
      <w:r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TG,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</w:rPr>
        <w:t>triglycerides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;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SBP, systolic blood pressure; DBP, diastolic blood pressure; </w:t>
      </w:r>
      <w:r>
        <w:rPr>
          <w:rFonts w:hint="default" w:ascii="Times New Roman" w:hAnsi="Times New Roman" w:eastAsia="微软雅黑" w:cs="Times New Roman"/>
          <w:sz w:val="21"/>
          <w:szCs w:val="21"/>
          <w:lang w:val="en-US" w:eastAsia="zh-CN"/>
        </w:rPr>
        <w:t xml:space="preserve">FBG,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fasting blood glucose; and NT-pro BNP; N-terminal pro-B-type natriuretic peptide.</w:t>
      </w:r>
    </w:p>
    <w:p>
      <w:pPr>
        <w:ind w:left="0" w:leftChars="0" w:firstLine="0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*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Individuals with gestational diabetes should receive intensified screening for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impaired glucose tolerance after pregnancy.</w:t>
      </w:r>
    </w:p>
    <w:p>
      <w:pPr>
        <w:ind w:left="0" w:leftChars="0" w:firstLine="0" w:firstLineChars="0"/>
        <w:jc w:val="left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#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MetS is defined by the presence of 3 or more of the following: (1) waist circumference ≥88 cm for women and ≥102 cm for men (≥80 cm for women and ≥90 cm for men if Asian ancestry); (2) HDL cholesterol &lt;40 mg/dL for men and &lt;50 mg/dL for women; (3)TG ≥150 mg/dL; (4) elevated blood pressure (SBP ≥130 mmHg or DBP ≥80 mmHg or use of antihypertensive medications);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and (5) </w:t>
      </w:r>
      <w:r>
        <w:rPr>
          <w:rFonts w:hint="default" w:ascii="Times New Roman" w:hAnsi="Times New Roman" w:eastAsia="微软雅黑" w:cs="Times New Roman"/>
          <w:sz w:val="21"/>
          <w:szCs w:val="21"/>
          <w:lang w:val="en-US" w:eastAsia="zh-CN"/>
        </w:rPr>
        <w:t xml:space="preserve">FBG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≥100 mg/dL.</w:t>
      </w:r>
    </w:p>
    <w:p>
      <w:pPr>
        <w:ind w:left="0" w:leftChars="0" w:firstLine="0" w:firstLineChars="0"/>
        <w:jc w:val="left"/>
        <w:rPr>
          <w:rFonts w:hint="eastAsia"/>
          <w:lang w:val="en-US" w:eastAsia="zh-CN"/>
        </w:rPr>
      </w:pPr>
    </w:p>
    <w:p>
      <w:pPr>
        <w:ind w:left="0" w:leftChars="0" w:firstLine="0" w:firstLineChars="0"/>
        <w:jc w:val="left"/>
        <w:rPr>
          <w:rFonts w:hint="default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Reference:</w:t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Kidney Disease: Improving Global Outcomes (KDIGO) CKD Work Group. KDIGO 2024 Clinical Practice Guideline for the Evaluation and Management of Chronic Kidney Disease. Kidney Int. 2024 Apr;105(4S):S117-S314. </w:t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</w:rPr>
        <w:t xml:space="preserve">Inker LA, Eneanya ND, Coresh J, et al. New Creatinine- and Cystatin C-Based Equations to Estimate GFR without Race. N Engl J Med. 2021 Nov 4;385(19):1737-1749. </w:t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Whelton PK, Carey RM. The 2017 American College of Cardiology/American Heart Association Clinical Practice Guideline for High Blood Pressure in Adults. JAMA Cardiol. 2018 Apr 1;3(4):352-353.  </w:t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American Diabetes Association Professional Practice Committee. 2. Classification and Diagnosis of Diabetes: Standards of Medical Care in Diabetes-2022. Diabetes Care. 2022 Jan 1;45(Suppl 1):S17-S38. </w:t>
      </w:r>
    </w:p>
    <w:p>
      <w:pPr>
        <w:ind w:left="0" w:leftChars="0" w:firstLine="0" w:firstLineChars="0"/>
        <w:jc w:val="left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[5]Khan SS, Matsushita K, Sang Y, Ballew SH, Grams ME, Surapaneni A, et al. Development and validation of the American Heart Association</w:t>
      </w:r>
      <w:r>
        <w:rPr>
          <w:rFonts w:hint="default"/>
          <w:sz w:val="21"/>
          <w:szCs w:val="21"/>
          <w:lang w:val="en-US" w:eastAsia="zh-CN"/>
        </w:rPr>
        <w:t>’</w:t>
      </w:r>
      <w:r>
        <w:rPr>
          <w:rFonts w:hint="eastAsia"/>
          <w:sz w:val="21"/>
          <w:szCs w:val="21"/>
          <w:lang w:val="en-US" w:eastAsia="zh-CN"/>
        </w:rPr>
        <w:t>s PREVENT equations. Circulation. 2024;149(6):430-49.</w:t>
      </w:r>
    </w:p>
    <w:p>
      <w:pPr>
        <w:ind w:left="0" w:leftChars="0" w:firstLine="0" w:firstLineChars="0"/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1"/>
          <w:szCs w:val="21"/>
          <w:lang w:val="en-US" w:eastAsia="zh-CN"/>
        </w:rPr>
        <w:t xml:space="preserve">[6]Khan SS, Coresh J, Pencina MJ, et al. Novel Prediction Equations for Absolute Risk Assessment of Total Cardiovascular Disease Incorporating Cardiovascular-Kidney-Metabolic Health: A Scientific Statement From the American Heart Association. Circulation. 2023 Dec 12;148(24):1982-2004. </w:t>
      </w:r>
    </w:p>
    <w:p>
      <w:pPr>
        <w:ind w:left="0" w:leftChars="0" w:firstLine="0" w:firstLineChars="0"/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ind w:left="0" w:leftChars="0" w:firstLine="0" w:firstLineChars="0"/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ind w:left="0" w:leftChars="0" w:firstLine="0" w:firstLineChars="0"/>
        <w:jc w:val="left"/>
        <w:rPr>
          <w:rFonts w:hint="eastAsia"/>
          <w:b w:val="0"/>
          <w:bCs w:val="0"/>
          <w:sz w:val="21"/>
          <w:szCs w:val="21"/>
          <w:lang w:val="en-US" w:eastAsia="zh-CN"/>
        </w:rPr>
      </w:pPr>
    </w:p>
    <w:p>
      <w:pPr>
        <w:ind w:left="0" w:leftChars="0" w:firstLine="0" w:firstLineChars="0"/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Table S2. The PREVENT 10-year risk estimation model equations.</w:t>
      </w:r>
    </w:p>
    <w:tbl>
      <w:tblPr>
        <w:tblStyle w:val="4"/>
        <w:tblW w:w="11019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9661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58" w:type="dxa"/>
            <w:tcBorders>
              <w:bottom w:val="single" w:color="auto" w:sz="8" w:space="0"/>
            </w:tcBorders>
            <w:shd w:val="clear" w:color="auto" w:fill="FFFFFF" w:themeFill="background1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cs="Times New Roman" w:eastAsiaTheme="minorEastAsia"/>
                <w:b/>
                <w:bCs w:val="0"/>
                <w:kern w:val="2"/>
                <w:sz w:val="20"/>
                <w:szCs w:val="20"/>
                <w:lang w:val="en-US" w:eastAsia="zh-CN" w:bidi="ar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bCs w:val="0"/>
                <w:sz w:val="20"/>
                <w:szCs w:val="20"/>
                <w:lang w:val="en-US" w:bidi="ar"/>
              </w:rPr>
              <w:t>Sex</w:t>
            </w:r>
          </w:p>
        </w:tc>
        <w:tc>
          <w:tcPr>
            <w:tcW w:w="9661" w:type="dxa"/>
            <w:tcBorders>
              <w:bottom w:val="single" w:color="auto" w:sz="8" w:space="0"/>
            </w:tcBorders>
            <w:shd w:val="clear" w:color="auto" w:fill="FFFFFF" w:themeFill="background1"/>
            <w:vAlign w:val="top"/>
          </w:tcPr>
          <w:p>
            <w:pPr>
              <w:pStyle w:val="2"/>
              <w:ind w:firstLine="402" w:firstLineChars="200"/>
              <w:jc w:val="center"/>
              <w:rPr>
                <w:rFonts w:hint="eastAsia" w:ascii="Times New Roman" w:hAnsi="Times New Roman" w:cs="Times New Roman" w:eastAsiaTheme="minorEastAsia"/>
                <w:b/>
                <w:bCs w:val="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b/>
                <w:bCs w:val="0"/>
                <w:sz w:val="20"/>
                <w:szCs w:val="20"/>
                <w:lang w:val="en-US" w:bidi="ar"/>
              </w:rPr>
              <w:t>Calculation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1" w:hRule="atLeast"/>
          <w:jc w:val="center"/>
        </w:trPr>
        <w:tc>
          <w:tcPr>
            <w:tcW w:w="1358" w:type="dxa"/>
            <w:vMerge w:val="restart"/>
            <w:tcBorders>
              <w:top w:val="single" w:color="auto" w:sz="8" w:space="0"/>
              <w:tl2br w:val="nil"/>
              <w:tr2bl w:val="nil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Men</w:t>
            </w:r>
          </w:p>
        </w:tc>
        <w:tc>
          <w:tcPr>
            <w:tcW w:w="9661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log-Odds = –3.031168 + 0.7688528 × (age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–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55) /10 + 0.0736174 × ((TC – HDL-C) × 0.02586 – 3.5) – 0.0954431 × (HDL-C × 0.02586 – 1.3) /0.3 – 0.4347345 × (min(SBP, 110) – 110) /20 + 0.3362658 × (max(SBP, 110) – 130) /20 + 0.7692857 × (if diabetes) + 0.4386871 × (if current smoker) + 0.5378979 × (min(eGFR, 60) – 60) / -15 + 0.0164827 × (max(eGFR, 60) – 90) / -15 + 0.288879 × (if using anti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hypertensive medication) – 0.1337349 × (if using statin) – 0.0475924 × (if using anti-hypertensive medication) × (max(SBP, 110) – 130) /20 + 0.150273 × (if using statin) × ((TC – HDL-C) × 0.02586 – 3.5) – 0.0517874 × (age – 55) /10 × ((TC – HDL-C) × 0.02586 – 3.5) + 0.0191169 × (age – 55) /10 × (HDL-C × 0.02586 – 1.3) /0.3 – 0.1049477 × (age – 55) /10 × (max(SBP, 110) – 130) /20 – 0.2251948 × (age – 55) /10 × (if diabetes) – 0.0895067 × (age – 55) /10 × (if current smoker) – 0.1543702 × (age – 55) /10 × (min(eGFR, 60) – 60) / –15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3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661" w:type="dxa"/>
            <w:tcBorders>
              <w:tl2br w:val="nil"/>
              <w:tr2bl w:val="nil"/>
            </w:tcBorders>
            <w:vAlign w:val="center"/>
          </w:tcPr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Risk</w:t>
            </w:r>
            <w:r>
              <w:rPr>
                <w:rFonts w:hint="eastAsia" w:cs="Times New Roman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= 1 / (1 + exp(-log-Odds))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8" w:hRule="atLeast"/>
          <w:jc w:val="center"/>
        </w:trPr>
        <w:tc>
          <w:tcPr>
            <w:tcW w:w="13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Women</w:t>
            </w:r>
          </w:p>
        </w:tc>
        <w:tc>
          <w:tcPr>
            <w:tcW w:w="9661" w:type="dxa"/>
            <w:tcBorders>
              <w:tl2br w:val="nil"/>
              <w:tr2bl w:val="nil"/>
            </w:tcBorders>
            <w:vAlign w:val="center"/>
          </w:tcPr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log-Odds = -3.307728 + 0.7939329 × (age – 55) /10 + 0.0305239 × ((TC – HDL-C) × 0.02586 – 3.5) – 0.1606857 × (HDL-C × 0.02586 – 1.3) /0.3 – 0.2394003 × (min(SBP, 110) – 110) /20 + 0.360078 × (max(SBP, 110) – 130) /20 + 0.8667604 × (if diabetes) + 0.5360739 × (if current smoker) + 0.6045917 × (min(eGFR, 60) – 60) / -15 + 0.0433769 × (max(eGFR, 60) – 90) / -15 + 0.3151672 × (if using anti hypertensive medication) – 0.1477655 × (if using statin) – 0.0663612 × (if using anti-hypertensive medication) × (max(SBP, 110) – 130) /20 + 0.1197879 × (if using statin) × ((TC – HDL-C) × 0.02586 – 3.5) – 0.0819715 × (age – 55) /10 × ((TC – HDL-C) × 0.02586 – 3.5) + 0.0306769 × (age – 55) /10 × (HDL-C × 0.02586 × 0.02586 – 1.3) /0.3 – 0.0946348 × (age – 55) /10 × (max(SBP, 110) – 130) /20 – 0.27057 × (age – 55) /10 × (if diabetes) – 0.078715 × (age – 55) /10 × (if current smoker) – 0.1637806 × (age – 55) /10 × (min(eGFR, 60) – 60) / –15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3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ind w:left="0" w:leftChars="0" w:firstLine="0" w:firstLineChars="0"/>
              <w:jc w:val="left"/>
              <w:rPr>
                <w:rFonts w:hint="eastAsia"/>
                <w:b w:val="0"/>
                <w:bCs w:val="0"/>
                <w:lang w:val="en-US" w:eastAsia="zh-CN"/>
              </w:rPr>
            </w:pPr>
          </w:p>
        </w:tc>
        <w:tc>
          <w:tcPr>
            <w:tcW w:w="9661" w:type="dxa"/>
            <w:tcBorders>
              <w:tl2br w:val="nil"/>
              <w:tr2bl w:val="nil"/>
            </w:tcBorders>
            <w:vAlign w:val="center"/>
          </w:tcPr>
          <w:p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Risk</w:t>
            </w:r>
            <w:r>
              <w:rPr>
                <w:rFonts w:hint="eastAsia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= 1 / (1 + exp(–log-Odds))</w:t>
            </w:r>
          </w:p>
        </w:tc>
      </w:tr>
      <w:bookmarkEnd w:id="0"/>
    </w:tbl>
    <w:p>
      <w:pP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br w:type="page"/>
      </w:r>
    </w:p>
    <w:p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t>Table S</w:t>
      </w:r>
      <w:r>
        <w:rPr>
          <w:rFonts w:hint="eastAsia" w:eastAsia="微软雅黑" w:cs="Times New Roman"/>
          <w:b/>
          <w:bCs/>
          <w:sz w:val="21"/>
          <w:szCs w:val="21"/>
          <w:lang w:val="en-US" w:eastAsia="zh-CN"/>
        </w:rPr>
        <w:t>3</w:t>
      </w:r>
      <w:r>
        <w:rPr>
          <w:rFonts w:hint="eastAsia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t xml:space="preserve">. 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Distribution of variables with missing data</w:t>
      </w:r>
      <w:r>
        <w:rPr>
          <w:rFonts w:hint="eastAsia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.</w:t>
      </w:r>
    </w:p>
    <w:tbl>
      <w:tblPr>
        <w:tblStyle w:val="4"/>
        <w:tblpPr w:leftFromText="180" w:rightFromText="180" w:vertAnchor="text" w:horzAnchor="page" w:tblpX="1977" w:tblpY="77"/>
        <w:tblOverlap w:val="never"/>
        <w:tblW w:w="8159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1"/>
        <w:gridCol w:w="2466"/>
        <w:gridCol w:w="2632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3061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  <w:r>
              <w:rPr>
                <w:rFonts w:hint="eastAsia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</w:p>
        </w:tc>
        <w:tc>
          <w:tcPr>
            <w:tcW w:w="2466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Number of Missing</w:t>
            </w:r>
          </w:p>
        </w:tc>
        <w:tc>
          <w:tcPr>
            <w:tcW w:w="2632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Missing proportion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3061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ducation</w:t>
            </w:r>
          </w:p>
        </w:tc>
        <w:tc>
          <w:tcPr>
            <w:tcW w:w="2466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0.02%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moke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0.06%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rink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0.06%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Height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cm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0.26%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Weight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kg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0.16%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Waist circumference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cm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0.1%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MI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kg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·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0.34%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BP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mmHg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0.52%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BP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mmHg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0.52%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Plt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0.6%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D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epression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  <w:t>2.97%</w:t>
            </w:r>
          </w:p>
        </w:tc>
      </w:tr>
    </w:tbl>
    <w:p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default" w:cs="Times New Roman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br w:type="page"/>
      </w:r>
    </w:p>
    <w:tbl>
      <w:tblPr>
        <w:tblStyle w:val="4"/>
        <w:tblpPr w:leftFromText="180" w:rightFromText="180" w:vertAnchor="text" w:horzAnchor="page" w:tblpXSpec="center" w:tblpY="468"/>
        <w:tblOverlap w:val="never"/>
        <w:tblW w:w="8159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1"/>
        <w:gridCol w:w="2466"/>
        <w:gridCol w:w="2632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3061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2466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Df</w:t>
            </w:r>
          </w:p>
        </w:tc>
        <w:tc>
          <w:tcPr>
            <w:tcW w:w="2632" w:type="dxa"/>
            <w:tcBorders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GVIF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1/2Df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3061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</w:p>
        </w:tc>
        <w:tc>
          <w:tcPr>
            <w:tcW w:w="2466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1.537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2"/>
                <w:sz w:val="21"/>
                <w:szCs w:val="21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1.673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arital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status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1.16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education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1.054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residence_place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1.075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smoke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1.047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drink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1.206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DM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1.097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ypertension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1.061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epression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1.064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Plt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1.042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CRP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1.032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Scr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dL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1.058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UN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dL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1.136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UA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dL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1.086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TC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dL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1.181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HDL-C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dL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3.82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LDL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-C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dL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3061" w:type="dxa"/>
            <w:tcBorders>
              <w:tl2br w:val="nil"/>
              <w:tr2bl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TG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dL</w:t>
            </w:r>
            <w:r>
              <w:rPr>
                <w:rFonts w:hint="eastAsia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24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6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3.315</w:t>
            </w:r>
          </w:p>
        </w:tc>
      </w:tr>
    </w:tbl>
    <w:p>
      <w:pPr>
        <w:keepNext w:val="0"/>
        <w:keepLines w:val="0"/>
        <w:widowControl/>
        <w:suppressLineNumbers w:val="0"/>
        <w:ind w:left="0" w:leftChars="0" w:firstLine="0" w:firstLineChars="0"/>
        <w:jc w:val="both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t>Table S</w:t>
      </w:r>
      <w:r>
        <w:rPr>
          <w:rFonts w:hint="eastAsia" w:eastAsia="微软雅黑" w:cs="Times New Roman"/>
          <w:b/>
          <w:bCs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. Collinearity Statistics.</w:t>
      </w:r>
    </w:p>
    <w:p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</w:pPr>
    </w:p>
    <w:p>
      <w:pP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br w:type="page"/>
      </w:r>
    </w:p>
    <w:p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t>Table S</w:t>
      </w:r>
      <w:r>
        <w:rPr>
          <w:rFonts w:hint="eastAsia" w:eastAsia="微软雅黑" w:cs="Times New Roman"/>
          <w:b/>
          <w:bCs/>
          <w:sz w:val="21"/>
          <w:szCs w:val="21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. Baseline characteristics after excluding individuals with any missing values.</w:t>
      </w:r>
    </w:p>
    <w:tbl>
      <w:tblPr>
        <w:tblStyle w:val="4"/>
        <w:tblpPr w:leftFromText="180" w:rightFromText="180" w:vertAnchor="text" w:horzAnchor="page" w:tblpXSpec="center" w:tblpY="453"/>
        <w:tblOverlap w:val="never"/>
        <w:tblW w:w="9671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555"/>
        <w:gridCol w:w="1445"/>
        <w:gridCol w:w="1446"/>
        <w:gridCol w:w="1533"/>
        <w:gridCol w:w="1527"/>
        <w:gridCol w:w="1045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variable</w:t>
            </w:r>
          </w:p>
        </w:tc>
        <w:tc>
          <w:tcPr>
            <w:tcW w:w="1445" w:type="dxa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＜30.59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446" w:type="dxa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30.59，35.09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533" w:type="dxa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35.09，40.24）</w:t>
            </w:r>
          </w:p>
        </w:tc>
        <w:tc>
          <w:tcPr>
            <w:tcW w:w="1527" w:type="dxa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（＞40.24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1045" w:type="dxa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P-value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Age（year）</w:t>
            </w:r>
          </w:p>
        </w:tc>
        <w:tc>
          <w:tcPr>
            <w:tcW w:w="1445" w:type="dxa"/>
            <w:tcBorders>
              <w:top w:val="single" w:color="000000" w:sz="8" w:space="0"/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62.74 ± 9.31</w:t>
            </w:r>
          </w:p>
        </w:tc>
        <w:tc>
          <w:tcPr>
            <w:tcW w:w="1446" w:type="dxa"/>
            <w:tcBorders>
              <w:top w:val="single" w:color="000000" w:sz="8" w:space="0"/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60.57 ± 8.74</w:t>
            </w:r>
          </w:p>
        </w:tc>
        <w:tc>
          <w:tcPr>
            <w:tcW w:w="1533" w:type="dxa"/>
            <w:tcBorders>
              <w:top w:val="single" w:color="000000" w:sz="8" w:space="0"/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60.06 ± 8.51</w:t>
            </w:r>
          </w:p>
        </w:tc>
        <w:tc>
          <w:tcPr>
            <w:tcW w:w="1527" w:type="dxa"/>
            <w:tcBorders>
              <w:top w:val="single" w:color="000000" w:sz="8" w:space="0"/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58.55 ± 8.15</w:t>
            </w:r>
          </w:p>
        </w:tc>
        <w:tc>
          <w:tcPr>
            <w:tcW w:w="1045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</w:p>
        </w:tc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583(46.60)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683(54.51)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710(56.71)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697(55.63)</w:t>
            </w:r>
          </w:p>
        </w:tc>
        <w:tc>
          <w:tcPr>
            <w:tcW w:w="104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668(53.40)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570(45.49)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542(43.29)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556(44.37)</w:t>
            </w:r>
          </w:p>
        </w:tc>
        <w:tc>
          <w:tcPr>
            <w:tcW w:w="10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Marital status</w:t>
            </w:r>
          </w:p>
        </w:tc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Married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1075(85.93)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1090(86.99)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1121(89.54)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1160(92.58)</w:t>
            </w:r>
          </w:p>
        </w:tc>
        <w:tc>
          <w:tcPr>
            <w:tcW w:w="104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Non-Married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176(14.07)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163(13.01)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131(10.46)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93( 7.42)</w:t>
            </w:r>
          </w:p>
        </w:tc>
        <w:tc>
          <w:tcPr>
            <w:tcW w:w="10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ducation</w:t>
            </w:r>
          </w:p>
        </w:tc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High school or above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100( 7.99)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123( 9.82)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164(13.11)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171(13.65)</w:t>
            </w:r>
          </w:p>
        </w:tc>
        <w:tc>
          <w:tcPr>
            <w:tcW w:w="104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Illiterate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353(28.22)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307(24.50)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279(22.30)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270(21.55)</w:t>
            </w:r>
          </w:p>
        </w:tc>
        <w:tc>
          <w:tcPr>
            <w:tcW w:w="10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Middele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school or below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798(63.79)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823(65.68)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808(64.59)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812(64.80)</w:t>
            </w:r>
          </w:p>
        </w:tc>
        <w:tc>
          <w:tcPr>
            <w:tcW w:w="10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Residence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place</w:t>
            </w:r>
          </w:p>
        </w:tc>
        <w:tc>
          <w:tcPr>
            <w:tcW w:w="155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rural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954(76.26)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858(68.48)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756(60.38)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716(57.14)</w:t>
            </w:r>
          </w:p>
        </w:tc>
        <w:tc>
          <w:tcPr>
            <w:tcW w:w="104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urban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297(23.74)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395(31.52)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496(39.62)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537(42.86)</w:t>
            </w:r>
          </w:p>
        </w:tc>
        <w:tc>
          <w:tcPr>
            <w:tcW w:w="10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moke</w:t>
            </w:r>
          </w:p>
        </w:tc>
        <w:tc>
          <w:tcPr>
            <w:tcW w:w="155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Current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464(37.15)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358(28.57)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314(25.10)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287(22.91)</w:t>
            </w:r>
          </w:p>
        </w:tc>
        <w:tc>
          <w:tcPr>
            <w:tcW w:w="104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Former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147(11.77)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136(10.85)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138(11.03)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179(14.29)</w:t>
            </w:r>
          </w:p>
        </w:tc>
        <w:tc>
          <w:tcPr>
            <w:tcW w:w="10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Never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638(51.08)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759(60.57)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799(63.87)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787(62.81)</w:t>
            </w:r>
          </w:p>
        </w:tc>
        <w:tc>
          <w:tcPr>
            <w:tcW w:w="10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rink</w:t>
            </w:r>
          </w:p>
        </w:tc>
        <w:tc>
          <w:tcPr>
            <w:tcW w:w="155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Current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195(15.60)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195(15.58)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216(17.25)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194(15.50)</w:t>
            </w:r>
          </w:p>
        </w:tc>
        <w:tc>
          <w:tcPr>
            <w:tcW w:w="104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  <w:t>&lt;0.01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Former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421(33.68)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365(29.15)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346(27.64)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332(26.52)</w:t>
            </w:r>
          </w:p>
        </w:tc>
        <w:tc>
          <w:tcPr>
            <w:tcW w:w="10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Never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634(50.72)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692(55.27)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690(55.11)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726(57.99)</w:t>
            </w:r>
          </w:p>
        </w:tc>
        <w:tc>
          <w:tcPr>
            <w:tcW w:w="10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Height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cm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158.38 ± 8.47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158.19 ± 8.53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158.45 ± 8.26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159.34 ± 8.45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&lt;0.01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Weight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kg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50.14 ± 6.88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56.85 ± 6.73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62.56 ± 7.34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71.52 ± 9.71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Waist circumference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cm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75.95 ± 7.17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83.09 ± 7.10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88.77 ± 6.93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96.78 ± 8.37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MI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kg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·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19.93 ± 1.62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22.67 ± 1.42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24.87 ± 1.65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28.11 ± 2.60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BP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mmHg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123.84± 19.41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125.89± 18.73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129.39 ± 19.09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132.83 ± 19.41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BP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mmHg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72.25 ± 10.85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74.66 ± 11.46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76.56 ± 11.36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79.88 ± 12.21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LU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93.65 ± 20.07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98.63 ± 25.73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104.71 ± 32.07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117.61 ± 48.35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Plt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201.44± 69.99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203.60± 68.52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209.00 ± 71.82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212.95 ± 69.02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CRP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1.84 ± 4.18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2.00 ± 4.58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2.33 ± 3.63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3.31 ± 6.28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HbAlc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%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5.74 ± 0.69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5.84 ± 0.76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5.99 ± 0.94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6.33 ± 1.34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Scr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mg/dL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 ± 0.20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 ± 0.34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 ± 0.23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 ± 0.23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BUN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mg/dL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16.22 ± 4.55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15.46 ± 4.43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15.35 ± 4.36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15.13 ± 4.21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UA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mg/dL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4.55 ± 1.31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4.61 ± 1.28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4.92 ± 1.36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5.31 ± 1.46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TC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mg/dL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182.84± 34.39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183.75± 36.53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184.48 ± 34.76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186.38 ± 38.46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0.09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HDL-C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mg/dL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60.35 ± 12.64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52.46 ± 9.28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48.64 ± 8.34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43.24 ± 7.77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LDL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-C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mg/dL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100.44± 28.73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104.75± 29.03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104.70 ± 27.96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99.89 ± 28.57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TG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mg/dL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89.08 ± 35.47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118.20± 60.04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147.54 ± 75.75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214.07±114.36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METS-IR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27.41 ± 2.34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32.89 ± 1.29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37.50 ± 1.44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45.36 ± 4.38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Diabetes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90( 7.19)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146(11.65)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225(17.97)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381(30.41)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Hypertension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353(28.22)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398(31.76)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537(42.89)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700(55.87)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Dyslipidemia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181(14.47)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325(25.94)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498(39.78)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857(68.40)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Depression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386(32.36)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380(31.02)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334(27.24)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323(26.56)</w:t>
            </w:r>
          </w:p>
        </w:tc>
        <w:tc>
          <w:tcPr>
            <w:tcW w:w="10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&lt;0.01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CKM</w:t>
            </w:r>
          </w:p>
        </w:tc>
        <w:tc>
          <w:tcPr>
            <w:tcW w:w="155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101( 8.07)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12( 0.96)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3( 0.24)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4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&lt;0.0001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168(13.43)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201(16.04)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109( 8.71)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37( 2.95)</w:t>
            </w:r>
          </w:p>
        </w:tc>
        <w:tc>
          <w:tcPr>
            <w:tcW w:w="10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215(17.19)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333(26.58)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411(32.83)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380(30.33)</w:t>
            </w:r>
          </w:p>
        </w:tc>
        <w:tc>
          <w:tcPr>
            <w:tcW w:w="10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5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45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767(61.31)</w:t>
            </w:r>
          </w:p>
        </w:tc>
        <w:tc>
          <w:tcPr>
            <w:tcW w:w="1446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707(56.42)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729(58.23)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836(66.72)</w:t>
            </w:r>
          </w:p>
        </w:tc>
        <w:tc>
          <w:tcPr>
            <w:tcW w:w="104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</w:pPr>
      <w: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br w:type="page"/>
      </w:r>
    </w:p>
    <w:p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t>Table S</w:t>
      </w:r>
      <w:r>
        <w:rPr>
          <w:rFonts w:hint="eastAsia" w:eastAsia="微软雅黑" w:cs="Times New Roman"/>
          <w:b/>
          <w:bCs/>
          <w:sz w:val="21"/>
          <w:szCs w:val="21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>. Association between METS-IR and stroke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1"/>
          <w:szCs w:val="21"/>
          <w:highlight w:val="none"/>
          <w:lang w:val="en-US" w:eastAsia="zh-CN" w:bidi="ar"/>
        </w:rPr>
        <w:t xml:space="preserve"> incidence</w:t>
      </w:r>
      <w:r>
        <w:rPr>
          <w:rFonts w:hint="default" w:ascii="Times New Roman" w:hAnsi="Times New Roman" w:eastAsia="宋体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t xml:space="preserve"> in a population with CKM syndrome stages 0-3 after excluding individuals with any missing value.</w:t>
      </w:r>
    </w:p>
    <w:tbl>
      <w:tblPr>
        <w:tblStyle w:val="4"/>
        <w:tblW w:w="11721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1192"/>
        <w:gridCol w:w="983"/>
        <w:gridCol w:w="1167"/>
        <w:gridCol w:w="942"/>
        <w:gridCol w:w="1183"/>
        <w:gridCol w:w="975"/>
        <w:gridCol w:w="1183"/>
        <w:gridCol w:w="967"/>
        <w:gridCol w:w="1192"/>
        <w:gridCol w:w="855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08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METS-IR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  <w:t>quartile</w:t>
            </w:r>
          </w:p>
        </w:tc>
        <w:tc>
          <w:tcPr>
            <w:tcW w:w="217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crude model</w:t>
            </w:r>
          </w:p>
        </w:tc>
        <w:tc>
          <w:tcPr>
            <w:tcW w:w="2109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58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150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047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082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95%CI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95%CI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94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95%CI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95%CI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9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11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95%CI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)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Q1</w:t>
            </w:r>
          </w:p>
        </w:tc>
        <w:tc>
          <w:tcPr>
            <w:tcW w:w="11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94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96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ref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Q2</w:t>
            </w:r>
          </w:p>
        </w:tc>
        <w:tc>
          <w:tcPr>
            <w:tcW w:w="11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1.25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(0.87,1.80)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0.23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1.42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(0.98,2.05)</w:t>
            </w:r>
          </w:p>
        </w:tc>
        <w:tc>
          <w:tcPr>
            <w:tcW w:w="94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0.06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(0.97,2.03)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0.07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1.38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(0.94,2.04)</w:t>
            </w:r>
          </w:p>
        </w:tc>
        <w:tc>
          <w:tcPr>
            <w:tcW w:w="9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0.10</w:t>
            </w:r>
          </w:p>
        </w:tc>
        <w:tc>
          <w:tcPr>
            <w:tcW w:w="11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1.33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(0.88,2.01)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0.17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Q3</w:t>
            </w:r>
          </w:p>
        </w:tc>
        <w:tc>
          <w:tcPr>
            <w:tcW w:w="11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1.99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(1.42,2.79)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2.35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(1.67,3.31)</w:t>
            </w:r>
          </w:p>
        </w:tc>
        <w:tc>
          <w:tcPr>
            <w:tcW w:w="94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2.31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(1.64,3.26)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2.08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(1.44,3.01)</w:t>
            </w:r>
          </w:p>
        </w:tc>
        <w:tc>
          <w:tcPr>
            <w:tcW w:w="9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1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2.03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(1.34,3.09)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08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Q4</w:t>
            </w:r>
          </w:p>
        </w:tc>
        <w:tc>
          <w:tcPr>
            <w:tcW w:w="11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2.11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(1.51,2.95)</w:t>
            </w:r>
          </w:p>
        </w:tc>
        <w:tc>
          <w:tcPr>
            <w:tcW w:w="9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(1.92,3.80)</w:t>
            </w:r>
          </w:p>
        </w:tc>
        <w:tc>
          <w:tcPr>
            <w:tcW w:w="94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2.65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(1.87,3.75)</w:t>
            </w:r>
          </w:p>
        </w:tc>
        <w:tc>
          <w:tcPr>
            <w:tcW w:w="97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1.99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(1.36,2.92)</w:t>
            </w:r>
          </w:p>
        </w:tc>
        <w:tc>
          <w:tcPr>
            <w:tcW w:w="967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192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1.99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(1.22,3.23)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cs="Times New Roman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</w:tr>
    </w:tbl>
    <w:p>
      <w:pPr>
        <w:ind w:left="0" w:leftChars="0" w:firstLine="0" w:firstLineChars="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br w:type="page"/>
      </w:r>
      <w: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t>Figure 1</w:t>
      </w:r>
      <w:r>
        <w:rPr>
          <w:rFonts w:hint="eastAsia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t>.</w:t>
      </w:r>
      <w:r>
        <w:rPr>
          <w:rFonts w:hint="default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t xml:space="preserve"> Subgroup analysis of the association between METS-IR and stroke incidence </w:t>
      </w:r>
      <w:r>
        <w:rPr>
          <w:rFonts w:hint="eastAsia" w:ascii="Times New Roman" w:hAnsi="Times New Roman" w:eastAsia="微软雅黑" w:cs="Times New Roman"/>
          <w:b/>
          <w:bCs/>
          <w:sz w:val="21"/>
          <w:szCs w:val="21"/>
          <w:lang w:val="en-US" w:eastAsia="zh-CN"/>
        </w:rPr>
        <w:t>in individuals with CKM stages 0-3</w:t>
      </w:r>
    </w:p>
    <w:p>
      <w:pPr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196205" cy="6076950"/>
            <wp:effectExtent l="0" t="0" r="10795" b="6350"/>
            <wp:docPr id="2" name="图片 2" descr="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森林图"/>
                    <pic:cNvPicPr>
                      <a:picLocks noChangeAspect="1"/>
                    </pic:cNvPicPr>
                  </pic:nvPicPr>
                  <pic:blipFill>
                    <a:blip r:embed="rId6"/>
                    <a:srcRect l="25362" t="14449" r="24469" b="15159"/>
                    <a:stretch>
                      <a:fillRect/>
                    </a:stretch>
                  </pic:blipFill>
                  <pic:spPr>
                    <a:xfrm>
                      <a:off x="0" y="0"/>
                      <a:ext cx="5196205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jc w:val="center"/>
        <w:rPr>
          <w:rFonts w:hint="default" w:ascii="Times New Roman" w:hAnsi="Times New Roman" w:eastAsia="微软雅黑" w:cs="Times New Roman"/>
          <w:b/>
          <w:bCs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43DBB5"/>
    <w:multiLevelType w:val="singleLevel"/>
    <w:tmpl w:val="AE43DBB5"/>
    <w:lvl w:ilvl="0" w:tentative="0">
      <w:start w:val="1"/>
      <w:numFmt w:val="decimal"/>
      <w:suff w:val="space"/>
      <w:lvlText w:val="[%1]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jZjk4N2YzMWE4YTZjZTU0MjQ3YjdhMGFkNTAzNzkifQ=="/>
    <w:docVar w:name="KSO_WPS_MARK_KEY" w:val="42bbd209-88bf-4f93-baf1-05575a340df7"/>
  </w:docVars>
  <w:rsids>
    <w:rsidRoot w:val="63BD1619"/>
    <w:rsid w:val="0D473438"/>
    <w:rsid w:val="0FC7689E"/>
    <w:rsid w:val="185156EA"/>
    <w:rsid w:val="1BFF3277"/>
    <w:rsid w:val="3250694A"/>
    <w:rsid w:val="3DCB2C1C"/>
    <w:rsid w:val="3EE92AC0"/>
    <w:rsid w:val="42806A53"/>
    <w:rsid w:val="484C10BF"/>
    <w:rsid w:val="48770894"/>
    <w:rsid w:val="50043AFE"/>
    <w:rsid w:val="54DE4FF6"/>
    <w:rsid w:val="63BD1619"/>
    <w:rsid w:val="6ABB4A3E"/>
    <w:rsid w:val="6C1A0044"/>
    <w:rsid w:val="6C810CBA"/>
    <w:rsid w:val="6E4B26FB"/>
    <w:rsid w:val="70672630"/>
    <w:rsid w:val="722D06D9"/>
    <w:rsid w:val="766B04D8"/>
    <w:rsid w:val="7B3571D4"/>
    <w:rsid w:val="7EC0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rPr>
      <w:rFonts w:asciiTheme="minorHAnsi" w:hAnsiTheme="minorHAnsi" w:eastAsiaTheme="minorEastAsia" w:cstheme="minorBidi"/>
      <w:lang w:val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1298</Words>
  <Characters>7186</Characters>
  <Lines>0</Lines>
  <Paragraphs>0</Paragraphs>
  <TotalTime>6</TotalTime>
  <ScaleCrop>false</ScaleCrop>
  <LinksUpToDate>false</LinksUpToDate>
  <CharactersWithSpaces>7997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2025-06-09T12:56:00Z</dcterms:created>
  <dc:creator>whh</dc:creator>
  <cp:lastModifiedBy>whh</cp:lastModifiedBy>
  <dcterms:modified xsi:type="dcterms:W3CDTF">2025-08-29T15:54:19Z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A3DE48F404FE483BAABE155B48D15E2C</vt:lpwstr>
  </property>
</Properties>
</file>