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Times New Roman" w:hAnsi="Times New Roman" w:cs="Times New Roman" w:eastAsiaTheme="minorEastAsia"/>
          <w:b/>
          <w:bCs/>
          <w:sz w:val="22"/>
          <w:szCs w:val="22"/>
          <w:lang w:val="en-US" w:eastAsia="zh-CN"/>
        </w:rPr>
      </w:pPr>
      <w:r>
        <w:rPr>
          <w:rFonts w:hint="default" w:ascii="Times New Roman" w:hAnsi="Times New Roman" w:cs="Times New Roman"/>
          <w:b/>
          <w:bCs/>
          <w:sz w:val="22"/>
          <w:szCs w:val="22"/>
        </w:rPr>
        <w:t>Table S1</w:t>
      </w:r>
      <w:r>
        <w:rPr>
          <w:rFonts w:hint="eastAsia" w:ascii="Times New Roman" w:hAnsi="Times New Roman" w:cs="Times New Roman"/>
          <w:b/>
          <w:bCs/>
          <w:sz w:val="22"/>
          <w:szCs w:val="22"/>
          <w:lang w:val="en-US" w:eastAsia="zh-CN"/>
        </w:rPr>
        <w:t>.</w:t>
      </w:r>
      <w:r>
        <w:rPr>
          <w:rFonts w:hint="default" w:ascii="Times New Roman" w:hAnsi="Times New Roman" w:cs="Times New Roman"/>
          <w:b/>
          <w:bCs/>
          <w:sz w:val="22"/>
          <w:szCs w:val="22"/>
        </w:rPr>
        <w:t xml:space="preserve"> Distribution of variables with missing data</w:t>
      </w:r>
      <w:r>
        <w:rPr>
          <w:rFonts w:hint="eastAsia" w:ascii="Times New Roman" w:hAnsi="Times New Roman" w:cs="Times New Roman"/>
          <w:b/>
          <w:bCs/>
          <w:sz w:val="22"/>
          <w:szCs w:val="22"/>
          <w:lang w:val="en-US" w:eastAsia="zh-CN"/>
        </w:rPr>
        <w:t>.</w:t>
      </w:r>
    </w:p>
    <w:tbl>
      <w:tblPr>
        <w:tblStyle w:val="2"/>
        <w:tblW w:w="814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715"/>
        <w:gridCol w:w="2715"/>
        <w:gridCol w:w="27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2715" w:type="dxa"/>
            <w:tcBorders>
              <w:top w:val="single" w:color="000000" w:sz="8" w:space="0"/>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Variables</w:t>
            </w:r>
          </w:p>
        </w:tc>
        <w:tc>
          <w:tcPr>
            <w:tcW w:w="2715" w:type="dxa"/>
            <w:tcBorders>
              <w:top w:val="single" w:color="000000" w:sz="8" w:space="0"/>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 xml:space="preserve">Number of missing </w:t>
            </w:r>
          </w:p>
        </w:tc>
        <w:tc>
          <w:tcPr>
            <w:tcW w:w="2715" w:type="dxa"/>
            <w:tcBorders>
              <w:top w:val="single" w:color="000000" w:sz="8" w:space="0"/>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 xml:space="preserve"> Proportion of missing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BMI</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1142</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SBP</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1125</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DBP</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1125</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Height</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1122</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Weight</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1105</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13.67%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WC</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1100</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Smoking status</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177</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Drinking status</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36</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LDL</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Residence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Marital status</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HDL</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0.01%</w:t>
            </w:r>
          </w:p>
        </w:tc>
      </w:tr>
    </w:tbl>
    <w:p/>
    <w:p/>
    <w:p/>
    <w:p/>
    <w:p/>
    <w:p/>
    <w:p/>
    <w:p/>
    <w:p/>
    <w:p/>
    <w:p/>
    <w:p/>
    <w:p/>
    <w:p/>
    <w:p/>
    <w:p/>
    <w:p/>
    <w:p/>
    <w:p/>
    <w:p/>
    <w:p/>
    <w:p/>
    <w:p/>
    <w:p/>
    <w:p/>
    <w:p/>
    <w:p/>
    <w:p/>
    <w:p/>
    <w:p>
      <w:pPr>
        <w:rPr>
          <w:rFonts w:hint="default" w:ascii="Times New Roman" w:hAnsi="Times New Roman" w:cs="Times New Roman"/>
          <w:b/>
          <w:bCs/>
          <w:sz w:val="22"/>
          <w:szCs w:val="22"/>
        </w:rPr>
      </w:pPr>
    </w:p>
    <w:p>
      <w:pPr>
        <w:rPr>
          <w:rFonts w:hint="default" w:ascii="Times New Roman" w:hAnsi="Times New Roman" w:cs="Times New Roman" w:eastAsiaTheme="minorEastAsia"/>
          <w:b/>
          <w:bCs/>
          <w:sz w:val="22"/>
          <w:szCs w:val="22"/>
          <w:lang w:val="en-US" w:eastAsia="zh-CN"/>
        </w:rPr>
      </w:pPr>
      <w:r>
        <w:rPr>
          <w:rFonts w:hint="default" w:ascii="Times New Roman" w:hAnsi="Times New Roman" w:cs="Times New Roman"/>
          <w:b/>
          <w:bCs/>
          <w:sz w:val="22"/>
          <w:szCs w:val="22"/>
        </w:rPr>
        <w:t>Table S2</w:t>
      </w:r>
      <w:r>
        <w:rPr>
          <w:rFonts w:hint="default" w:ascii="Times New Roman" w:hAnsi="Times New Roman" w:cs="Times New Roman"/>
          <w:b/>
          <w:bCs/>
          <w:sz w:val="22"/>
          <w:szCs w:val="22"/>
          <w:lang w:val="en-US" w:eastAsia="zh-CN"/>
        </w:rPr>
        <w:t>.</w:t>
      </w:r>
      <w:r>
        <w:rPr>
          <w:rFonts w:hint="default" w:ascii="Times New Roman" w:hAnsi="Times New Roman" w:cs="Times New Roman"/>
          <w:b/>
          <w:bCs/>
          <w:sz w:val="22"/>
          <w:szCs w:val="22"/>
        </w:rPr>
        <w:t xml:space="preserve"> Variance inflation factor</w:t>
      </w:r>
      <w:r>
        <w:rPr>
          <w:rFonts w:hint="default" w:ascii="Times New Roman" w:hAnsi="Times New Roman" w:cs="Times New Roman"/>
          <w:b/>
          <w:bCs/>
          <w:sz w:val="22"/>
          <w:szCs w:val="22"/>
          <w:lang w:val="en-US" w:eastAsia="zh-CN"/>
        </w:rPr>
        <w:t>.</w:t>
      </w:r>
    </w:p>
    <w:tbl>
      <w:tblPr>
        <w:tblStyle w:val="2"/>
        <w:tblW w:w="817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115"/>
        <w:gridCol w:w="1515"/>
        <w:gridCol w:w="1515"/>
        <w:gridCol w:w="1515"/>
        <w:gridCol w:w="15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2115" w:type="dxa"/>
            <w:tcBorders>
              <w:top w:val="single" w:color="000000" w:sz="12" w:space="0"/>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Characteristic</w:t>
            </w:r>
          </w:p>
        </w:tc>
        <w:tc>
          <w:tcPr>
            <w:tcW w:w="1515" w:type="dxa"/>
            <w:tcBorders>
              <w:top w:val="single" w:color="000000" w:sz="12" w:space="0"/>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VIF</w:t>
            </w:r>
          </w:p>
        </w:tc>
        <w:tc>
          <w:tcPr>
            <w:tcW w:w="1515" w:type="dxa"/>
            <w:tcBorders>
              <w:top w:val="single" w:color="000000" w:sz="12" w:space="0"/>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SE</w:t>
            </w:r>
          </w:p>
        </w:tc>
        <w:tc>
          <w:tcPr>
            <w:tcW w:w="1515" w:type="dxa"/>
            <w:tcBorders>
              <w:top w:val="single" w:color="000000" w:sz="12" w:space="0"/>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VIF_LP</w:t>
            </w:r>
          </w:p>
        </w:tc>
        <w:tc>
          <w:tcPr>
            <w:tcW w:w="1515" w:type="dxa"/>
            <w:tcBorders>
              <w:top w:val="single" w:color="000000" w:sz="12" w:space="0"/>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VIF_UP</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CTI</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1.31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0.021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1.27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1.35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Age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1.28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0.020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1.25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1.32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Gender</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1.61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0.025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1.56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1.66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Residence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1.12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0.018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1.08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1.15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Education</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1.06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0.017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1.02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1.09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Marital status</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1.07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0.017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1.04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1.11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Smoking status</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1.20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0.019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1.16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1.24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Drinking status</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1.12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0.018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1.08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1.15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BMI</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1.02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0.016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0.99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1.05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WC</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1.14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0.018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1.11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1.18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2115" w:type="dxa"/>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Hypertension</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1.63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0.026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1.58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1.68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2115" w:type="dxa"/>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Diabetes</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1.23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0.019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1.19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1.26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2115" w:type="dxa"/>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Dyslipidemia</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1.08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0.017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1.05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1.12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Meds for hypertension</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1.31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0.021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1.27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1.35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Meds for diabetes</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1.17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0.018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1.13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1.20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Meds for dyslipidemia</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1.07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0.017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1.03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1.10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SBP</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1.83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0.029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1.77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1.89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DBP</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1.60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0.025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1.55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1.65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2115" w:type="dxa"/>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TC</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1.87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0.030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1.82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1.93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2115" w:type="dxa"/>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HDL</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1.22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0.019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1.18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1.26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2115" w:type="dxa"/>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LDL</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1.74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0.027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1.69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1.79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2115" w:type="dxa"/>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Uric Acid</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1.14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0.018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1.11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1.18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jc w:val="center"/>
        </w:trPr>
        <w:tc>
          <w:tcPr>
            <w:tcW w:w="2115" w:type="dxa"/>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Liver disease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1.01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0.016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0.98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1.05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2115" w:type="dxa"/>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Kidney disease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1.02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0.016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0.98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1.05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2115" w:type="dxa"/>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Lung disease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1.03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0.016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1.00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1.06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2115" w:type="dxa"/>
            <w:tcBorders>
              <w:top w:val="nil"/>
              <w:left w:val="nil"/>
              <w:bottom w:val="nil"/>
              <w:right w:val="nil"/>
            </w:tcBorders>
            <w:shd w:val="clear" w:color="auto" w:fill="FFFFFF"/>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Digestive disease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1.03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0.016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1.00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1.06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Region of China</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1.02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0.016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0.99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1.06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0" w:type="auto"/>
            <w:tcBorders>
              <w:top w:val="nil"/>
              <w:left w:val="nil"/>
              <w:bottom w:val="single" w:color="000000" w:sz="12"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Blood glucose status</w:t>
            </w:r>
          </w:p>
        </w:tc>
        <w:tc>
          <w:tcPr>
            <w:tcW w:w="0" w:type="auto"/>
            <w:tcBorders>
              <w:top w:val="nil"/>
              <w:left w:val="nil"/>
              <w:bottom w:val="single" w:color="000000" w:sz="12"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1.09 </w:t>
            </w:r>
          </w:p>
        </w:tc>
        <w:tc>
          <w:tcPr>
            <w:tcW w:w="0" w:type="auto"/>
            <w:tcBorders>
              <w:top w:val="nil"/>
              <w:left w:val="nil"/>
              <w:bottom w:val="single" w:color="000000" w:sz="12"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0.017 </w:t>
            </w:r>
          </w:p>
        </w:tc>
        <w:tc>
          <w:tcPr>
            <w:tcW w:w="0" w:type="auto"/>
            <w:tcBorders>
              <w:top w:val="nil"/>
              <w:left w:val="nil"/>
              <w:bottom w:val="single" w:color="000000" w:sz="12"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1.06 </w:t>
            </w:r>
          </w:p>
        </w:tc>
        <w:tc>
          <w:tcPr>
            <w:tcW w:w="0" w:type="auto"/>
            <w:tcBorders>
              <w:top w:val="nil"/>
              <w:left w:val="nil"/>
              <w:bottom w:val="single" w:color="000000" w:sz="12"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1.13 </w:t>
            </w:r>
          </w:p>
        </w:tc>
      </w:tr>
    </w:tbl>
    <w:p/>
    <w:p/>
    <w:p/>
    <w:p/>
    <w:p/>
    <w:p/>
    <w:p/>
    <w:p/>
    <w:p/>
    <w:p/>
    <w:p/>
    <w:p/>
    <w:p/>
    <w:p/>
    <w:p>
      <w:pPr>
        <w:rPr>
          <w:rFonts w:hint="default" w:ascii="Times New Roman" w:hAnsi="Times New Roman" w:cs="Times New Roman" w:eastAsiaTheme="minorEastAsia"/>
          <w:b/>
          <w:bCs/>
          <w:sz w:val="22"/>
          <w:szCs w:val="22"/>
          <w:lang w:val="en-US" w:eastAsia="zh-CN"/>
        </w:rPr>
      </w:pPr>
      <w:r>
        <w:rPr>
          <w:rFonts w:hint="default" w:ascii="Times New Roman" w:hAnsi="Times New Roman" w:cs="Times New Roman"/>
          <w:b/>
          <w:bCs/>
          <w:sz w:val="22"/>
          <w:szCs w:val="22"/>
        </w:rPr>
        <w:t>Table S</w:t>
      </w:r>
      <w:r>
        <w:rPr>
          <w:rFonts w:hint="default" w:ascii="Times New Roman" w:hAnsi="Times New Roman" w:cs="Times New Roman"/>
          <w:b/>
          <w:bCs/>
          <w:sz w:val="22"/>
          <w:szCs w:val="22"/>
          <w:lang w:val="en-US" w:eastAsia="zh-CN"/>
        </w:rPr>
        <w:t>3</w:t>
      </w:r>
      <w:r>
        <w:rPr>
          <w:rFonts w:hint="default" w:ascii="Times New Roman" w:hAnsi="Times New Roman" w:cs="Times New Roman"/>
          <w:b/>
          <w:bCs/>
          <w:sz w:val="22"/>
          <w:szCs w:val="22"/>
        </w:rPr>
        <w:t>.</w:t>
      </w:r>
      <w:r>
        <w:rPr>
          <w:rFonts w:hint="eastAsia" w:ascii="Times New Roman" w:hAnsi="Times New Roman" w:cs="Times New Roman"/>
          <w:b/>
          <w:bCs/>
          <w:sz w:val="22"/>
          <w:szCs w:val="22"/>
          <w:lang w:val="en-US" w:eastAsia="zh-CN"/>
        </w:rPr>
        <w:t xml:space="preserve"> </w:t>
      </w:r>
      <w:r>
        <w:rPr>
          <w:rFonts w:hint="default" w:ascii="Times New Roman" w:hAnsi="Times New Roman" w:cs="Times New Roman"/>
          <w:b/>
          <w:bCs/>
          <w:sz w:val="22"/>
          <w:szCs w:val="22"/>
        </w:rPr>
        <w:t>Correlation between TyG index, CRP and CVD incidence</w:t>
      </w:r>
      <w:r>
        <w:rPr>
          <w:rFonts w:hint="default" w:ascii="Times New Roman" w:hAnsi="Times New Roman" w:cs="Times New Roman"/>
          <w:b/>
          <w:bCs/>
          <w:sz w:val="22"/>
          <w:szCs w:val="22"/>
          <w:lang w:val="en-US" w:eastAsia="zh-CN"/>
        </w:rPr>
        <w:t>.</w:t>
      </w:r>
    </w:p>
    <w:tbl>
      <w:tblPr>
        <w:tblStyle w:val="2"/>
        <w:tblW w:w="913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66"/>
        <w:gridCol w:w="1275"/>
        <w:gridCol w:w="1426"/>
        <w:gridCol w:w="769"/>
        <w:gridCol w:w="1426"/>
        <w:gridCol w:w="769"/>
        <w:gridCol w:w="1426"/>
        <w:gridCol w:w="76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1275" w:type="dxa"/>
            <w:vMerge w:val="restart"/>
            <w:tcBorders>
              <w:top w:val="single" w:color="000000" w:sz="8" w:space="0"/>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Characteristic</w:t>
            </w:r>
          </w:p>
        </w:tc>
        <w:tc>
          <w:tcPr>
            <w:tcW w:w="1275" w:type="dxa"/>
            <w:vMerge w:val="restart"/>
            <w:tcBorders>
              <w:top w:val="single" w:color="000000" w:sz="8" w:space="0"/>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Event(%)</w:t>
            </w:r>
          </w:p>
        </w:tc>
        <w:tc>
          <w:tcPr>
            <w:tcW w:w="2195" w:type="dxa"/>
            <w:gridSpan w:val="2"/>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Model 1</w:t>
            </w:r>
          </w:p>
        </w:tc>
        <w:tc>
          <w:tcPr>
            <w:tcW w:w="2195" w:type="dxa"/>
            <w:gridSpan w:val="2"/>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Model 2</w:t>
            </w:r>
          </w:p>
        </w:tc>
        <w:tc>
          <w:tcPr>
            <w:tcW w:w="2195" w:type="dxa"/>
            <w:gridSpan w:val="2"/>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Model 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1275" w:type="dxa"/>
            <w:vMerge w:val="continue"/>
            <w:tcBorders>
              <w:top w:val="single" w:color="000000" w:sz="8" w:space="0"/>
              <w:left w:val="nil"/>
              <w:bottom w:val="single" w:color="000000" w:sz="4" w:space="0"/>
              <w:right w:val="nil"/>
            </w:tcBorders>
            <w:shd w:val="clear" w:color="auto" w:fill="auto"/>
            <w:noWrap/>
            <w:vAlign w:val="center"/>
          </w:tcPr>
          <w:p>
            <w:pPr>
              <w:jc w:val="center"/>
              <w:rPr>
                <w:rFonts w:hint="default" w:ascii="Times New Roman" w:hAnsi="Times New Roman" w:eastAsia="宋体" w:cs="Times New Roman"/>
                <w:b/>
                <w:bCs/>
                <w:i w:val="0"/>
                <w:iCs w:val="0"/>
                <w:color w:val="000000"/>
                <w:sz w:val="18"/>
                <w:szCs w:val="18"/>
                <w:u w:val="none"/>
              </w:rPr>
            </w:pPr>
          </w:p>
        </w:tc>
        <w:tc>
          <w:tcPr>
            <w:tcW w:w="1275" w:type="dxa"/>
            <w:vMerge w:val="continue"/>
            <w:tcBorders>
              <w:top w:val="single" w:color="000000" w:sz="8" w:space="0"/>
              <w:left w:val="nil"/>
              <w:bottom w:val="single" w:color="000000" w:sz="4" w:space="0"/>
              <w:right w:val="nil"/>
            </w:tcBorders>
            <w:shd w:val="clear" w:color="auto" w:fill="auto"/>
            <w:noWrap/>
            <w:vAlign w:val="center"/>
          </w:tcPr>
          <w:p>
            <w:pPr>
              <w:jc w:val="center"/>
              <w:rPr>
                <w:rFonts w:hint="default" w:ascii="Times New Roman" w:hAnsi="Times New Roman" w:eastAsia="宋体" w:cs="Times New Roman"/>
                <w:b/>
                <w:bCs/>
                <w:i w:val="0"/>
                <w:iCs w:val="0"/>
                <w:color w:val="000000"/>
                <w:sz w:val="18"/>
                <w:szCs w:val="18"/>
                <w:u w:val="none"/>
              </w:rPr>
            </w:pP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HR(95%CI)</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p</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HR(95%CI)</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p</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HR(95%CI)</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p</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TyG(per 1 unit)</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2133(26.39%)</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1.32(1.21-1.43)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1.31(1.21-1.43)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1.36(1.14-1.62)</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TyG quartile</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Q1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440(21.77%)</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Ref</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Ref</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Ref</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Q2</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502(24.84%)</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1.16(1.02-1.31)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0.027</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1.13(0.99-1.29)</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0.060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1.09(0.95-1.24)</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0.207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Q3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574(28.40%)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1.36(1.20-1.53)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1.29(1.14-1.46)</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1.19(1.03-1.36)</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Q4</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617(30.53%)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1.48(1.31-1.68)</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1.45(1.28-1.64)</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1.28(1.07-1.52)</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P for trend</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CRP(per 1 unit)</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2133(26.39%)</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1.01(1.00-1.01)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0.015</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1.00(1.00-1.01)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0.062</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1.00(1.00-1.01)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0.229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CRP quartile</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Q1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468(22.52%)</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Ref</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Ref</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Ref</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Q2</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498(24.96%)</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1.14(1.00-1.29)</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0.049</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1.09(0.96-1.24)</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0.173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1.02(0.89-1.16)</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Q3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565(28.38%)</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1.30(1.15-1.47)</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1.23(1.08-1.39)</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1.09(0.96-1.24)</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0.170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Q4</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602(29.80%)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1.45(1.28-1.63)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1.33(1.18-1.50)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1.15(1.01-1.31)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0" w:type="auto"/>
            <w:tcBorders>
              <w:top w:val="nil"/>
              <w:left w:val="nil"/>
              <w:bottom w:val="single" w:color="000000" w:sz="8" w:space="0"/>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P for trend</w:t>
            </w:r>
          </w:p>
        </w:tc>
        <w:tc>
          <w:tcPr>
            <w:tcW w:w="0" w:type="auto"/>
            <w:tcBorders>
              <w:top w:val="nil"/>
              <w:left w:val="nil"/>
              <w:bottom w:val="single" w:color="000000" w:sz="8" w:space="0"/>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c>
          <w:tcPr>
            <w:tcW w:w="0" w:type="auto"/>
            <w:tcBorders>
              <w:top w:val="nil"/>
              <w:left w:val="nil"/>
              <w:bottom w:val="single" w:color="000000" w:sz="8" w:space="0"/>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c>
          <w:tcPr>
            <w:tcW w:w="0" w:type="auto"/>
            <w:tcBorders>
              <w:top w:val="nil"/>
              <w:left w:val="nil"/>
              <w:bottom w:val="single" w:color="000000" w:sz="8" w:space="0"/>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0.031</w:t>
            </w:r>
          </w:p>
        </w:tc>
      </w:tr>
    </w:tbl>
    <w:p>
      <w:pPr>
        <w:rPr>
          <w:rFonts w:hint="default" w:ascii="Times New Roman" w:hAnsi="Times New Roman" w:cs="Times New Roman"/>
          <w:sz w:val="15"/>
          <w:szCs w:val="15"/>
        </w:rPr>
      </w:pPr>
      <w:r>
        <w:rPr>
          <w:rFonts w:hint="default" w:ascii="Times New Roman" w:hAnsi="Times New Roman" w:cs="Times New Roman"/>
          <w:sz w:val="15"/>
          <w:szCs w:val="15"/>
        </w:rPr>
        <w:t>Model 1: unadjusted for any covariates; Model 2: adjusted for gender, age, residence, marital status, education level, smoking status, and drinking status; Model 3: based on model 2, BMI, WC, SBP, DBP, TC, LDL, HDL, uric acid, hypertension, diabetes, dyslipidemia, liver diseases, kidney diseases, lung diseases, digestive diseases, hypertension drugs, diabetes drugs, dyslipidemia drugs, blood sugar status, and geographical area were adjusted.</w:t>
      </w:r>
    </w:p>
    <w:p/>
    <w:p/>
    <w:p/>
    <w:p/>
    <w:p/>
    <w:p/>
    <w:p/>
    <w:p/>
    <w:p/>
    <w:p/>
    <w:p/>
    <w:p/>
    <w:p/>
    <w:p/>
    <w:p/>
    <w:p/>
    <w:p/>
    <w:p/>
    <w:p/>
    <w:p/>
    <w:p>
      <w:pPr>
        <w:jc w:val="left"/>
        <w:rPr>
          <w:rFonts w:hint="default" w:ascii="Times New Roman" w:hAnsi="Times New Roman" w:cs="Times New Roman"/>
          <w:b/>
          <w:bCs/>
          <w:sz w:val="22"/>
          <w:szCs w:val="22"/>
        </w:rPr>
      </w:pPr>
    </w:p>
    <w:p>
      <w:pPr>
        <w:jc w:val="left"/>
        <w:rPr>
          <w:rFonts w:hint="default" w:ascii="Times New Roman" w:hAnsi="Times New Roman" w:cs="Times New Roman"/>
          <w:b/>
          <w:bCs/>
          <w:sz w:val="22"/>
          <w:szCs w:val="22"/>
        </w:rPr>
      </w:pPr>
    </w:p>
    <w:p>
      <w:pPr>
        <w:jc w:val="left"/>
        <w:rPr>
          <w:rFonts w:hint="default" w:ascii="Times New Roman" w:hAnsi="Times New Roman" w:cs="Times New Roman"/>
          <w:b/>
          <w:bCs/>
          <w:sz w:val="22"/>
          <w:szCs w:val="22"/>
        </w:rPr>
      </w:pPr>
    </w:p>
    <w:p>
      <w:pPr>
        <w:rPr>
          <w:rFonts w:hint="default" w:ascii="Times New Roman" w:hAnsi="Times New Roman" w:cs="Times New Roman"/>
          <w:b/>
          <w:bCs/>
          <w:sz w:val="22"/>
          <w:szCs w:val="22"/>
        </w:rPr>
      </w:pPr>
      <w:r>
        <w:rPr>
          <w:rFonts w:hint="default" w:ascii="Times New Roman" w:hAnsi="Times New Roman" w:cs="Times New Roman"/>
          <w:b/>
          <w:bCs/>
          <w:sz w:val="22"/>
          <w:szCs w:val="22"/>
        </w:rPr>
        <w:br w:type="page"/>
      </w:r>
    </w:p>
    <w:p>
      <w:pPr>
        <w:rPr>
          <w:rFonts w:hint="default" w:ascii="Times New Roman" w:hAnsi="Times New Roman" w:cs="Times New Roman"/>
          <w:b/>
          <w:bCs/>
          <w:sz w:val="22"/>
          <w:szCs w:val="22"/>
        </w:rPr>
      </w:pPr>
      <w:r>
        <w:rPr>
          <w:rFonts w:hint="default" w:ascii="Times New Roman" w:hAnsi="Times New Roman" w:cs="Times New Roman"/>
          <w:b/>
          <w:bCs/>
          <w:sz w:val="22"/>
          <w:szCs w:val="22"/>
        </w:rPr>
        <w:t>Table S</w:t>
      </w:r>
      <w:r>
        <w:rPr>
          <w:rFonts w:hint="eastAsia" w:ascii="Times New Roman" w:hAnsi="Times New Roman" w:cs="Times New Roman"/>
          <w:b/>
          <w:bCs/>
          <w:sz w:val="22"/>
          <w:szCs w:val="22"/>
          <w:lang w:val="en-US" w:eastAsia="zh-CN"/>
        </w:rPr>
        <w:t>4</w:t>
      </w:r>
      <w:r>
        <w:rPr>
          <w:rFonts w:hint="default" w:ascii="Times New Roman" w:hAnsi="Times New Roman" w:cs="Times New Roman"/>
          <w:b/>
          <w:bCs/>
          <w:sz w:val="22"/>
          <w:szCs w:val="22"/>
        </w:rPr>
        <w:t>.</w:t>
      </w:r>
      <w:r>
        <w:rPr>
          <w:rFonts w:hint="eastAsia" w:ascii="Times New Roman" w:hAnsi="Times New Roman" w:cs="Times New Roman"/>
          <w:b/>
          <w:bCs/>
          <w:sz w:val="22"/>
          <w:szCs w:val="22"/>
          <w:lang w:val="en-US" w:eastAsia="zh-CN"/>
        </w:rPr>
        <w:t xml:space="preserve"> Interaction between CTI and Blood glucose status, Age, Gender and Marital status.</w:t>
      </w:r>
    </w:p>
    <w:tbl>
      <w:tblPr>
        <w:tblStyle w:val="2"/>
        <w:tblW w:w="886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784"/>
        <w:gridCol w:w="2028"/>
        <w:gridCol w:w="2028"/>
        <w:gridCol w:w="20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jc w:val="center"/>
        </w:trPr>
        <w:tc>
          <w:tcPr>
            <w:tcW w:w="2784" w:type="dxa"/>
            <w:tcBorders>
              <w:top w:val="single" w:color="000000" w:sz="8" w:space="0"/>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Variables</w:t>
            </w:r>
          </w:p>
        </w:tc>
        <w:tc>
          <w:tcPr>
            <w:tcW w:w="2028" w:type="dxa"/>
            <w:tcBorders>
              <w:top w:val="single" w:color="000000" w:sz="8" w:space="0"/>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LogLik</w:t>
            </w:r>
          </w:p>
        </w:tc>
        <w:tc>
          <w:tcPr>
            <w:tcW w:w="2028" w:type="dxa"/>
            <w:tcBorders>
              <w:top w:val="single" w:color="000000" w:sz="8" w:space="0"/>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22"/>
                <w:szCs w:val="22"/>
                <w:u w:val="none"/>
              </w:rPr>
            </w:pPr>
            <w:r>
              <w:rPr>
                <w:rFonts w:hint="default" w:ascii="Times New Roman" w:hAnsi="Times New Roman" w:eastAsia="宋体" w:cs="Times New Roman"/>
                <w:b/>
                <w:bCs/>
                <w:i w:val="0"/>
                <w:iCs w:val="0"/>
                <w:color w:val="000000"/>
                <w:kern w:val="0"/>
                <w:sz w:val="22"/>
                <w:szCs w:val="22"/>
                <w:u w:val="none"/>
                <w:lang w:val="en-US" w:eastAsia="zh-CN" w:bidi="ar"/>
              </w:rPr>
              <w:t>Chisq</w:t>
            </w:r>
          </w:p>
        </w:tc>
        <w:tc>
          <w:tcPr>
            <w:tcW w:w="2028" w:type="dxa"/>
            <w:tcBorders>
              <w:top w:val="single" w:color="000000" w:sz="8" w:space="0"/>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iCs/>
                <w:color w:val="000000"/>
                <w:sz w:val="22"/>
                <w:szCs w:val="22"/>
                <w:u w:val="none"/>
              </w:rPr>
            </w:pPr>
            <w:r>
              <w:rPr>
                <w:rFonts w:hint="default" w:ascii="Times New Roman" w:hAnsi="Times New Roman" w:eastAsia="宋体" w:cs="Times New Roman"/>
                <w:b/>
                <w:bCs/>
                <w:i/>
                <w:iCs/>
                <w:color w:val="000000"/>
                <w:kern w:val="0"/>
                <w:sz w:val="22"/>
                <w:szCs w:val="22"/>
                <w:u w:val="none"/>
                <w:lang w:val="en-US" w:eastAsia="zh-CN" w:bidi="ar"/>
              </w:rPr>
              <w:t>p</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Blood glucose status</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-18302.35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0.57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0.451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Age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-18295.37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14.54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Gender</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-18302.44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0.39 </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0.535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1" w:hRule="atLeast"/>
          <w:jc w:val="center"/>
        </w:trPr>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Marital status</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-18300.48 </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4.30 </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 xml:space="preserve">0.038 </w:t>
            </w:r>
          </w:p>
        </w:tc>
      </w:tr>
    </w:tbl>
    <w:p>
      <w:pPr>
        <w:rPr>
          <w:rFonts w:hint="default" w:ascii="Times New Roman" w:hAnsi="Times New Roman" w:cs="Times New Roman"/>
          <w:b/>
          <w:bCs/>
          <w:sz w:val="22"/>
          <w:szCs w:val="22"/>
        </w:rPr>
      </w:pPr>
      <w:r>
        <w:rPr>
          <w:rFonts w:hint="default" w:ascii="Times New Roman" w:hAnsi="Times New Roman" w:cs="Times New Roman"/>
          <w:b/>
          <w:bCs/>
          <w:sz w:val="22"/>
          <w:szCs w:val="22"/>
        </w:rPr>
        <w:br w:type="page"/>
      </w:r>
    </w:p>
    <w:p>
      <w:pPr>
        <w:jc w:val="left"/>
        <w:rPr>
          <w:rFonts w:hint="default" w:ascii="Times New Roman" w:hAnsi="Times New Roman" w:cs="Times New Roman" w:eastAsiaTheme="minorEastAsia"/>
          <w:b/>
          <w:bCs/>
          <w:sz w:val="22"/>
          <w:szCs w:val="22"/>
          <w:lang w:val="en-US" w:eastAsia="zh-CN"/>
        </w:rPr>
      </w:pPr>
      <w:r>
        <w:rPr>
          <w:rFonts w:hint="default" w:ascii="Times New Roman" w:hAnsi="Times New Roman" w:cs="Times New Roman"/>
          <w:b/>
          <w:bCs/>
          <w:sz w:val="22"/>
          <w:szCs w:val="22"/>
        </w:rPr>
        <w:t>Table S</w:t>
      </w:r>
      <w:r>
        <w:rPr>
          <w:rFonts w:hint="eastAsia" w:ascii="Times New Roman" w:hAnsi="Times New Roman" w:cs="Times New Roman"/>
          <w:b/>
          <w:bCs/>
          <w:sz w:val="22"/>
          <w:szCs w:val="22"/>
          <w:lang w:val="en-US" w:eastAsia="zh-CN"/>
        </w:rPr>
        <w:t>5</w:t>
      </w:r>
      <w:r>
        <w:rPr>
          <w:rFonts w:hint="default" w:ascii="Times New Roman" w:hAnsi="Times New Roman" w:cs="Times New Roman"/>
          <w:b/>
          <w:bCs/>
          <w:sz w:val="22"/>
          <w:szCs w:val="22"/>
        </w:rPr>
        <w:t>.</w:t>
      </w:r>
      <w:r>
        <w:rPr>
          <w:rFonts w:hint="eastAsia" w:ascii="Times New Roman" w:hAnsi="Times New Roman" w:cs="Times New Roman"/>
          <w:b/>
          <w:bCs/>
          <w:sz w:val="22"/>
          <w:szCs w:val="22"/>
          <w:lang w:val="en-US" w:eastAsia="zh-CN"/>
        </w:rPr>
        <w:t xml:space="preserve"> In female, the relationship between CTI and CVD incidence on both sides of inflection point.</w:t>
      </w:r>
    </w:p>
    <w:p/>
    <w:tbl>
      <w:tblPr>
        <w:tblStyle w:val="2"/>
        <w:tblW w:w="844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15"/>
        <w:gridCol w:w="1492"/>
        <w:gridCol w:w="818"/>
        <w:gridCol w:w="1568"/>
        <w:gridCol w:w="742"/>
        <w:gridCol w:w="1568"/>
        <w:gridCol w:w="74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jc w:val="center"/>
        </w:trPr>
        <w:tc>
          <w:tcPr>
            <w:tcW w:w="1515" w:type="dxa"/>
            <w:vMerge w:val="restart"/>
            <w:tcBorders>
              <w:top w:val="single" w:color="000000" w:sz="8" w:space="0"/>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Term</w:t>
            </w:r>
          </w:p>
        </w:tc>
        <w:tc>
          <w:tcPr>
            <w:tcW w:w="2310" w:type="dxa"/>
            <w:gridSpan w:val="2"/>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Model 1</w:t>
            </w:r>
          </w:p>
        </w:tc>
        <w:tc>
          <w:tcPr>
            <w:tcW w:w="2310" w:type="dxa"/>
            <w:gridSpan w:val="2"/>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Model 2</w:t>
            </w:r>
          </w:p>
        </w:tc>
        <w:tc>
          <w:tcPr>
            <w:tcW w:w="2310" w:type="dxa"/>
            <w:gridSpan w:val="2"/>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Model 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1515" w:type="dxa"/>
            <w:vMerge w:val="continue"/>
            <w:tcBorders>
              <w:top w:val="single" w:color="000000" w:sz="8" w:space="0"/>
              <w:left w:val="nil"/>
              <w:bottom w:val="single" w:color="000000" w:sz="4" w:space="0"/>
              <w:right w:val="nil"/>
            </w:tcBorders>
            <w:shd w:val="clear" w:color="auto" w:fill="auto"/>
            <w:noWrap/>
            <w:vAlign w:val="center"/>
          </w:tcPr>
          <w:p>
            <w:pPr>
              <w:jc w:val="center"/>
              <w:rPr>
                <w:rFonts w:hint="default" w:ascii="Times New Roman" w:hAnsi="Times New Roman" w:eastAsia="宋体" w:cs="Times New Roman"/>
                <w:b/>
                <w:bCs/>
                <w:i w:val="0"/>
                <w:iCs w:val="0"/>
                <w:color w:val="000000"/>
                <w:sz w:val="16"/>
                <w:szCs w:val="16"/>
                <w:u w:val="none"/>
              </w:rPr>
            </w:pP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HR(95%CI)</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p</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HR(95%CI)</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p</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HR(95%CI)</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p</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CTI &lt; cutpoint</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3.63(1.71-7.70)</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2.70(1.27-5.75)</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0.010</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2.42(1.04-5.63)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CTI ≥ cutpoint</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1.39(0.94-2.05)</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0.102</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1.28(0.86-1.90)</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0.223</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0.99(0.62-1.57)</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0.958</w:t>
            </w:r>
          </w:p>
        </w:tc>
      </w:tr>
    </w:tbl>
    <w:p/>
    <w:p/>
    <w:p/>
    <w:p/>
    <w:p/>
    <w:p/>
    <w:p/>
    <w:p/>
    <w:p/>
    <w:p/>
    <w:p/>
    <w:p/>
    <w:p/>
    <w:p/>
    <w:p/>
    <w:p/>
    <w:p/>
    <w:p/>
    <w:p/>
    <w:p/>
    <w:p/>
    <w:p/>
    <w:p/>
    <w:p/>
    <w:p/>
    <w:p/>
    <w:p/>
    <w:p/>
    <w:p/>
    <w:p/>
    <w:p/>
    <w:p/>
    <w:p/>
    <w:p/>
    <w:p/>
    <w:p>
      <w:pPr>
        <w:jc w:val="left"/>
        <w:rPr>
          <w:rFonts w:hint="default" w:ascii="Times New Roman" w:hAnsi="Times New Roman" w:cs="Times New Roman"/>
        </w:rPr>
      </w:pPr>
    </w:p>
    <w:p>
      <w:pPr>
        <w:jc w:val="left"/>
        <w:rPr>
          <w:rFonts w:hint="default" w:ascii="Times New Roman" w:hAnsi="Times New Roman" w:cs="Times New Roman"/>
          <w:b/>
          <w:bCs/>
          <w:sz w:val="22"/>
          <w:szCs w:val="22"/>
        </w:rPr>
      </w:pPr>
    </w:p>
    <w:p>
      <w:pPr>
        <w:jc w:val="left"/>
        <w:rPr>
          <w:rFonts w:hint="default" w:ascii="Times New Roman" w:hAnsi="Times New Roman" w:cs="Times New Roman" w:eastAsiaTheme="minorEastAsia"/>
          <w:b/>
          <w:bCs/>
          <w:sz w:val="22"/>
          <w:szCs w:val="22"/>
          <w:lang w:val="en-US" w:eastAsia="zh-CN"/>
        </w:rPr>
      </w:pPr>
      <w:r>
        <w:rPr>
          <w:rFonts w:hint="default" w:ascii="Times New Roman" w:hAnsi="Times New Roman" w:cs="Times New Roman"/>
          <w:b/>
          <w:bCs/>
          <w:sz w:val="22"/>
          <w:szCs w:val="22"/>
        </w:rPr>
        <w:t>Table S</w:t>
      </w:r>
      <w:r>
        <w:rPr>
          <w:rFonts w:hint="eastAsia" w:ascii="Times New Roman" w:hAnsi="Times New Roman" w:cs="Times New Roman"/>
          <w:b/>
          <w:bCs/>
          <w:sz w:val="22"/>
          <w:szCs w:val="22"/>
          <w:lang w:val="en-US" w:eastAsia="zh-CN"/>
        </w:rPr>
        <w:t>6</w:t>
      </w:r>
      <w:r>
        <w:rPr>
          <w:rFonts w:hint="default" w:ascii="Times New Roman" w:hAnsi="Times New Roman" w:cs="Times New Roman"/>
          <w:b/>
          <w:bCs/>
          <w:sz w:val="22"/>
          <w:szCs w:val="22"/>
        </w:rPr>
        <w:t>.</w:t>
      </w:r>
      <w:r>
        <w:rPr>
          <w:rFonts w:hint="default" w:ascii="Times New Roman" w:hAnsi="Times New Roman" w:cs="Times New Roman"/>
          <w:b/>
          <w:bCs/>
          <w:sz w:val="22"/>
          <w:szCs w:val="22"/>
          <w:lang w:val="en-US" w:eastAsia="zh-CN"/>
        </w:rPr>
        <w:t xml:space="preserve"> According to whether there is hypertension, the correlation between CTI and CVD incidence.</w:t>
      </w:r>
    </w:p>
    <w:tbl>
      <w:tblPr>
        <w:tblStyle w:val="2"/>
        <w:tblW w:w="892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07"/>
        <w:gridCol w:w="1253"/>
        <w:gridCol w:w="1136"/>
        <w:gridCol w:w="1216"/>
        <w:gridCol w:w="667"/>
        <w:gridCol w:w="1216"/>
        <w:gridCol w:w="667"/>
        <w:gridCol w:w="1216"/>
        <w:gridCol w:w="66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 w:hRule="atLeast"/>
          <w:jc w:val="center"/>
        </w:trPr>
        <w:tc>
          <w:tcPr>
            <w:tcW w:w="1275" w:type="dxa"/>
            <w:vMerge w:val="restart"/>
            <w:tcBorders>
              <w:top w:val="single" w:color="000000" w:sz="8" w:space="0"/>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Disease</w:t>
            </w:r>
          </w:p>
        </w:tc>
        <w:tc>
          <w:tcPr>
            <w:tcW w:w="1253" w:type="dxa"/>
            <w:vMerge w:val="restart"/>
            <w:tcBorders>
              <w:top w:val="single" w:color="000000" w:sz="8" w:space="0"/>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Characteristic</w:t>
            </w:r>
          </w:p>
        </w:tc>
        <w:tc>
          <w:tcPr>
            <w:tcW w:w="1106" w:type="dxa"/>
            <w:vMerge w:val="restart"/>
            <w:tcBorders>
              <w:top w:val="single" w:color="000000" w:sz="8" w:space="0"/>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Event(%)</w:t>
            </w:r>
          </w:p>
        </w:tc>
        <w:tc>
          <w:tcPr>
            <w:tcW w:w="1799" w:type="dxa"/>
            <w:gridSpan w:val="2"/>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Model 1</w:t>
            </w:r>
          </w:p>
        </w:tc>
        <w:tc>
          <w:tcPr>
            <w:tcW w:w="1799" w:type="dxa"/>
            <w:gridSpan w:val="2"/>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Model 2</w:t>
            </w:r>
          </w:p>
        </w:tc>
        <w:tc>
          <w:tcPr>
            <w:tcW w:w="1706" w:type="dxa"/>
            <w:gridSpan w:val="2"/>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Model 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 w:hRule="atLeast"/>
          <w:jc w:val="center"/>
        </w:trPr>
        <w:tc>
          <w:tcPr>
            <w:tcW w:w="1275" w:type="dxa"/>
            <w:vMerge w:val="continue"/>
            <w:tcBorders>
              <w:top w:val="single" w:color="000000" w:sz="8" w:space="0"/>
              <w:left w:val="nil"/>
              <w:bottom w:val="single" w:color="000000" w:sz="4" w:space="0"/>
              <w:right w:val="nil"/>
            </w:tcBorders>
            <w:shd w:val="clear" w:color="auto" w:fill="auto"/>
            <w:noWrap/>
            <w:vAlign w:val="center"/>
          </w:tcPr>
          <w:p>
            <w:pPr>
              <w:jc w:val="center"/>
              <w:rPr>
                <w:rFonts w:hint="default" w:ascii="Times New Roman" w:hAnsi="Times New Roman" w:eastAsia="宋体" w:cs="Times New Roman"/>
                <w:b/>
                <w:bCs/>
                <w:i w:val="0"/>
                <w:iCs w:val="0"/>
                <w:color w:val="000000"/>
                <w:sz w:val="16"/>
                <w:szCs w:val="16"/>
                <w:u w:val="none"/>
              </w:rPr>
            </w:pPr>
          </w:p>
        </w:tc>
        <w:tc>
          <w:tcPr>
            <w:tcW w:w="1253" w:type="dxa"/>
            <w:vMerge w:val="continue"/>
            <w:tcBorders>
              <w:top w:val="single" w:color="000000" w:sz="8" w:space="0"/>
              <w:left w:val="nil"/>
              <w:bottom w:val="single" w:color="000000" w:sz="4" w:space="0"/>
              <w:right w:val="nil"/>
            </w:tcBorders>
            <w:shd w:val="clear" w:color="auto" w:fill="auto"/>
            <w:noWrap/>
            <w:vAlign w:val="center"/>
          </w:tcPr>
          <w:p>
            <w:pPr>
              <w:jc w:val="center"/>
              <w:rPr>
                <w:rFonts w:hint="default" w:ascii="Times New Roman" w:hAnsi="Times New Roman" w:eastAsia="宋体" w:cs="Times New Roman"/>
                <w:b/>
                <w:bCs/>
                <w:i w:val="0"/>
                <w:iCs w:val="0"/>
                <w:color w:val="000000"/>
                <w:sz w:val="16"/>
                <w:szCs w:val="16"/>
                <w:u w:val="none"/>
              </w:rPr>
            </w:pPr>
          </w:p>
        </w:tc>
        <w:tc>
          <w:tcPr>
            <w:tcW w:w="1106" w:type="dxa"/>
            <w:vMerge w:val="continue"/>
            <w:tcBorders>
              <w:top w:val="single" w:color="000000" w:sz="8" w:space="0"/>
              <w:left w:val="nil"/>
              <w:bottom w:val="single" w:color="000000" w:sz="4" w:space="0"/>
              <w:right w:val="nil"/>
            </w:tcBorders>
            <w:shd w:val="clear" w:color="auto" w:fill="auto"/>
            <w:noWrap/>
            <w:vAlign w:val="center"/>
          </w:tcPr>
          <w:p>
            <w:pPr>
              <w:jc w:val="center"/>
              <w:rPr>
                <w:rFonts w:hint="default" w:ascii="Times New Roman" w:hAnsi="Times New Roman" w:eastAsia="宋体" w:cs="Times New Roman"/>
                <w:b/>
                <w:bCs/>
                <w:i w:val="0"/>
                <w:iCs w:val="0"/>
                <w:color w:val="000000"/>
                <w:sz w:val="16"/>
                <w:szCs w:val="16"/>
                <w:u w:val="none"/>
              </w:rPr>
            </w:pP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HR(95%CI)</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p</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HR(95%CI)</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p</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HR(95%CI)</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p</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Hypertension</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CTI(per 1 unit)</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1015(35.19%)</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1.48(1.18-1.86)</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1.45(1.15-1.83)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0.002</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1.39(1.02-1.88)</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Hypertension</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CTI quartile</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Hypertension</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146(28.40%)</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Hypertension</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Q2</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216(34.67%)</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1.26(1.03-1.56)</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0.028</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1.23(0.99-1.51)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0.059</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1.26(1.02-1.57)</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Hypertension</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291(36.88%)</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1.37(1.12-1.67)</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0.002</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1.30(1.07-1.59)</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1.34(1.08-1.66)</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Hypertension</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362(37.79%)</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1.45(1.20-1.76)</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1.40(1.15-1.70)</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1.39(1.11-1.75)</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Hypertension</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 for trend</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0.001</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Non-Hypertension</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CTI(per 1 unit)</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1118(21.50%)</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1.80(1.43-2.27)</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1.65(1.31-2.08)</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1.56(1.16-2.10)</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Non-Hypertension</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CTI quartile</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Non-Hypertension</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260(17.25%)</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Non-Hypertension</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Q2</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300(21.46%)</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1.28(1.08-1.51)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1.22(1.03-1.44)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0.019</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1.21(1.02-1.43)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Non-Hypertension</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293(23.78%)</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1.42(1.21-1.68)</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1.34(1.14-1.59)</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1.25(1.04-1.50)</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Non-Hypertension</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265(24.93%)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1.58(1.33-1.87)</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1.49(1.25-1.77)</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1.43(1.16-1.75)</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Non-Hypertension</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 for trend</w:t>
            </w:r>
          </w:p>
        </w:tc>
        <w:tc>
          <w:tcPr>
            <w:tcW w:w="0" w:type="auto"/>
            <w:tcBorders>
              <w:top w:val="nil"/>
              <w:left w:val="nil"/>
              <w:bottom w:val="single" w:color="000000" w:sz="8" w:space="0"/>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single" w:color="000000" w:sz="8" w:space="0"/>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single" w:color="000000" w:sz="8" w:space="0"/>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single" w:color="000000" w:sz="8" w:space="0"/>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r>
    </w:tbl>
    <w:p>
      <w:pPr>
        <w:jc w:val="left"/>
        <w:rPr>
          <w:rFonts w:hint="default" w:ascii="Times New Roman" w:hAnsi="Times New Roman" w:cs="Times New Roman"/>
          <w:sz w:val="15"/>
          <w:szCs w:val="15"/>
        </w:rPr>
      </w:pPr>
      <w:r>
        <w:rPr>
          <w:rFonts w:hint="default" w:ascii="Times New Roman" w:hAnsi="Times New Roman" w:cs="Times New Roman"/>
          <w:sz w:val="15"/>
          <w:szCs w:val="15"/>
        </w:rPr>
        <w:t>Model 1: unadjusted for any covariates; Model 2: adjusted for gender, age, residence, marital status, education level, smoking status, and drinking status; Model 3: based on model 2, BMI, WC, SBP, DBP, TC, LDL, HDL, uric acid, diabetes, dyslipidemia, liver diseases, kidney diseases, lung diseases, digestive diseases,</w:t>
      </w:r>
      <w:r>
        <w:rPr>
          <w:rFonts w:hint="default" w:ascii="Times New Roman" w:hAnsi="Times New Roman" w:cs="Times New Roman"/>
          <w:sz w:val="15"/>
          <w:szCs w:val="15"/>
          <w:lang w:val="en-US" w:eastAsia="zh-CN"/>
        </w:rPr>
        <w:t xml:space="preserve"> </w:t>
      </w:r>
      <w:r>
        <w:rPr>
          <w:rFonts w:hint="default" w:ascii="Times New Roman" w:hAnsi="Times New Roman" w:cs="Times New Roman"/>
          <w:sz w:val="15"/>
          <w:szCs w:val="15"/>
        </w:rPr>
        <w:t>blood sugar status, and geographical area were adjusted.</w:t>
      </w:r>
    </w:p>
    <w:p/>
    <w:p/>
    <w:p/>
    <w:p/>
    <w:p/>
    <w:p/>
    <w:p/>
    <w:p/>
    <w:p/>
    <w:p/>
    <w:p/>
    <w:p/>
    <w:p/>
    <w:p/>
    <w:p/>
    <w:p/>
    <w:p/>
    <w:p/>
    <w:p/>
    <w:p>
      <w:pPr>
        <w:rPr>
          <w:sz w:val="22"/>
          <w:szCs w:val="22"/>
        </w:rPr>
      </w:pPr>
    </w:p>
    <w:p>
      <w:pPr>
        <w:rPr>
          <w:rFonts w:hint="default" w:ascii="Times New Roman" w:hAnsi="Times New Roman" w:cs="Times New Roman"/>
          <w:b/>
          <w:bCs/>
          <w:sz w:val="22"/>
          <w:szCs w:val="22"/>
          <w:lang w:val="en-US" w:eastAsia="zh-CN"/>
        </w:rPr>
      </w:pPr>
    </w:p>
    <w:p>
      <w:pPr>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br w:type="page"/>
      </w:r>
    </w:p>
    <w:p>
      <w:pPr>
        <w:rPr>
          <w:rFonts w:hint="default" w:ascii="Times New Roman" w:hAnsi="Times New Roman" w:cs="Times New Roman"/>
          <w:b/>
          <w:bCs/>
          <w:sz w:val="22"/>
          <w:szCs w:val="22"/>
          <w:lang w:val="en-US" w:eastAsia="zh-CN"/>
        </w:rPr>
      </w:pPr>
      <w:r>
        <w:rPr>
          <w:rFonts w:hint="default" w:ascii="Times New Roman" w:hAnsi="Times New Roman" w:cs="Times New Roman"/>
          <w:b/>
          <w:bCs/>
          <w:sz w:val="22"/>
          <w:szCs w:val="22"/>
          <w:lang w:val="en-US" w:eastAsia="zh-CN"/>
        </w:rPr>
        <w:t xml:space="preserve"> Table S</w:t>
      </w:r>
      <w:r>
        <w:rPr>
          <w:rFonts w:hint="eastAsia" w:ascii="Times New Roman" w:hAnsi="Times New Roman" w:cs="Times New Roman"/>
          <w:b/>
          <w:bCs/>
          <w:sz w:val="22"/>
          <w:szCs w:val="22"/>
          <w:lang w:val="en-US" w:eastAsia="zh-CN"/>
        </w:rPr>
        <w:t>7</w:t>
      </w:r>
      <w:r>
        <w:rPr>
          <w:rFonts w:hint="default" w:ascii="Times New Roman" w:hAnsi="Times New Roman" w:cs="Times New Roman"/>
          <w:b/>
          <w:bCs/>
          <w:sz w:val="22"/>
          <w:szCs w:val="22"/>
          <w:lang w:val="en-US" w:eastAsia="zh-CN"/>
        </w:rPr>
        <w:t>. According to whether there is diabetes, the correlation between CTI and CVD incidence.</w:t>
      </w:r>
    </w:p>
    <w:tbl>
      <w:tblPr>
        <w:tblStyle w:val="2"/>
        <w:tblW w:w="904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86"/>
        <w:gridCol w:w="1253"/>
        <w:gridCol w:w="1136"/>
        <w:gridCol w:w="1216"/>
        <w:gridCol w:w="667"/>
        <w:gridCol w:w="1216"/>
        <w:gridCol w:w="667"/>
        <w:gridCol w:w="1216"/>
        <w:gridCol w:w="66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 w:hRule="atLeast"/>
          <w:jc w:val="center"/>
        </w:trPr>
        <w:tc>
          <w:tcPr>
            <w:tcW w:w="1386" w:type="dxa"/>
            <w:vMerge w:val="restart"/>
            <w:tcBorders>
              <w:top w:val="single" w:color="000000" w:sz="8" w:space="0"/>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Disease</w:t>
            </w:r>
          </w:p>
        </w:tc>
        <w:tc>
          <w:tcPr>
            <w:tcW w:w="1253" w:type="dxa"/>
            <w:vMerge w:val="restart"/>
            <w:tcBorders>
              <w:top w:val="single" w:color="000000" w:sz="8" w:space="0"/>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Characteristic</w:t>
            </w:r>
          </w:p>
        </w:tc>
        <w:tc>
          <w:tcPr>
            <w:tcW w:w="1106" w:type="dxa"/>
            <w:vMerge w:val="restart"/>
            <w:tcBorders>
              <w:top w:val="single" w:color="000000" w:sz="8" w:space="0"/>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Event(%)</w:t>
            </w:r>
          </w:p>
        </w:tc>
        <w:tc>
          <w:tcPr>
            <w:tcW w:w="1799" w:type="dxa"/>
            <w:gridSpan w:val="2"/>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Model 1</w:t>
            </w:r>
          </w:p>
        </w:tc>
        <w:tc>
          <w:tcPr>
            <w:tcW w:w="1799" w:type="dxa"/>
            <w:gridSpan w:val="2"/>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Model 2</w:t>
            </w:r>
          </w:p>
        </w:tc>
        <w:tc>
          <w:tcPr>
            <w:tcW w:w="1706" w:type="dxa"/>
            <w:gridSpan w:val="2"/>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Model 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1386" w:type="dxa"/>
            <w:vMerge w:val="continue"/>
            <w:tcBorders>
              <w:top w:val="single" w:color="000000" w:sz="8" w:space="0"/>
              <w:left w:val="nil"/>
              <w:bottom w:val="single" w:color="000000" w:sz="4" w:space="0"/>
              <w:right w:val="nil"/>
            </w:tcBorders>
            <w:shd w:val="clear" w:color="auto" w:fill="auto"/>
            <w:noWrap/>
            <w:vAlign w:val="center"/>
          </w:tcPr>
          <w:p>
            <w:pPr>
              <w:jc w:val="center"/>
              <w:rPr>
                <w:rFonts w:hint="default" w:ascii="Times New Roman" w:hAnsi="Times New Roman" w:eastAsia="宋体" w:cs="Times New Roman"/>
                <w:b/>
                <w:bCs/>
                <w:i w:val="0"/>
                <w:iCs w:val="0"/>
                <w:color w:val="000000"/>
                <w:sz w:val="16"/>
                <w:szCs w:val="16"/>
                <w:u w:val="none"/>
              </w:rPr>
            </w:pPr>
          </w:p>
        </w:tc>
        <w:tc>
          <w:tcPr>
            <w:tcW w:w="1253" w:type="dxa"/>
            <w:vMerge w:val="continue"/>
            <w:tcBorders>
              <w:top w:val="single" w:color="000000" w:sz="8" w:space="0"/>
              <w:left w:val="nil"/>
              <w:bottom w:val="single" w:color="000000" w:sz="4" w:space="0"/>
              <w:right w:val="nil"/>
            </w:tcBorders>
            <w:shd w:val="clear" w:color="auto" w:fill="auto"/>
            <w:noWrap/>
            <w:vAlign w:val="center"/>
          </w:tcPr>
          <w:p>
            <w:pPr>
              <w:jc w:val="center"/>
              <w:rPr>
                <w:rFonts w:hint="default" w:ascii="Times New Roman" w:hAnsi="Times New Roman" w:eastAsia="宋体" w:cs="Times New Roman"/>
                <w:b/>
                <w:bCs/>
                <w:i w:val="0"/>
                <w:iCs w:val="0"/>
                <w:color w:val="000000"/>
                <w:sz w:val="16"/>
                <w:szCs w:val="16"/>
                <w:u w:val="none"/>
              </w:rPr>
            </w:pPr>
          </w:p>
        </w:tc>
        <w:tc>
          <w:tcPr>
            <w:tcW w:w="1106" w:type="dxa"/>
            <w:vMerge w:val="continue"/>
            <w:tcBorders>
              <w:top w:val="single" w:color="000000" w:sz="8" w:space="0"/>
              <w:left w:val="nil"/>
              <w:bottom w:val="single" w:color="000000" w:sz="4" w:space="0"/>
              <w:right w:val="nil"/>
            </w:tcBorders>
            <w:shd w:val="clear" w:color="auto" w:fill="auto"/>
            <w:noWrap/>
            <w:vAlign w:val="center"/>
          </w:tcPr>
          <w:p>
            <w:pPr>
              <w:jc w:val="center"/>
              <w:rPr>
                <w:rFonts w:hint="default" w:ascii="Times New Roman" w:hAnsi="Times New Roman" w:eastAsia="宋体" w:cs="Times New Roman"/>
                <w:b/>
                <w:bCs/>
                <w:i w:val="0"/>
                <w:iCs w:val="0"/>
                <w:color w:val="000000"/>
                <w:sz w:val="16"/>
                <w:szCs w:val="16"/>
                <w:u w:val="none"/>
              </w:rPr>
            </w:pP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HR(95%CI)</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p</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HR(95%CI)</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p</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HR(95%CI)</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p</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Diabetes</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CTI(per 1 unit)</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396(31.06%)</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1.44(1.03-2.02)</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0.035</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1.34(0.95-1.90)</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0.093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1.23(0.79-1.92)</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0.357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Diabetes</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CTI quartile</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Diabetes</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22(19.13%)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Diabetes</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Q2</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66(32.20%)</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1.78(1.10-2.88)</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0.019</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1.64(1.01-2.67)</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0.045</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1.80(1.09-2.97)</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Diabetes</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92(31.62%)</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1.77(1.11-2.81)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0.017</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1.61(1.00-2.57)</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0.048</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1.66(1.01-2.72)</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Diabetes</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216(32.53%)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1.87(1.21-2.90)</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0.005</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1.71(1.10-2.66)</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0.017</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1.68(1.02-2.74)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Diabetes</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 for trend</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0.034</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0.084</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0.362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Non-Diabetes</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CTI(per 1 unit)</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1737(25.51%)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2.03(1.67-2.47)</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1.81(1.49-2.21)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1.49(1.17-1.91)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Non-Diabetes</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CTI quartile</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Non-Diabetes</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384(20.15%)</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Non-Diabetes</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Q2</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450(24.78%)</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1.27(1.11-1.45)</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1.22(1.06-1.39)</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0.005</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1.19(1.03-1.37)</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Non-Diabetes</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492(28.44%)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1.48(1.29-1.69)</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1.39(1.22-1.59)</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1.27(1.10-1.47)</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Non-Diabetes</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411(30.29%)</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1.66(1.45-1.91)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1.56(1.35-1.79)</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1.37(1.16-1.62)</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Non-Diabetes</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 for trend</w:t>
            </w:r>
          </w:p>
        </w:tc>
        <w:tc>
          <w:tcPr>
            <w:tcW w:w="0" w:type="auto"/>
            <w:tcBorders>
              <w:top w:val="nil"/>
              <w:left w:val="nil"/>
              <w:bottom w:val="single" w:color="000000" w:sz="8" w:space="0"/>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single" w:color="000000" w:sz="8" w:space="0"/>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single" w:color="000000" w:sz="8" w:space="0"/>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single" w:color="000000" w:sz="8" w:space="0"/>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r>
    </w:tbl>
    <w:p>
      <w:pPr>
        <w:rPr>
          <w:rFonts w:hint="default" w:ascii="Times New Roman" w:hAnsi="Times New Roman" w:cs="Times New Roman"/>
          <w:sz w:val="15"/>
          <w:szCs w:val="15"/>
          <w:lang w:val="en-US" w:eastAsia="zh-CN"/>
        </w:rPr>
      </w:pPr>
      <w:r>
        <w:rPr>
          <w:rFonts w:hint="default" w:ascii="Times New Roman" w:hAnsi="Times New Roman" w:cs="Times New Roman"/>
          <w:sz w:val="15"/>
          <w:szCs w:val="15"/>
          <w:lang w:val="en-US" w:eastAsia="zh-CN"/>
        </w:rPr>
        <w:t>Model 1: unadjusted for any covariates; Model 2: adjusted for gender, age, residence, marital status, education level, smoking status, and drinking status; Model 3: based on model 2, BMI, WC, SBP, DBP, TC, LDL, HDL, uric acid, hypertension, dyslipidemia, liver diseases, kidney diseases, lung diseases, digestive diseases, blood sugar status, and geographical area were adjusted.</w:t>
      </w:r>
    </w:p>
    <w:p/>
    <w:p/>
    <w:p/>
    <w:p/>
    <w:p/>
    <w:p/>
    <w:p/>
    <w:p/>
    <w:p/>
    <w:p/>
    <w:p/>
    <w:p/>
    <w:p/>
    <w:p/>
    <w:p/>
    <w:p/>
    <w:p/>
    <w:p/>
    <w:p/>
    <w:p>
      <w:pPr>
        <w:rPr>
          <w:rFonts w:hint="default" w:ascii="Times New Roman" w:hAnsi="Times New Roman" w:cs="Times New Roman"/>
        </w:rPr>
      </w:pPr>
    </w:p>
    <w:p>
      <w:pPr>
        <w:rPr>
          <w:rFonts w:hint="default" w:ascii="Times New Roman" w:hAnsi="Times New Roman" w:cs="Times New Roman"/>
          <w:sz w:val="22"/>
          <w:szCs w:val="22"/>
        </w:rPr>
      </w:pPr>
      <w:r>
        <w:rPr>
          <w:rFonts w:hint="default" w:ascii="Times New Roman" w:hAnsi="Times New Roman" w:cs="Times New Roman"/>
          <w:sz w:val="22"/>
          <w:szCs w:val="22"/>
        </w:rPr>
        <w:t xml:space="preserve"> </w:t>
      </w:r>
    </w:p>
    <w:p>
      <w:pPr>
        <w:rPr>
          <w:rFonts w:hint="default" w:ascii="Times New Roman" w:hAnsi="Times New Roman" w:cs="Times New Roman"/>
          <w:b/>
          <w:bCs/>
          <w:sz w:val="22"/>
          <w:szCs w:val="22"/>
        </w:rPr>
      </w:pPr>
    </w:p>
    <w:p>
      <w:pPr>
        <w:rPr>
          <w:rFonts w:hint="default" w:ascii="Times New Roman" w:hAnsi="Times New Roman" w:cs="Times New Roman"/>
          <w:b/>
          <w:bCs/>
          <w:sz w:val="22"/>
          <w:szCs w:val="22"/>
        </w:rPr>
      </w:pPr>
      <w:r>
        <w:rPr>
          <w:rFonts w:hint="default" w:ascii="Times New Roman" w:hAnsi="Times New Roman" w:cs="Times New Roman"/>
          <w:b/>
          <w:bCs/>
          <w:sz w:val="22"/>
          <w:szCs w:val="22"/>
        </w:rPr>
        <w:br w:type="page"/>
      </w:r>
    </w:p>
    <w:p>
      <w:pPr>
        <w:rPr>
          <w:rFonts w:hint="default" w:ascii="Times New Roman" w:hAnsi="Times New Roman" w:cs="Times New Roman"/>
          <w:sz w:val="22"/>
          <w:szCs w:val="22"/>
        </w:rPr>
      </w:pPr>
      <w:r>
        <w:rPr>
          <w:rFonts w:hint="default" w:ascii="Times New Roman" w:hAnsi="Times New Roman" w:cs="Times New Roman"/>
          <w:b/>
          <w:bCs/>
          <w:sz w:val="22"/>
          <w:szCs w:val="22"/>
        </w:rPr>
        <w:t>Table S</w:t>
      </w:r>
      <w:r>
        <w:rPr>
          <w:rFonts w:hint="eastAsia" w:ascii="Times New Roman" w:hAnsi="Times New Roman" w:cs="Times New Roman"/>
          <w:b/>
          <w:bCs/>
          <w:sz w:val="22"/>
          <w:szCs w:val="22"/>
          <w:lang w:val="en-US" w:eastAsia="zh-CN"/>
        </w:rPr>
        <w:t>8</w:t>
      </w:r>
      <w:r>
        <w:rPr>
          <w:rFonts w:hint="default" w:ascii="Times New Roman" w:hAnsi="Times New Roman" w:cs="Times New Roman"/>
          <w:b/>
          <w:bCs/>
          <w:sz w:val="22"/>
          <w:szCs w:val="22"/>
        </w:rPr>
        <w:t xml:space="preserve">. According to whether there is </w:t>
      </w:r>
      <w:r>
        <w:rPr>
          <w:rFonts w:hint="default" w:ascii="Times New Roman" w:hAnsi="Times New Roman" w:cs="Times New Roman"/>
          <w:b/>
          <w:bCs/>
          <w:sz w:val="22"/>
          <w:szCs w:val="22"/>
          <w:lang w:val="en-US" w:eastAsia="zh-CN"/>
        </w:rPr>
        <w:t>d</w:t>
      </w:r>
      <w:r>
        <w:rPr>
          <w:rFonts w:hint="default" w:ascii="Times New Roman" w:hAnsi="Times New Roman" w:cs="Times New Roman"/>
          <w:b/>
          <w:bCs/>
          <w:sz w:val="22"/>
          <w:szCs w:val="22"/>
        </w:rPr>
        <w:t>yslipidemia, the correlation between CTI and CVD incidence.</w:t>
      </w:r>
    </w:p>
    <w:tbl>
      <w:tblPr>
        <w:tblStyle w:val="2"/>
        <w:tblW w:w="909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27"/>
        <w:gridCol w:w="1253"/>
        <w:gridCol w:w="1136"/>
        <w:gridCol w:w="1216"/>
        <w:gridCol w:w="667"/>
        <w:gridCol w:w="1216"/>
        <w:gridCol w:w="667"/>
        <w:gridCol w:w="1216"/>
        <w:gridCol w:w="66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 w:hRule="atLeast"/>
          <w:jc w:val="center"/>
        </w:trPr>
        <w:tc>
          <w:tcPr>
            <w:tcW w:w="1427" w:type="dxa"/>
            <w:vMerge w:val="restart"/>
            <w:tcBorders>
              <w:top w:val="single" w:color="000000" w:sz="8" w:space="0"/>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Disease</w:t>
            </w:r>
          </w:p>
        </w:tc>
        <w:tc>
          <w:tcPr>
            <w:tcW w:w="1253" w:type="dxa"/>
            <w:vMerge w:val="restart"/>
            <w:tcBorders>
              <w:top w:val="single" w:color="000000" w:sz="8" w:space="0"/>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Characteristic</w:t>
            </w:r>
          </w:p>
        </w:tc>
        <w:tc>
          <w:tcPr>
            <w:tcW w:w="1106" w:type="dxa"/>
            <w:vMerge w:val="restart"/>
            <w:tcBorders>
              <w:top w:val="single" w:color="000000" w:sz="8" w:space="0"/>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Event(%)</w:t>
            </w:r>
          </w:p>
        </w:tc>
        <w:tc>
          <w:tcPr>
            <w:tcW w:w="1799" w:type="dxa"/>
            <w:gridSpan w:val="2"/>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Model 1</w:t>
            </w:r>
          </w:p>
        </w:tc>
        <w:tc>
          <w:tcPr>
            <w:tcW w:w="1799" w:type="dxa"/>
            <w:gridSpan w:val="2"/>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Model 2</w:t>
            </w:r>
          </w:p>
        </w:tc>
        <w:tc>
          <w:tcPr>
            <w:tcW w:w="1706" w:type="dxa"/>
            <w:gridSpan w:val="2"/>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Model 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1427" w:type="dxa"/>
            <w:vMerge w:val="continue"/>
            <w:tcBorders>
              <w:top w:val="single" w:color="000000" w:sz="8" w:space="0"/>
              <w:left w:val="nil"/>
              <w:bottom w:val="single" w:color="000000" w:sz="4" w:space="0"/>
              <w:right w:val="nil"/>
            </w:tcBorders>
            <w:shd w:val="clear" w:color="auto" w:fill="auto"/>
            <w:noWrap/>
            <w:vAlign w:val="center"/>
          </w:tcPr>
          <w:p>
            <w:pPr>
              <w:jc w:val="center"/>
              <w:rPr>
                <w:rFonts w:hint="default" w:ascii="Times New Roman" w:hAnsi="Times New Roman" w:eastAsia="宋体" w:cs="Times New Roman"/>
                <w:b/>
                <w:bCs/>
                <w:i w:val="0"/>
                <w:iCs w:val="0"/>
                <w:color w:val="000000"/>
                <w:sz w:val="16"/>
                <w:szCs w:val="16"/>
                <w:u w:val="none"/>
              </w:rPr>
            </w:pPr>
          </w:p>
        </w:tc>
        <w:tc>
          <w:tcPr>
            <w:tcW w:w="1253" w:type="dxa"/>
            <w:vMerge w:val="continue"/>
            <w:tcBorders>
              <w:top w:val="single" w:color="000000" w:sz="8" w:space="0"/>
              <w:left w:val="nil"/>
              <w:bottom w:val="single" w:color="000000" w:sz="4" w:space="0"/>
              <w:right w:val="nil"/>
            </w:tcBorders>
            <w:shd w:val="clear" w:color="auto" w:fill="auto"/>
            <w:noWrap/>
            <w:vAlign w:val="center"/>
          </w:tcPr>
          <w:p>
            <w:pPr>
              <w:jc w:val="center"/>
              <w:rPr>
                <w:rFonts w:hint="default" w:ascii="Times New Roman" w:hAnsi="Times New Roman" w:eastAsia="宋体" w:cs="Times New Roman"/>
                <w:b/>
                <w:bCs/>
                <w:i w:val="0"/>
                <w:iCs w:val="0"/>
                <w:color w:val="000000"/>
                <w:sz w:val="16"/>
                <w:szCs w:val="16"/>
                <w:u w:val="none"/>
              </w:rPr>
            </w:pPr>
          </w:p>
        </w:tc>
        <w:tc>
          <w:tcPr>
            <w:tcW w:w="1106" w:type="dxa"/>
            <w:vMerge w:val="continue"/>
            <w:tcBorders>
              <w:top w:val="single" w:color="000000" w:sz="8" w:space="0"/>
              <w:left w:val="nil"/>
              <w:bottom w:val="single" w:color="000000" w:sz="4" w:space="0"/>
              <w:right w:val="nil"/>
            </w:tcBorders>
            <w:shd w:val="clear" w:color="auto" w:fill="auto"/>
            <w:noWrap/>
            <w:vAlign w:val="center"/>
          </w:tcPr>
          <w:p>
            <w:pPr>
              <w:jc w:val="center"/>
              <w:rPr>
                <w:rFonts w:hint="default" w:ascii="Times New Roman" w:hAnsi="Times New Roman" w:eastAsia="宋体" w:cs="Times New Roman"/>
                <w:b/>
                <w:bCs/>
                <w:i w:val="0"/>
                <w:iCs w:val="0"/>
                <w:color w:val="000000"/>
                <w:sz w:val="16"/>
                <w:szCs w:val="16"/>
                <w:u w:val="none"/>
              </w:rPr>
            </w:pP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HR(95%CI)</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p</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HR(95%CI)</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p</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HR(95%CI)</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p</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Dyslipidemia</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CTI(per 1 unit)</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2017(26.68%)</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1.98(1.68-2.33)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1.80(1.53-2.13)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1.47(1.18-1.83)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Dyslipidemia</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CTI quartile</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Dyslipidemia</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356(19.84%)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Dyslipidemia</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Q2</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488(25.87%)</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1.36(1.18-1.55)</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1.30(1.13-1.49)</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1.27(1.10-1.46)</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Dyslipidemia</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564(29.22%)</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1.56(1.36-1.78)</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1.46(1.28-1.67)</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1.33(1.16-1.54)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Dyslipidemia</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609(31.25%)</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1.75(1.54-2.00)</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1.64(1.44-1.87)</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1.42(1.22-1.67)</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Dyslipidemia</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 for trend</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Non-Dyslipidemia</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CTI(per 1 unit)</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116(22.10%)</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1.58(0.77-3.24)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0.213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1.39(0.65-2.98)</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0.402</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1.71(0.72-4.07)</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0.229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Non-Dyslipidemia</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CTI quartile</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Non-Dyslipidemia</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50(22.03%)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Non-Dyslipidemia</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Q2</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28(20.74%)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0.94(0.59-1.49)</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0.785</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0.88(0.55-1.41)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0.603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0.93(0.55-1.58)</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0.784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Non-Dyslipidemia</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20(21.98%)</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0.98(0.58-1.66)</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0.933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0.83(0.48-1.44)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0.515</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0.67(0.36-1.24)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0.203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Non-Dyslipidemia</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18(25.00%)</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1.33(0.78-2.28)</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0.297</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1.29(0.74-2.23)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0.367</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1.51(0.81-2.82)</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0.192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Non-Dyslipidemia</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 for trend</w:t>
            </w:r>
          </w:p>
        </w:tc>
        <w:tc>
          <w:tcPr>
            <w:tcW w:w="0" w:type="auto"/>
            <w:tcBorders>
              <w:top w:val="nil"/>
              <w:left w:val="nil"/>
              <w:bottom w:val="single" w:color="000000" w:sz="8" w:space="0"/>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single" w:color="000000" w:sz="8" w:space="0"/>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0.395</w:t>
            </w:r>
          </w:p>
        </w:tc>
        <w:tc>
          <w:tcPr>
            <w:tcW w:w="0" w:type="auto"/>
            <w:tcBorders>
              <w:top w:val="nil"/>
              <w:left w:val="nil"/>
              <w:bottom w:val="single" w:color="000000" w:sz="8" w:space="0"/>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0.663</w:t>
            </w:r>
          </w:p>
        </w:tc>
        <w:tc>
          <w:tcPr>
            <w:tcW w:w="0" w:type="auto"/>
            <w:tcBorders>
              <w:top w:val="nil"/>
              <w:left w:val="nil"/>
              <w:bottom w:val="single" w:color="000000" w:sz="8" w:space="0"/>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0.496</w:t>
            </w:r>
          </w:p>
        </w:tc>
      </w:tr>
    </w:tbl>
    <w:p>
      <w:pPr>
        <w:rPr>
          <w:rFonts w:hint="default" w:ascii="Times New Roman" w:hAnsi="Times New Roman" w:cs="Times New Roman"/>
          <w:sz w:val="15"/>
          <w:szCs w:val="15"/>
        </w:rPr>
      </w:pPr>
      <w:r>
        <w:rPr>
          <w:rFonts w:hint="default" w:ascii="Times New Roman" w:hAnsi="Times New Roman" w:cs="Times New Roman"/>
          <w:sz w:val="15"/>
          <w:szCs w:val="15"/>
        </w:rPr>
        <w:t>Model 1: unadjusted for any covariates; Model 2: adjusted for gender, age, residence, marital status, education level, smoking status, and drinking status; Model 3: based on model 2, BMI, WC, SBP, DBP, TC, LDL, HDL, uric acid, hypertension, diabetes, liver diseases, kidney diseases, lung diseases, digestive diseases, blood sugar status, and geographical area were adjusted.</w:t>
      </w:r>
    </w:p>
    <w:p/>
    <w:p/>
    <w:p/>
    <w:p/>
    <w:p/>
    <w:p/>
    <w:p/>
    <w:p/>
    <w:p/>
    <w:p/>
    <w:p/>
    <w:p/>
    <w:p/>
    <w:p/>
    <w:p/>
    <w:p/>
    <w:p/>
    <w:p/>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b/>
          <w:bCs/>
          <w:sz w:val="22"/>
          <w:szCs w:val="22"/>
        </w:rPr>
      </w:pPr>
      <w:r>
        <w:rPr>
          <w:rFonts w:hint="default" w:ascii="Times New Roman" w:hAnsi="Times New Roman" w:cs="Times New Roman"/>
          <w:b/>
          <w:bCs/>
          <w:sz w:val="22"/>
          <w:szCs w:val="22"/>
        </w:rPr>
        <w:t xml:space="preserve"> </w:t>
      </w:r>
    </w:p>
    <w:p>
      <w:pPr>
        <w:rPr>
          <w:rFonts w:hint="default" w:ascii="Times New Roman" w:hAnsi="Times New Roman" w:cs="Times New Roman"/>
          <w:b/>
          <w:bCs/>
          <w:sz w:val="22"/>
          <w:szCs w:val="22"/>
        </w:rPr>
      </w:pPr>
      <w:r>
        <w:rPr>
          <w:rFonts w:hint="default" w:ascii="Times New Roman" w:hAnsi="Times New Roman" w:cs="Times New Roman"/>
          <w:b/>
          <w:bCs/>
          <w:sz w:val="22"/>
          <w:szCs w:val="22"/>
        </w:rPr>
        <w:br w:type="page"/>
      </w:r>
    </w:p>
    <w:p>
      <w:pPr>
        <w:rPr>
          <w:rFonts w:hint="default" w:ascii="Times New Roman" w:hAnsi="Times New Roman" w:cs="Times New Roman"/>
          <w:b/>
          <w:bCs/>
          <w:sz w:val="22"/>
          <w:szCs w:val="22"/>
        </w:rPr>
      </w:pPr>
      <w:r>
        <w:rPr>
          <w:rFonts w:hint="default" w:ascii="Times New Roman" w:hAnsi="Times New Roman" w:cs="Times New Roman"/>
          <w:b/>
          <w:bCs/>
          <w:sz w:val="22"/>
          <w:szCs w:val="22"/>
        </w:rPr>
        <w:t>Table S</w:t>
      </w:r>
      <w:r>
        <w:rPr>
          <w:rFonts w:hint="eastAsia" w:ascii="Times New Roman" w:hAnsi="Times New Roman" w:cs="Times New Roman"/>
          <w:b/>
          <w:bCs/>
          <w:sz w:val="22"/>
          <w:szCs w:val="22"/>
          <w:lang w:val="en-US" w:eastAsia="zh-CN"/>
        </w:rPr>
        <w:t>9</w:t>
      </w:r>
      <w:r>
        <w:rPr>
          <w:rFonts w:hint="default" w:ascii="Times New Roman" w:hAnsi="Times New Roman" w:cs="Times New Roman"/>
          <w:b/>
          <w:bCs/>
          <w:sz w:val="22"/>
          <w:szCs w:val="22"/>
        </w:rPr>
        <w:t xml:space="preserve">. According to whether there is </w:t>
      </w:r>
      <w:r>
        <w:rPr>
          <w:rFonts w:hint="default" w:ascii="Times New Roman" w:hAnsi="Times New Roman" w:cs="Times New Roman"/>
          <w:b/>
          <w:bCs/>
          <w:sz w:val="22"/>
          <w:szCs w:val="22"/>
          <w:lang w:val="en-US" w:eastAsia="zh-CN"/>
        </w:rPr>
        <w:t>l</w:t>
      </w:r>
      <w:r>
        <w:rPr>
          <w:rFonts w:hint="default" w:ascii="Times New Roman" w:hAnsi="Times New Roman" w:cs="Times New Roman"/>
          <w:b/>
          <w:bCs/>
          <w:sz w:val="22"/>
          <w:szCs w:val="22"/>
        </w:rPr>
        <w:t>iver disease, the correlation between CTI and CVD incidence.</w:t>
      </w:r>
    </w:p>
    <w:tbl>
      <w:tblPr>
        <w:tblStyle w:val="2"/>
        <w:tblW w:w="915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89"/>
        <w:gridCol w:w="1253"/>
        <w:gridCol w:w="1136"/>
        <w:gridCol w:w="1216"/>
        <w:gridCol w:w="667"/>
        <w:gridCol w:w="1216"/>
        <w:gridCol w:w="667"/>
        <w:gridCol w:w="1216"/>
        <w:gridCol w:w="66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 w:hRule="atLeast"/>
          <w:jc w:val="center"/>
        </w:trPr>
        <w:tc>
          <w:tcPr>
            <w:tcW w:w="1489" w:type="dxa"/>
            <w:vMerge w:val="restart"/>
            <w:tcBorders>
              <w:top w:val="single" w:color="000000" w:sz="8" w:space="0"/>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Disease</w:t>
            </w:r>
          </w:p>
        </w:tc>
        <w:tc>
          <w:tcPr>
            <w:tcW w:w="1253" w:type="dxa"/>
            <w:vMerge w:val="restart"/>
            <w:tcBorders>
              <w:top w:val="single" w:color="000000" w:sz="8" w:space="0"/>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Characteristic</w:t>
            </w:r>
          </w:p>
        </w:tc>
        <w:tc>
          <w:tcPr>
            <w:tcW w:w="1106" w:type="dxa"/>
            <w:vMerge w:val="restart"/>
            <w:tcBorders>
              <w:top w:val="single" w:color="000000" w:sz="8" w:space="0"/>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Event(%)</w:t>
            </w:r>
          </w:p>
        </w:tc>
        <w:tc>
          <w:tcPr>
            <w:tcW w:w="1799" w:type="dxa"/>
            <w:gridSpan w:val="2"/>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Model 1</w:t>
            </w:r>
          </w:p>
        </w:tc>
        <w:tc>
          <w:tcPr>
            <w:tcW w:w="1799" w:type="dxa"/>
            <w:gridSpan w:val="2"/>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Model 2</w:t>
            </w:r>
          </w:p>
        </w:tc>
        <w:tc>
          <w:tcPr>
            <w:tcW w:w="1706" w:type="dxa"/>
            <w:gridSpan w:val="2"/>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Model 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1489" w:type="dxa"/>
            <w:vMerge w:val="continue"/>
            <w:tcBorders>
              <w:top w:val="single" w:color="000000" w:sz="8" w:space="0"/>
              <w:left w:val="nil"/>
              <w:bottom w:val="single" w:color="000000" w:sz="4" w:space="0"/>
              <w:right w:val="nil"/>
            </w:tcBorders>
            <w:shd w:val="clear" w:color="auto" w:fill="auto"/>
            <w:noWrap/>
            <w:vAlign w:val="center"/>
          </w:tcPr>
          <w:p>
            <w:pPr>
              <w:jc w:val="center"/>
              <w:rPr>
                <w:rFonts w:hint="default" w:ascii="Times New Roman" w:hAnsi="Times New Roman" w:eastAsia="宋体" w:cs="Times New Roman"/>
                <w:b/>
                <w:bCs/>
                <w:i w:val="0"/>
                <w:iCs w:val="0"/>
                <w:color w:val="000000"/>
                <w:sz w:val="16"/>
                <w:szCs w:val="16"/>
                <w:u w:val="none"/>
              </w:rPr>
            </w:pPr>
          </w:p>
        </w:tc>
        <w:tc>
          <w:tcPr>
            <w:tcW w:w="1253" w:type="dxa"/>
            <w:vMerge w:val="continue"/>
            <w:tcBorders>
              <w:top w:val="single" w:color="000000" w:sz="8" w:space="0"/>
              <w:left w:val="nil"/>
              <w:bottom w:val="single" w:color="000000" w:sz="4" w:space="0"/>
              <w:right w:val="nil"/>
            </w:tcBorders>
            <w:shd w:val="clear" w:color="auto" w:fill="auto"/>
            <w:noWrap/>
            <w:vAlign w:val="center"/>
          </w:tcPr>
          <w:p>
            <w:pPr>
              <w:jc w:val="center"/>
              <w:rPr>
                <w:rFonts w:hint="default" w:ascii="Times New Roman" w:hAnsi="Times New Roman" w:eastAsia="宋体" w:cs="Times New Roman"/>
                <w:b/>
                <w:bCs/>
                <w:i w:val="0"/>
                <w:iCs w:val="0"/>
                <w:color w:val="000000"/>
                <w:sz w:val="16"/>
                <w:szCs w:val="16"/>
                <w:u w:val="none"/>
              </w:rPr>
            </w:pPr>
          </w:p>
        </w:tc>
        <w:tc>
          <w:tcPr>
            <w:tcW w:w="1106" w:type="dxa"/>
            <w:vMerge w:val="continue"/>
            <w:tcBorders>
              <w:top w:val="single" w:color="000000" w:sz="8" w:space="0"/>
              <w:left w:val="nil"/>
              <w:bottom w:val="single" w:color="000000" w:sz="4" w:space="0"/>
              <w:right w:val="nil"/>
            </w:tcBorders>
            <w:shd w:val="clear" w:color="auto" w:fill="auto"/>
            <w:noWrap/>
            <w:vAlign w:val="center"/>
          </w:tcPr>
          <w:p>
            <w:pPr>
              <w:jc w:val="center"/>
              <w:rPr>
                <w:rFonts w:hint="default" w:ascii="Times New Roman" w:hAnsi="Times New Roman" w:eastAsia="宋体" w:cs="Times New Roman"/>
                <w:b/>
                <w:bCs/>
                <w:i w:val="0"/>
                <w:iCs w:val="0"/>
                <w:color w:val="000000"/>
                <w:sz w:val="16"/>
                <w:szCs w:val="16"/>
                <w:u w:val="none"/>
              </w:rPr>
            </w:pP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HR(95%CI)</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p</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HR(95%CI)</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p</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HR(95%CI)</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p</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Liver disease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CTI(per 1 unit)</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98(36.70%)</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1.47(0.68-3.16)</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0.324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1.41(0.64-3.11)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0.395</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1.48(0.48-4.55)</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0.497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Liver disease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CTI quartile</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Liver disease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22(28.21%)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Liver disease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Q2</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28(41.79%)</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1.56(0.89-2.72)</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0.12</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1.53(0.85-2.76)</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0.157</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1.41(0.76-2.62)</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0.277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Liver disease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24(38.10%)</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1.36(0.76-2.43)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0.297</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1.48(0.81-2.71)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0.198</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1.49(0.75-2.96)</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0.252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Liver disease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24(40.68%)</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1.77(0.99-3.16)</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0.053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1.71(0.95-3.07)</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0.076</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1.99(0.93-4.29)</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Liver disease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 for trend</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0.083</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0.099</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Non-Liver disease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CTI(per 1 unit)</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2035(26.03%)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2.01(1.71-2.36)</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1.82(1.54-2.14)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1.47(1.18-1.82)</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Non-Liver disease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CTI quartile</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Non-Liver disease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384(19.76%)</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Non-Liver disease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Q2</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488(24.97%)</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1.31(1.14-1.49)</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1.26(1.10-1.44)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1.22(1.07-1.40)</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Non-Liver disease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560(28.60%)</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1.53(1.34-1.74)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1.43(1.25-1.62)</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1.28(1.11-1.47)</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Non-Liver disease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603(30.73%)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1.73(1.52-1.96)</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1.61(1.42-1.84)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1.37(1.18-1.60)</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Non-Liver disease</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 for trend</w:t>
            </w:r>
          </w:p>
        </w:tc>
        <w:tc>
          <w:tcPr>
            <w:tcW w:w="0" w:type="auto"/>
            <w:tcBorders>
              <w:top w:val="nil"/>
              <w:left w:val="nil"/>
              <w:bottom w:val="single" w:color="000000" w:sz="8" w:space="0"/>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single" w:color="000000" w:sz="8" w:space="0"/>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single" w:color="000000" w:sz="8" w:space="0"/>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single" w:color="000000" w:sz="8" w:space="0"/>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r>
    </w:tbl>
    <w:p>
      <w:pPr>
        <w:rPr>
          <w:rFonts w:hint="default" w:ascii="Times New Roman" w:hAnsi="Times New Roman" w:cs="Times New Roman"/>
          <w:sz w:val="15"/>
          <w:szCs w:val="15"/>
        </w:rPr>
      </w:pPr>
      <w:r>
        <w:rPr>
          <w:rFonts w:hint="default" w:ascii="Times New Roman" w:hAnsi="Times New Roman" w:cs="Times New Roman"/>
          <w:sz w:val="15"/>
          <w:szCs w:val="15"/>
        </w:rPr>
        <w:t>Model 1: unadjusted for any covariates; Model 2: adjusted for gender, age, residence, marital status, education level, smoking status, and drinking status; Model 3: based on model 2, BMI, WC, SBP, DBP, TC, LDL, HDL, uric acid, hypertension, diabetes, dyslipidemia, kidney diseases, lung diseases, digestive diseases, blood sugar status, and geographical area were adjusted.</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default" w:ascii="Times New Roman" w:hAnsi="Times New Roman" w:cs="Times New Roman"/>
          <w:b/>
          <w:bCs/>
          <w:sz w:val="22"/>
          <w:szCs w:val="22"/>
        </w:rPr>
      </w:pPr>
    </w:p>
    <w:p>
      <w:pPr>
        <w:rPr>
          <w:rFonts w:hint="default" w:ascii="Times New Roman" w:hAnsi="Times New Roman" w:cs="Times New Roman"/>
          <w:b/>
          <w:bCs/>
          <w:sz w:val="22"/>
          <w:szCs w:val="22"/>
        </w:rPr>
      </w:pPr>
    </w:p>
    <w:p>
      <w:pPr>
        <w:rPr>
          <w:rFonts w:hint="default" w:ascii="Times New Roman" w:hAnsi="Times New Roman" w:cs="Times New Roman"/>
          <w:b/>
          <w:bCs/>
          <w:sz w:val="22"/>
          <w:szCs w:val="22"/>
        </w:rPr>
      </w:pPr>
      <w:r>
        <w:rPr>
          <w:rFonts w:hint="default" w:ascii="Times New Roman" w:hAnsi="Times New Roman" w:cs="Times New Roman"/>
          <w:b/>
          <w:bCs/>
          <w:sz w:val="22"/>
          <w:szCs w:val="22"/>
        </w:rPr>
        <w:br w:type="page"/>
      </w:r>
    </w:p>
    <w:p>
      <w:pPr>
        <w:rPr>
          <w:rFonts w:hint="default" w:ascii="Times New Roman" w:hAnsi="Times New Roman" w:cs="Times New Roman"/>
          <w:b/>
          <w:bCs/>
          <w:sz w:val="22"/>
          <w:szCs w:val="22"/>
        </w:rPr>
      </w:pPr>
      <w:r>
        <w:rPr>
          <w:rFonts w:hint="default" w:ascii="Times New Roman" w:hAnsi="Times New Roman" w:cs="Times New Roman"/>
          <w:b/>
          <w:bCs/>
          <w:sz w:val="22"/>
          <w:szCs w:val="22"/>
        </w:rPr>
        <w:t>Table S</w:t>
      </w:r>
      <w:r>
        <w:rPr>
          <w:rFonts w:hint="eastAsia" w:ascii="Times New Roman" w:hAnsi="Times New Roman" w:cs="Times New Roman"/>
          <w:b/>
          <w:bCs/>
          <w:sz w:val="22"/>
          <w:szCs w:val="22"/>
          <w:lang w:val="en-US" w:eastAsia="zh-CN"/>
        </w:rPr>
        <w:t>10</w:t>
      </w:r>
      <w:r>
        <w:rPr>
          <w:rFonts w:hint="default" w:ascii="Times New Roman" w:hAnsi="Times New Roman" w:cs="Times New Roman"/>
          <w:b/>
          <w:bCs/>
          <w:sz w:val="22"/>
          <w:szCs w:val="22"/>
        </w:rPr>
        <w:t xml:space="preserve">. According to whether there is </w:t>
      </w:r>
      <w:r>
        <w:rPr>
          <w:rFonts w:hint="default" w:ascii="Times New Roman" w:hAnsi="Times New Roman" w:cs="Times New Roman"/>
          <w:b/>
          <w:bCs/>
          <w:sz w:val="22"/>
          <w:szCs w:val="22"/>
          <w:lang w:val="en-US" w:eastAsia="zh-CN"/>
        </w:rPr>
        <w:t>k</w:t>
      </w:r>
      <w:r>
        <w:rPr>
          <w:rFonts w:hint="default" w:ascii="Times New Roman" w:hAnsi="Times New Roman" w:cs="Times New Roman"/>
          <w:b/>
          <w:bCs/>
          <w:sz w:val="22"/>
          <w:szCs w:val="22"/>
        </w:rPr>
        <w:t>idney disease, the correlation between CTI and CVD incidence.</w:t>
      </w:r>
    </w:p>
    <w:p>
      <w:pPr>
        <w:rPr>
          <w:rFonts w:hint="eastAsia"/>
        </w:rPr>
      </w:pPr>
    </w:p>
    <w:tbl>
      <w:tblPr>
        <w:tblStyle w:val="2"/>
        <w:tblW w:w="934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93"/>
        <w:gridCol w:w="1253"/>
        <w:gridCol w:w="1136"/>
        <w:gridCol w:w="1216"/>
        <w:gridCol w:w="667"/>
        <w:gridCol w:w="1216"/>
        <w:gridCol w:w="667"/>
        <w:gridCol w:w="1216"/>
        <w:gridCol w:w="66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 w:hRule="atLeast"/>
          <w:jc w:val="center"/>
        </w:trPr>
        <w:tc>
          <w:tcPr>
            <w:tcW w:w="1693" w:type="dxa"/>
            <w:vMerge w:val="restart"/>
            <w:tcBorders>
              <w:top w:val="single" w:color="000000" w:sz="8" w:space="0"/>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Disease</w:t>
            </w:r>
          </w:p>
        </w:tc>
        <w:tc>
          <w:tcPr>
            <w:tcW w:w="1253" w:type="dxa"/>
            <w:vMerge w:val="restart"/>
            <w:tcBorders>
              <w:top w:val="single" w:color="000000" w:sz="8" w:space="0"/>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Characteristic</w:t>
            </w:r>
          </w:p>
        </w:tc>
        <w:tc>
          <w:tcPr>
            <w:tcW w:w="1106" w:type="dxa"/>
            <w:vMerge w:val="restart"/>
            <w:tcBorders>
              <w:top w:val="single" w:color="000000" w:sz="8" w:space="0"/>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Event(%)</w:t>
            </w:r>
          </w:p>
        </w:tc>
        <w:tc>
          <w:tcPr>
            <w:tcW w:w="1799" w:type="dxa"/>
            <w:gridSpan w:val="2"/>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Model 1</w:t>
            </w:r>
          </w:p>
        </w:tc>
        <w:tc>
          <w:tcPr>
            <w:tcW w:w="1799" w:type="dxa"/>
            <w:gridSpan w:val="2"/>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Model 2</w:t>
            </w:r>
          </w:p>
        </w:tc>
        <w:tc>
          <w:tcPr>
            <w:tcW w:w="1706" w:type="dxa"/>
            <w:gridSpan w:val="2"/>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Model 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1693" w:type="dxa"/>
            <w:vMerge w:val="continue"/>
            <w:tcBorders>
              <w:top w:val="single" w:color="000000" w:sz="8" w:space="0"/>
              <w:left w:val="nil"/>
              <w:bottom w:val="single" w:color="000000" w:sz="4" w:space="0"/>
              <w:right w:val="nil"/>
            </w:tcBorders>
            <w:shd w:val="clear" w:color="auto" w:fill="auto"/>
            <w:noWrap/>
            <w:vAlign w:val="center"/>
          </w:tcPr>
          <w:p>
            <w:pPr>
              <w:jc w:val="center"/>
              <w:rPr>
                <w:rFonts w:hint="default" w:ascii="Times New Roman" w:hAnsi="Times New Roman" w:eastAsia="宋体" w:cs="Times New Roman"/>
                <w:b/>
                <w:bCs/>
                <w:i w:val="0"/>
                <w:iCs w:val="0"/>
                <w:color w:val="000000"/>
                <w:sz w:val="16"/>
                <w:szCs w:val="16"/>
                <w:u w:val="none"/>
              </w:rPr>
            </w:pPr>
          </w:p>
        </w:tc>
        <w:tc>
          <w:tcPr>
            <w:tcW w:w="1253" w:type="dxa"/>
            <w:vMerge w:val="continue"/>
            <w:tcBorders>
              <w:top w:val="single" w:color="000000" w:sz="8" w:space="0"/>
              <w:left w:val="nil"/>
              <w:bottom w:val="single" w:color="000000" w:sz="4" w:space="0"/>
              <w:right w:val="nil"/>
            </w:tcBorders>
            <w:shd w:val="clear" w:color="auto" w:fill="auto"/>
            <w:noWrap/>
            <w:vAlign w:val="center"/>
          </w:tcPr>
          <w:p>
            <w:pPr>
              <w:jc w:val="center"/>
              <w:rPr>
                <w:rFonts w:hint="default" w:ascii="Times New Roman" w:hAnsi="Times New Roman" w:eastAsia="宋体" w:cs="Times New Roman"/>
                <w:b/>
                <w:bCs/>
                <w:i w:val="0"/>
                <w:iCs w:val="0"/>
                <w:color w:val="000000"/>
                <w:sz w:val="16"/>
                <w:szCs w:val="16"/>
                <w:u w:val="none"/>
              </w:rPr>
            </w:pPr>
          </w:p>
        </w:tc>
        <w:tc>
          <w:tcPr>
            <w:tcW w:w="1106" w:type="dxa"/>
            <w:vMerge w:val="continue"/>
            <w:tcBorders>
              <w:top w:val="single" w:color="000000" w:sz="8" w:space="0"/>
              <w:left w:val="nil"/>
              <w:bottom w:val="single" w:color="000000" w:sz="4" w:space="0"/>
              <w:right w:val="nil"/>
            </w:tcBorders>
            <w:shd w:val="clear" w:color="auto" w:fill="auto"/>
            <w:noWrap/>
            <w:vAlign w:val="center"/>
          </w:tcPr>
          <w:p>
            <w:pPr>
              <w:jc w:val="center"/>
              <w:rPr>
                <w:rFonts w:hint="default" w:ascii="Times New Roman" w:hAnsi="Times New Roman" w:eastAsia="宋体" w:cs="Times New Roman"/>
                <w:b/>
                <w:bCs/>
                <w:i w:val="0"/>
                <w:iCs w:val="0"/>
                <w:color w:val="000000"/>
                <w:sz w:val="16"/>
                <w:szCs w:val="16"/>
                <w:u w:val="none"/>
              </w:rPr>
            </w:pP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HR(95%CI)</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p</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HR(95%CI)</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p</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HR(95%CI)</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p</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Kidney disease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CTI(per 1 unit)</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154(33.12%)</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2.47(1.44-4.25)</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2.69(1.52-4.77)</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3.63(1.65-8.02)</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Kidney disease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CTI quartile</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Kidney disease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32(26.45%)</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Kidney disease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Q2</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27(23.28%)</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0.89(0.54-1.49)</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0.669</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0.94(0.56-1.58)</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0.815</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1.02(0.59-1.77)</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0.946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Kidney disease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37(34.26%)</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1.43(0.89-2.29)</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0.14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1.32(0.82-2.13)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0.261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1.40(0.81-2.43)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0.227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Kidney disease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58(48.33%)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2.12(1.38-3.26)</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2.18(1.41-3.39)</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2.44(1.43-4.17)</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Kidney disease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 for trend</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Non-Kidney disease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CTI(per 1 unit)</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1979(25.97%)</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1.93(1.63-2.28)</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1.74(1.47-2.06)</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1.38(1.11-1.73)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Non-Kidney disease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CTI quartile</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Non-Kidney disease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374(19.68%)</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Non-Kidney disease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Q2</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489(25.67%)</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1.35(1.18-1.55)</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1.29(1.13-1.48)</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1.26(1.09-1.44)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Non-Kidney disease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547(28.59%)</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1.53(1.34-1.74)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1.43(1.25-1.63)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1.28(1.11-1.48)</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Non-Kidney disease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569(29.93%)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1.69(1.48-1.92)</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1.58(1.38-1.80)</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1.34(1.14-1.57)</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Non-Kidney disease</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 for trend</w:t>
            </w:r>
          </w:p>
        </w:tc>
        <w:tc>
          <w:tcPr>
            <w:tcW w:w="0" w:type="auto"/>
            <w:tcBorders>
              <w:top w:val="nil"/>
              <w:left w:val="nil"/>
              <w:bottom w:val="single" w:color="000000" w:sz="8" w:space="0"/>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single" w:color="000000" w:sz="8" w:space="0"/>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single" w:color="000000" w:sz="8" w:space="0"/>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single" w:color="000000" w:sz="8" w:space="0"/>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r>
    </w:tbl>
    <w:p>
      <w:pPr>
        <w:rPr>
          <w:rFonts w:hint="default" w:ascii="Times New Roman" w:hAnsi="Times New Roman" w:cs="Times New Roman"/>
          <w:sz w:val="15"/>
          <w:szCs w:val="15"/>
        </w:rPr>
      </w:pPr>
      <w:r>
        <w:rPr>
          <w:rFonts w:hint="default" w:ascii="Times New Roman" w:hAnsi="Times New Roman" w:cs="Times New Roman"/>
          <w:sz w:val="15"/>
          <w:szCs w:val="15"/>
        </w:rPr>
        <w:t>Model 1: unadjusted for any covariates; Model 2: adjusted for gender, age, residence, marital status, education level, smoking status, and drinking status; Model 3: based on model 2, BMI, WC, SBP, DBP, TC, LDL, HDL, uric acid, hypertension, diabetes, dyslipidemia, liver diseases, lung diseases, digestive diseases, blood sugar status, and geographical area were adjusted.</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default" w:ascii="Times New Roman" w:hAnsi="Times New Roman" w:cs="Times New Roman"/>
          <w:b/>
          <w:bCs/>
          <w:sz w:val="22"/>
          <w:szCs w:val="22"/>
        </w:rPr>
      </w:pPr>
    </w:p>
    <w:p>
      <w:pPr>
        <w:rPr>
          <w:rFonts w:hint="default" w:ascii="Times New Roman" w:hAnsi="Times New Roman" w:cs="Times New Roman"/>
          <w:b/>
          <w:bCs/>
          <w:sz w:val="22"/>
          <w:szCs w:val="22"/>
        </w:rPr>
      </w:pPr>
      <w:r>
        <w:rPr>
          <w:rFonts w:hint="default" w:ascii="Times New Roman" w:hAnsi="Times New Roman" w:cs="Times New Roman"/>
          <w:b/>
          <w:bCs/>
          <w:sz w:val="22"/>
          <w:szCs w:val="22"/>
        </w:rPr>
        <w:br w:type="page"/>
      </w:r>
    </w:p>
    <w:p>
      <w:pPr>
        <w:rPr>
          <w:rFonts w:hint="default" w:ascii="Times New Roman" w:hAnsi="Times New Roman" w:cs="Times New Roman"/>
          <w:b/>
          <w:bCs/>
          <w:sz w:val="22"/>
          <w:szCs w:val="22"/>
        </w:rPr>
      </w:pPr>
      <w:r>
        <w:rPr>
          <w:rFonts w:hint="default" w:ascii="Times New Roman" w:hAnsi="Times New Roman" w:cs="Times New Roman"/>
          <w:b/>
          <w:bCs/>
          <w:sz w:val="22"/>
          <w:szCs w:val="22"/>
        </w:rPr>
        <w:t>Table S</w:t>
      </w:r>
      <w:r>
        <w:rPr>
          <w:rFonts w:hint="default" w:ascii="Times New Roman" w:hAnsi="Times New Roman" w:cs="Times New Roman"/>
          <w:b/>
          <w:bCs/>
          <w:sz w:val="22"/>
          <w:szCs w:val="22"/>
          <w:lang w:val="en-US" w:eastAsia="zh-CN"/>
        </w:rPr>
        <w:t>1</w:t>
      </w:r>
      <w:r>
        <w:rPr>
          <w:rFonts w:hint="eastAsia" w:ascii="Times New Roman" w:hAnsi="Times New Roman" w:cs="Times New Roman"/>
          <w:b/>
          <w:bCs/>
          <w:sz w:val="22"/>
          <w:szCs w:val="22"/>
          <w:lang w:val="en-US" w:eastAsia="zh-CN"/>
        </w:rPr>
        <w:t>1</w:t>
      </w:r>
      <w:r>
        <w:rPr>
          <w:rFonts w:hint="default" w:ascii="Times New Roman" w:hAnsi="Times New Roman" w:cs="Times New Roman"/>
          <w:b/>
          <w:bCs/>
          <w:sz w:val="22"/>
          <w:szCs w:val="22"/>
        </w:rPr>
        <w:t xml:space="preserve">. According to whether there is </w:t>
      </w:r>
      <w:r>
        <w:rPr>
          <w:rFonts w:hint="default" w:ascii="Times New Roman" w:hAnsi="Times New Roman" w:cs="Times New Roman"/>
          <w:b/>
          <w:bCs/>
          <w:sz w:val="22"/>
          <w:szCs w:val="22"/>
          <w:lang w:val="en-US" w:eastAsia="zh-CN"/>
        </w:rPr>
        <w:t>l</w:t>
      </w:r>
      <w:r>
        <w:rPr>
          <w:rFonts w:hint="default" w:ascii="Times New Roman" w:hAnsi="Times New Roman" w:cs="Times New Roman"/>
          <w:b/>
          <w:bCs/>
          <w:sz w:val="22"/>
          <w:szCs w:val="22"/>
        </w:rPr>
        <w:t>ung disease, the correlation between CTI and CVD incidence.</w:t>
      </w:r>
    </w:p>
    <w:p>
      <w:pPr>
        <w:rPr>
          <w:rFonts w:hint="eastAsia"/>
        </w:rPr>
      </w:pPr>
    </w:p>
    <w:tbl>
      <w:tblPr>
        <w:tblStyle w:val="2"/>
        <w:tblW w:w="934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93"/>
        <w:gridCol w:w="1253"/>
        <w:gridCol w:w="1136"/>
        <w:gridCol w:w="1216"/>
        <w:gridCol w:w="667"/>
        <w:gridCol w:w="1216"/>
        <w:gridCol w:w="667"/>
        <w:gridCol w:w="1216"/>
        <w:gridCol w:w="66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 w:hRule="atLeast"/>
          <w:jc w:val="center"/>
        </w:trPr>
        <w:tc>
          <w:tcPr>
            <w:tcW w:w="1693" w:type="dxa"/>
            <w:vMerge w:val="restart"/>
            <w:tcBorders>
              <w:top w:val="single" w:color="000000" w:sz="8" w:space="0"/>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Disease</w:t>
            </w:r>
          </w:p>
        </w:tc>
        <w:tc>
          <w:tcPr>
            <w:tcW w:w="1253" w:type="dxa"/>
            <w:vMerge w:val="restart"/>
            <w:tcBorders>
              <w:top w:val="single" w:color="000000" w:sz="8" w:space="0"/>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Characteristic</w:t>
            </w:r>
          </w:p>
        </w:tc>
        <w:tc>
          <w:tcPr>
            <w:tcW w:w="1106" w:type="dxa"/>
            <w:vMerge w:val="restart"/>
            <w:tcBorders>
              <w:top w:val="single" w:color="000000" w:sz="8" w:space="0"/>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Event(%)</w:t>
            </w:r>
          </w:p>
        </w:tc>
        <w:tc>
          <w:tcPr>
            <w:tcW w:w="1799" w:type="dxa"/>
            <w:gridSpan w:val="2"/>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Model 1</w:t>
            </w:r>
          </w:p>
        </w:tc>
        <w:tc>
          <w:tcPr>
            <w:tcW w:w="1799" w:type="dxa"/>
            <w:gridSpan w:val="2"/>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Model 2</w:t>
            </w:r>
          </w:p>
        </w:tc>
        <w:tc>
          <w:tcPr>
            <w:tcW w:w="1706" w:type="dxa"/>
            <w:gridSpan w:val="2"/>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Model 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1693" w:type="dxa"/>
            <w:vMerge w:val="continue"/>
            <w:tcBorders>
              <w:top w:val="single" w:color="000000" w:sz="8" w:space="0"/>
              <w:left w:val="nil"/>
              <w:bottom w:val="single" w:color="000000" w:sz="4" w:space="0"/>
              <w:right w:val="nil"/>
            </w:tcBorders>
            <w:shd w:val="clear" w:color="auto" w:fill="auto"/>
            <w:noWrap/>
            <w:vAlign w:val="center"/>
          </w:tcPr>
          <w:p>
            <w:pPr>
              <w:jc w:val="center"/>
              <w:rPr>
                <w:rFonts w:hint="default" w:ascii="Times New Roman" w:hAnsi="Times New Roman" w:eastAsia="宋体" w:cs="Times New Roman"/>
                <w:b/>
                <w:bCs/>
                <w:i w:val="0"/>
                <w:iCs w:val="0"/>
                <w:color w:val="000000"/>
                <w:sz w:val="16"/>
                <w:szCs w:val="16"/>
                <w:u w:val="none"/>
              </w:rPr>
            </w:pPr>
          </w:p>
        </w:tc>
        <w:tc>
          <w:tcPr>
            <w:tcW w:w="1253" w:type="dxa"/>
            <w:vMerge w:val="continue"/>
            <w:tcBorders>
              <w:top w:val="single" w:color="000000" w:sz="8" w:space="0"/>
              <w:left w:val="nil"/>
              <w:bottom w:val="single" w:color="000000" w:sz="4" w:space="0"/>
              <w:right w:val="nil"/>
            </w:tcBorders>
            <w:shd w:val="clear" w:color="auto" w:fill="auto"/>
            <w:noWrap/>
            <w:vAlign w:val="center"/>
          </w:tcPr>
          <w:p>
            <w:pPr>
              <w:jc w:val="center"/>
              <w:rPr>
                <w:rFonts w:hint="default" w:ascii="Times New Roman" w:hAnsi="Times New Roman" w:eastAsia="宋体" w:cs="Times New Roman"/>
                <w:b/>
                <w:bCs/>
                <w:i w:val="0"/>
                <w:iCs w:val="0"/>
                <w:color w:val="000000"/>
                <w:sz w:val="16"/>
                <w:szCs w:val="16"/>
                <w:u w:val="none"/>
              </w:rPr>
            </w:pPr>
          </w:p>
        </w:tc>
        <w:tc>
          <w:tcPr>
            <w:tcW w:w="1106" w:type="dxa"/>
            <w:vMerge w:val="continue"/>
            <w:tcBorders>
              <w:top w:val="single" w:color="000000" w:sz="8" w:space="0"/>
              <w:left w:val="nil"/>
              <w:bottom w:val="single" w:color="000000" w:sz="4" w:space="0"/>
              <w:right w:val="nil"/>
            </w:tcBorders>
            <w:shd w:val="clear" w:color="auto" w:fill="auto"/>
            <w:noWrap/>
            <w:vAlign w:val="center"/>
          </w:tcPr>
          <w:p>
            <w:pPr>
              <w:jc w:val="center"/>
              <w:rPr>
                <w:rFonts w:hint="default" w:ascii="Times New Roman" w:hAnsi="Times New Roman" w:eastAsia="宋体" w:cs="Times New Roman"/>
                <w:b/>
                <w:bCs/>
                <w:i w:val="0"/>
                <w:iCs w:val="0"/>
                <w:color w:val="000000"/>
                <w:sz w:val="16"/>
                <w:szCs w:val="16"/>
                <w:u w:val="none"/>
              </w:rPr>
            </w:pP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HR(95%CI)</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p</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HR(95%CI)</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p</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HR(95%CI)</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p</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Lung disease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CTI(per 1 unit)</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304(37.72%)</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1.15(0.75-1.76)</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0.519</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1.12(0.73-1.72)</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0.6</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1.15(0.67-1.97)</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0.614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Lung disease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CTI quartile</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Lung disease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51(30.18%)</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Lung disease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Q2</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92(45.10%)</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1.61(1.15-2.27)</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0.006</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1.55(1.10-2.19)</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0.013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1.61(1.12-2.30)</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Lung disease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71(35.68%)</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1.21(0.84-1.73)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1.13(0.79-1.62)</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0.514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1.08(0.74-1.58)</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0.703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Lung disease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90(38.46%)</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1.46(1.03-2.06)</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0.031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1.41(1.00-1.99)</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0.051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1.44(0.97-2.14)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Lung disease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 for trend</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0.187</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0.251</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0.326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Non-Lung disease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CTI(per 1 unit)</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1829(25.13%)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2.09(1.76-2.48)</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1.88(1.58-2.24)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1.51(1.20-1.91)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Non-Lung disease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CTI quartile</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Non-Lung disease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355(19.17%)</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Non-Lung disease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Q2</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424(23.34%)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1.25(1.09-1.44)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0.002</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1.20(1.04-1.38)</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0.011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1.17(1.01-1.35)</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Non-Lung disease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513(28.16%)</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1.55(1.35-1.77)</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1.45(1.27-1.66)</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1.31(1.13-1.52)</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Non-Lung disease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537(30.05%)</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1.73(1.52-1.98)</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1.62(1.41-1.85)</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1.38(1.17-1.62)</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Non-Lung disease</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 for trend</w:t>
            </w:r>
          </w:p>
        </w:tc>
        <w:tc>
          <w:tcPr>
            <w:tcW w:w="0" w:type="auto"/>
            <w:tcBorders>
              <w:top w:val="nil"/>
              <w:left w:val="nil"/>
              <w:bottom w:val="single" w:color="000000" w:sz="8" w:space="0"/>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single" w:color="000000" w:sz="8" w:space="0"/>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single" w:color="000000" w:sz="8" w:space="0"/>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single" w:color="000000" w:sz="8" w:space="0"/>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r>
    </w:tbl>
    <w:p>
      <w:pPr>
        <w:rPr>
          <w:rFonts w:hint="default" w:ascii="Times New Roman" w:hAnsi="Times New Roman" w:cs="Times New Roman"/>
          <w:sz w:val="15"/>
          <w:szCs w:val="15"/>
        </w:rPr>
      </w:pPr>
      <w:r>
        <w:rPr>
          <w:rFonts w:hint="default" w:ascii="Times New Roman" w:hAnsi="Times New Roman" w:cs="Times New Roman"/>
          <w:sz w:val="15"/>
          <w:szCs w:val="15"/>
        </w:rPr>
        <w:t>Model 1: unadjusted for any covariates; Model 2: adjusted for gender, age, residence, marital status, education level, smoking status, and drinking status; Model 3: based on model 2, BMI, WC, SBP, DBP, TC, LDL, HDL, uric acid, hypertension, diabetes, dyslipidemia, liver diseases, kidney diseases, digestive diseases, blood sugar status, and geographical area were adjusted.</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default" w:ascii="Times New Roman" w:hAnsi="Times New Roman" w:cs="Times New Roman"/>
          <w:b/>
          <w:bCs/>
          <w:sz w:val="22"/>
          <w:szCs w:val="22"/>
        </w:rPr>
      </w:pPr>
    </w:p>
    <w:p>
      <w:pPr>
        <w:rPr>
          <w:rFonts w:hint="default" w:ascii="Times New Roman" w:hAnsi="Times New Roman" w:cs="Times New Roman"/>
          <w:b/>
          <w:bCs/>
          <w:sz w:val="22"/>
          <w:szCs w:val="22"/>
        </w:rPr>
      </w:pPr>
      <w:r>
        <w:rPr>
          <w:rFonts w:hint="default" w:ascii="Times New Roman" w:hAnsi="Times New Roman" w:cs="Times New Roman"/>
          <w:b/>
          <w:bCs/>
          <w:sz w:val="22"/>
          <w:szCs w:val="22"/>
        </w:rPr>
        <w:br w:type="page"/>
      </w:r>
    </w:p>
    <w:p>
      <w:pPr>
        <w:rPr>
          <w:rFonts w:hint="default" w:ascii="Times New Roman" w:hAnsi="Times New Roman" w:cs="Times New Roman"/>
          <w:b/>
          <w:bCs/>
          <w:sz w:val="22"/>
          <w:szCs w:val="22"/>
        </w:rPr>
      </w:pPr>
      <w:r>
        <w:rPr>
          <w:rFonts w:hint="default" w:ascii="Times New Roman" w:hAnsi="Times New Roman" w:cs="Times New Roman"/>
          <w:b/>
          <w:bCs/>
          <w:sz w:val="22"/>
          <w:szCs w:val="22"/>
        </w:rPr>
        <w:t>Table S1</w:t>
      </w:r>
      <w:r>
        <w:rPr>
          <w:rFonts w:hint="eastAsia" w:ascii="Times New Roman" w:hAnsi="Times New Roman" w:cs="Times New Roman"/>
          <w:b/>
          <w:bCs/>
          <w:sz w:val="22"/>
          <w:szCs w:val="22"/>
          <w:lang w:val="en-US" w:eastAsia="zh-CN"/>
        </w:rPr>
        <w:t>2</w:t>
      </w:r>
      <w:r>
        <w:rPr>
          <w:rFonts w:hint="default" w:ascii="Times New Roman" w:hAnsi="Times New Roman" w:cs="Times New Roman"/>
          <w:b/>
          <w:bCs/>
          <w:sz w:val="22"/>
          <w:szCs w:val="22"/>
        </w:rPr>
        <w:t xml:space="preserve">. According to whether there is </w:t>
      </w:r>
      <w:r>
        <w:rPr>
          <w:rFonts w:hint="default" w:ascii="Times New Roman" w:hAnsi="Times New Roman" w:cs="Times New Roman"/>
          <w:b/>
          <w:bCs/>
          <w:sz w:val="22"/>
          <w:szCs w:val="22"/>
          <w:lang w:val="en-US" w:eastAsia="zh-CN"/>
        </w:rPr>
        <w:t>d</w:t>
      </w:r>
      <w:r>
        <w:rPr>
          <w:rFonts w:hint="default" w:ascii="Times New Roman" w:hAnsi="Times New Roman" w:cs="Times New Roman"/>
          <w:b/>
          <w:bCs/>
          <w:sz w:val="22"/>
          <w:szCs w:val="22"/>
        </w:rPr>
        <w:t>igestive disease, the correlation between CTI and CVD incidence.</w:t>
      </w:r>
    </w:p>
    <w:p>
      <w:pPr>
        <w:rPr>
          <w:rFonts w:hint="eastAsia"/>
        </w:rPr>
      </w:pPr>
    </w:p>
    <w:tbl>
      <w:tblPr>
        <w:tblStyle w:val="2"/>
        <w:tblW w:w="934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93"/>
        <w:gridCol w:w="1253"/>
        <w:gridCol w:w="1136"/>
        <w:gridCol w:w="1216"/>
        <w:gridCol w:w="667"/>
        <w:gridCol w:w="1216"/>
        <w:gridCol w:w="667"/>
        <w:gridCol w:w="1216"/>
        <w:gridCol w:w="66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8" w:hRule="atLeast"/>
          <w:jc w:val="center"/>
        </w:trPr>
        <w:tc>
          <w:tcPr>
            <w:tcW w:w="1693" w:type="dxa"/>
            <w:vMerge w:val="restart"/>
            <w:tcBorders>
              <w:top w:val="single" w:color="000000" w:sz="8" w:space="0"/>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Disease</w:t>
            </w:r>
          </w:p>
        </w:tc>
        <w:tc>
          <w:tcPr>
            <w:tcW w:w="1253" w:type="dxa"/>
            <w:vMerge w:val="restart"/>
            <w:tcBorders>
              <w:top w:val="single" w:color="000000" w:sz="8" w:space="0"/>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Characteristic</w:t>
            </w:r>
          </w:p>
        </w:tc>
        <w:tc>
          <w:tcPr>
            <w:tcW w:w="1106" w:type="dxa"/>
            <w:vMerge w:val="restart"/>
            <w:tcBorders>
              <w:top w:val="single" w:color="000000" w:sz="8" w:space="0"/>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Event(%)</w:t>
            </w:r>
          </w:p>
        </w:tc>
        <w:tc>
          <w:tcPr>
            <w:tcW w:w="1799" w:type="dxa"/>
            <w:gridSpan w:val="2"/>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Model 1</w:t>
            </w:r>
          </w:p>
        </w:tc>
        <w:tc>
          <w:tcPr>
            <w:tcW w:w="1799" w:type="dxa"/>
            <w:gridSpan w:val="2"/>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Model 2</w:t>
            </w:r>
          </w:p>
        </w:tc>
        <w:tc>
          <w:tcPr>
            <w:tcW w:w="1706" w:type="dxa"/>
            <w:gridSpan w:val="2"/>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Model 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1693" w:type="dxa"/>
            <w:vMerge w:val="continue"/>
            <w:tcBorders>
              <w:top w:val="single" w:color="000000" w:sz="8" w:space="0"/>
              <w:left w:val="nil"/>
              <w:bottom w:val="single" w:color="000000" w:sz="4" w:space="0"/>
              <w:right w:val="nil"/>
            </w:tcBorders>
            <w:shd w:val="clear" w:color="auto" w:fill="auto"/>
            <w:noWrap/>
            <w:vAlign w:val="center"/>
          </w:tcPr>
          <w:p>
            <w:pPr>
              <w:jc w:val="center"/>
              <w:rPr>
                <w:rFonts w:hint="default" w:ascii="Times New Roman" w:hAnsi="Times New Roman" w:eastAsia="宋体" w:cs="Times New Roman"/>
                <w:b/>
                <w:bCs/>
                <w:i w:val="0"/>
                <w:iCs w:val="0"/>
                <w:color w:val="000000"/>
                <w:sz w:val="16"/>
                <w:szCs w:val="16"/>
                <w:u w:val="none"/>
              </w:rPr>
            </w:pPr>
          </w:p>
        </w:tc>
        <w:tc>
          <w:tcPr>
            <w:tcW w:w="1253" w:type="dxa"/>
            <w:vMerge w:val="continue"/>
            <w:tcBorders>
              <w:top w:val="single" w:color="000000" w:sz="8" w:space="0"/>
              <w:left w:val="nil"/>
              <w:bottom w:val="single" w:color="000000" w:sz="4" w:space="0"/>
              <w:right w:val="nil"/>
            </w:tcBorders>
            <w:shd w:val="clear" w:color="auto" w:fill="auto"/>
            <w:noWrap/>
            <w:vAlign w:val="center"/>
          </w:tcPr>
          <w:p>
            <w:pPr>
              <w:jc w:val="center"/>
              <w:rPr>
                <w:rFonts w:hint="default" w:ascii="Times New Roman" w:hAnsi="Times New Roman" w:eastAsia="宋体" w:cs="Times New Roman"/>
                <w:b/>
                <w:bCs/>
                <w:i w:val="0"/>
                <w:iCs w:val="0"/>
                <w:color w:val="000000"/>
                <w:sz w:val="16"/>
                <w:szCs w:val="16"/>
                <w:u w:val="none"/>
              </w:rPr>
            </w:pPr>
          </w:p>
        </w:tc>
        <w:tc>
          <w:tcPr>
            <w:tcW w:w="1106" w:type="dxa"/>
            <w:vMerge w:val="continue"/>
            <w:tcBorders>
              <w:top w:val="single" w:color="000000" w:sz="8" w:space="0"/>
              <w:left w:val="nil"/>
              <w:bottom w:val="single" w:color="000000" w:sz="4" w:space="0"/>
              <w:right w:val="nil"/>
            </w:tcBorders>
            <w:shd w:val="clear" w:color="auto" w:fill="auto"/>
            <w:noWrap/>
            <w:vAlign w:val="center"/>
          </w:tcPr>
          <w:p>
            <w:pPr>
              <w:jc w:val="center"/>
              <w:rPr>
                <w:rFonts w:hint="default" w:ascii="Times New Roman" w:hAnsi="Times New Roman" w:eastAsia="宋体" w:cs="Times New Roman"/>
                <w:b/>
                <w:bCs/>
                <w:i w:val="0"/>
                <w:iCs w:val="0"/>
                <w:color w:val="000000"/>
                <w:sz w:val="16"/>
                <w:szCs w:val="16"/>
                <w:u w:val="none"/>
              </w:rPr>
            </w:pP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HR(95%CI)</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p</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HR(95%CI)</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p</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HR(95%CI)</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p</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Digestive disease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CTI(per 1 unit)</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600(30.41%)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2.19(1.61-2.96)</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1.94(1.42-2.64)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1.44(0.94-2.20)</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0.091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Digestive disease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CTI quartile</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Digestive disease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134(23.14%)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Digestive disease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Q2</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148(29.96%)</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1.35(1.07-1.70)</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0.012</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1.33(1.05-1.68)</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0.018</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1.22(0.96-1.56)</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0.102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Digestive disease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151(32.97%)</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1.53(1.21-1.93)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1.44(1.14-1.82)</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0.002</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1.22(0.94-1.58)</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0.134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Digestive disease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167(37.78%)</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1.88(1.50-2.36)</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1.77(1.41-2.23)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1.45(1.09-1.92)</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Digestive disease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 for trend</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Non-Digestive disease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CTI(per 1 unit)</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1533(25.09%)</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1.98(1.64-2.39)</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1.81(1.49-2.19)</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1.46(1.14-1.88)</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Non-Digestive disease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CTI quartile</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Non-Digestive disease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272(18.86%)</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Non-Digestive disease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Q2</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368(24.10%)</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1.32(1.13-1.54)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1.25(1.07-1.47)</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0.005</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1.23(1.05-1.45)</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Non-Digestive disease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433(27.70%)</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1.54(1.32-1.79)</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1.43(1.23-1.67)</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1.31(1.11-1.54)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Non-Digestive disease</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460(29.13%)</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1.71(1.47-1.98)</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1.59(1.37-1.85)</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1.37(1.15-1.64)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jc w:val="center"/>
        </w:trPr>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Non-Digestive disease</w:t>
            </w: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 for trend</w:t>
            </w:r>
          </w:p>
        </w:tc>
        <w:tc>
          <w:tcPr>
            <w:tcW w:w="0" w:type="auto"/>
            <w:tcBorders>
              <w:top w:val="nil"/>
              <w:left w:val="nil"/>
              <w:bottom w:val="single" w:color="000000" w:sz="8" w:space="0"/>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single" w:color="000000" w:sz="8" w:space="0"/>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single" w:color="000000" w:sz="8" w:space="0"/>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single" w:color="000000" w:sz="8" w:space="0"/>
              <w:right w:val="nil"/>
            </w:tcBorders>
            <w:shd w:val="clear" w:color="auto" w:fill="auto"/>
            <w:noWrap/>
            <w:vAlign w:val="center"/>
          </w:tcPr>
          <w:p>
            <w:pPr>
              <w:jc w:val="center"/>
              <w:rPr>
                <w:rFonts w:hint="default" w:ascii="Times New Roman" w:hAnsi="Times New Roman" w:eastAsia="宋体" w:cs="Times New Roman"/>
                <w:i w:val="0"/>
                <w:iCs w:val="0"/>
                <w:color w:val="000000"/>
                <w:sz w:val="16"/>
                <w:szCs w:val="16"/>
                <w:u w:val="none"/>
              </w:rPr>
            </w:pPr>
          </w:p>
        </w:tc>
        <w:tc>
          <w:tcPr>
            <w:tcW w:w="0" w:type="auto"/>
            <w:tcBorders>
              <w:top w:val="nil"/>
              <w:left w:val="nil"/>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r>
    </w:tbl>
    <w:p>
      <w:pPr>
        <w:rPr>
          <w:rFonts w:hint="default" w:ascii="Times New Roman" w:hAnsi="Times New Roman" w:cs="Times New Roman"/>
          <w:sz w:val="15"/>
          <w:szCs w:val="15"/>
        </w:rPr>
      </w:pPr>
      <w:r>
        <w:rPr>
          <w:rFonts w:hint="default" w:ascii="Times New Roman" w:hAnsi="Times New Roman" w:cs="Times New Roman"/>
          <w:sz w:val="15"/>
          <w:szCs w:val="15"/>
        </w:rPr>
        <w:t>Model 1: unadjusted for any covariates; Model 2: adjusted for gender, age, residence, marital status, education level, smoking status, and drinking status; Model 3: based on model 2, BMI, WC, SBP, DBP, TC, LDL, HDL, uric acid, hypertension, diabetes, dyslipidemia, liver diseases, kidney diseases, lung diseases, blood sugar status, and geographical area were adjusted.</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default" w:ascii="Times New Roman" w:hAnsi="Times New Roman" w:cs="Times New Roman"/>
          <w:b/>
          <w:bCs/>
          <w:sz w:val="22"/>
          <w:szCs w:val="22"/>
        </w:rPr>
      </w:pPr>
    </w:p>
    <w:p>
      <w:pPr>
        <w:rPr>
          <w:rFonts w:hint="default" w:ascii="Times New Roman" w:hAnsi="Times New Roman" w:cs="Times New Roman"/>
          <w:b/>
          <w:bCs/>
          <w:sz w:val="22"/>
          <w:szCs w:val="22"/>
        </w:rPr>
      </w:pPr>
      <w:r>
        <w:rPr>
          <w:rFonts w:hint="default" w:ascii="Times New Roman" w:hAnsi="Times New Roman" w:cs="Times New Roman"/>
          <w:b/>
          <w:bCs/>
          <w:sz w:val="22"/>
          <w:szCs w:val="22"/>
        </w:rPr>
        <w:br w:type="page"/>
      </w:r>
    </w:p>
    <w:p>
      <w:pPr>
        <w:rPr>
          <w:rFonts w:hint="default" w:ascii="Times New Roman" w:hAnsi="Times New Roman" w:cs="Times New Roman"/>
          <w:b/>
          <w:bCs/>
          <w:sz w:val="22"/>
          <w:szCs w:val="22"/>
        </w:rPr>
      </w:pPr>
      <w:r>
        <w:rPr>
          <w:rFonts w:hint="default" w:ascii="Times New Roman" w:hAnsi="Times New Roman" w:cs="Times New Roman"/>
          <w:b/>
          <w:bCs/>
          <w:sz w:val="22"/>
          <w:szCs w:val="22"/>
        </w:rPr>
        <w:t>Table S1</w:t>
      </w:r>
      <w:r>
        <w:rPr>
          <w:rFonts w:hint="eastAsia" w:ascii="Times New Roman" w:hAnsi="Times New Roman" w:cs="Times New Roman"/>
          <w:b/>
          <w:bCs/>
          <w:sz w:val="22"/>
          <w:szCs w:val="22"/>
          <w:lang w:val="en-US" w:eastAsia="zh-CN"/>
        </w:rPr>
        <w:t>3</w:t>
      </w:r>
      <w:r>
        <w:rPr>
          <w:rFonts w:hint="default" w:ascii="Times New Roman" w:hAnsi="Times New Roman" w:cs="Times New Roman"/>
          <w:b/>
          <w:bCs/>
          <w:sz w:val="22"/>
          <w:szCs w:val="22"/>
        </w:rPr>
        <w:t>. According to blood sugar status, gender, the correlation between CTI and CVD incidence.</w:t>
      </w:r>
    </w:p>
    <w:tbl>
      <w:tblPr>
        <w:tblStyle w:val="2"/>
        <w:tblW w:w="1095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01"/>
        <w:gridCol w:w="795"/>
        <w:gridCol w:w="1275"/>
        <w:gridCol w:w="1056"/>
        <w:gridCol w:w="1337"/>
        <w:gridCol w:w="733"/>
        <w:gridCol w:w="1337"/>
        <w:gridCol w:w="733"/>
        <w:gridCol w:w="1337"/>
        <w:gridCol w:w="7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1635" w:type="dxa"/>
            <w:vMerge w:val="restart"/>
            <w:tcBorders>
              <w:top w:val="single" w:color="auto" w:sz="4" w:space="0"/>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Blood glucose status</w:t>
            </w:r>
          </w:p>
        </w:tc>
        <w:tc>
          <w:tcPr>
            <w:tcW w:w="795" w:type="dxa"/>
            <w:vMerge w:val="restart"/>
            <w:tcBorders>
              <w:top w:val="single" w:color="auto" w:sz="4" w:space="0"/>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Gender</w:t>
            </w:r>
          </w:p>
        </w:tc>
        <w:tc>
          <w:tcPr>
            <w:tcW w:w="1275" w:type="dxa"/>
            <w:vMerge w:val="restart"/>
            <w:tcBorders>
              <w:top w:val="single" w:color="auto" w:sz="4" w:space="0"/>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Characteristic</w:t>
            </w:r>
          </w:p>
        </w:tc>
        <w:tc>
          <w:tcPr>
            <w:tcW w:w="1035" w:type="dxa"/>
            <w:vMerge w:val="restart"/>
            <w:tcBorders>
              <w:top w:val="single" w:color="auto" w:sz="4" w:space="0"/>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Event(%)</w:t>
            </w:r>
          </w:p>
        </w:tc>
        <w:tc>
          <w:tcPr>
            <w:tcW w:w="2070" w:type="dxa"/>
            <w:gridSpan w:val="2"/>
            <w:tcBorders>
              <w:top w:val="single" w:color="auto" w:sz="4"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Model 1</w:t>
            </w:r>
          </w:p>
        </w:tc>
        <w:tc>
          <w:tcPr>
            <w:tcW w:w="2070" w:type="dxa"/>
            <w:gridSpan w:val="2"/>
            <w:tcBorders>
              <w:top w:val="single" w:color="auto" w:sz="4"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Model 2</w:t>
            </w:r>
          </w:p>
        </w:tc>
        <w:tc>
          <w:tcPr>
            <w:tcW w:w="2070" w:type="dxa"/>
            <w:gridSpan w:val="2"/>
            <w:tcBorders>
              <w:top w:val="single" w:color="auto" w:sz="4"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Model 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1635" w:type="dxa"/>
            <w:vMerge w:val="continue"/>
            <w:tcBorders>
              <w:top w:val="single" w:color="000000" w:sz="8" w:space="0"/>
              <w:left w:val="nil"/>
              <w:bottom w:val="single" w:color="000000" w:sz="4" w:space="0"/>
              <w:right w:val="nil"/>
            </w:tcBorders>
            <w:shd w:val="clear" w:color="auto" w:fill="auto"/>
            <w:noWrap/>
            <w:vAlign w:val="center"/>
          </w:tcPr>
          <w:p>
            <w:pPr>
              <w:jc w:val="center"/>
              <w:rPr>
                <w:rFonts w:hint="default" w:ascii="Times New Roman" w:hAnsi="Times New Roman" w:eastAsia="宋体" w:cs="Times New Roman"/>
                <w:b/>
                <w:bCs/>
                <w:i w:val="0"/>
                <w:iCs w:val="0"/>
                <w:color w:val="000000"/>
                <w:sz w:val="16"/>
                <w:szCs w:val="16"/>
                <w:u w:val="none"/>
              </w:rPr>
            </w:pPr>
          </w:p>
        </w:tc>
        <w:tc>
          <w:tcPr>
            <w:tcW w:w="795" w:type="dxa"/>
            <w:vMerge w:val="continue"/>
            <w:tcBorders>
              <w:top w:val="single" w:color="000000" w:sz="12" w:space="0"/>
              <w:left w:val="nil"/>
              <w:bottom w:val="single" w:color="000000" w:sz="4" w:space="0"/>
              <w:right w:val="nil"/>
            </w:tcBorders>
            <w:shd w:val="clear" w:color="auto" w:fill="auto"/>
            <w:noWrap/>
            <w:vAlign w:val="center"/>
          </w:tcPr>
          <w:p>
            <w:pPr>
              <w:jc w:val="center"/>
              <w:rPr>
                <w:rFonts w:hint="default" w:ascii="Times New Roman" w:hAnsi="Times New Roman" w:eastAsia="宋体" w:cs="Times New Roman"/>
                <w:b/>
                <w:bCs/>
                <w:i w:val="0"/>
                <w:iCs w:val="0"/>
                <w:color w:val="000000"/>
                <w:sz w:val="16"/>
                <w:szCs w:val="16"/>
                <w:u w:val="none"/>
              </w:rPr>
            </w:pPr>
          </w:p>
        </w:tc>
        <w:tc>
          <w:tcPr>
            <w:tcW w:w="1275" w:type="dxa"/>
            <w:vMerge w:val="continue"/>
            <w:tcBorders>
              <w:top w:val="single" w:color="000000" w:sz="12" w:space="0"/>
              <w:left w:val="nil"/>
              <w:bottom w:val="single" w:color="000000" w:sz="4" w:space="0"/>
              <w:right w:val="nil"/>
            </w:tcBorders>
            <w:shd w:val="clear" w:color="auto" w:fill="auto"/>
            <w:noWrap/>
            <w:vAlign w:val="center"/>
          </w:tcPr>
          <w:p>
            <w:pPr>
              <w:jc w:val="left"/>
              <w:rPr>
                <w:rFonts w:hint="default" w:ascii="Times New Roman" w:hAnsi="Times New Roman" w:eastAsia="宋体" w:cs="Times New Roman"/>
                <w:b/>
                <w:bCs/>
                <w:i w:val="0"/>
                <w:iCs w:val="0"/>
                <w:color w:val="000000"/>
                <w:sz w:val="16"/>
                <w:szCs w:val="16"/>
                <w:u w:val="none"/>
              </w:rPr>
            </w:pPr>
          </w:p>
        </w:tc>
        <w:tc>
          <w:tcPr>
            <w:tcW w:w="1035" w:type="dxa"/>
            <w:vMerge w:val="continue"/>
            <w:tcBorders>
              <w:top w:val="single" w:color="000000" w:sz="12" w:space="0"/>
              <w:left w:val="nil"/>
              <w:bottom w:val="single" w:color="000000" w:sz="4" w:space="0"/>
              <w:right w:val="nil"/>
            </w:tcBorders>
            <w:shd w:val="clear" w:color="auto" w:fill="auto"/>
            <w:noWrap/>
            <w:vAlign w:val="center"/>
          </w:tcPr>
          <w:p>
            <w:pPr>
              <w:jc w:val="center"/>
              <w:rPr>
                <w:rFonts w:hint="default" w:ascii="Times New Roman" w:hAnsi="Times New Roman" w:eastAsia="宋体" w:cs="Times New Roman"/>
                <w:b/>
                <w:bCs/>
                <w:i w:val="0"/>
                <w:iCs w:val="0"/>
                <w:color w:val="000000"/>
                <w:sz w:val="16"/>
                <w:szCs w:val="16"/>
                <w:u w:val="none"/>
              </w:rPr>
            </w:pP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HR(95%CI)</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p</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HR(95%CI)</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p</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HR(95%CI)</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p</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Hyperglycemia</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Male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CTI(per 1 unit)</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568(25.30%)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1.94(1.43-2.61)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2.06(1.51-2.80)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1.60(1.08-2.38)</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Hyperglycemia</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Male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CTI quartile</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Hyperglycemia</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Male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74(17.33%)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Hyperglycemia</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Male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Q2</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127(25.15%)</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1.48(1.11-1.97)</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0.008</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1.43(1.07-1.90)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0.016</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1.52(1.13-2.03)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Hyperglycemia</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Male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154(26.19%)</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1.62(1.23-2.13)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1.55(1.17-2.04)</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0.002</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1.44(1.08-1.93)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Hyperglycemia</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Male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Q4</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213(29.38%)</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1.92(1.47-2.50)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1.92(1.47-2.51)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1.65(1.22-2.24)</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Hyperglycemia</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Male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 for trend</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Hyperglycemia</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Female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CTI(per 1 unit)</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759(30.17%)</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1.67(1.28-2.17)</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1.49(1.14-1.95)</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0.004</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1.19(0.83-1.69)</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0.346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Hyperglycemia</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Female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CTI quartile</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Hyperglycemia</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Female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91(22.09%)</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Hyperglycemia</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Female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Q2</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158(27.77%)</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1.30(1.00-1.68)</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0.049</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1.23(0.95-1.60)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0.114</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1.16(0.89-1.51)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0.265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Hyperglycemia</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Female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235(34.11%)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1.59(1.25-2.03)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1.50(1.17-1.91)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1.38(1.06-1.79)</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Hyperglycemia</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Female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Q4</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275(32.51%)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1.58(1.25-2.01)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1.44(1.13-1.82)</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1.26(0.95-1.67)</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0.107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Hyperglycemia</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Female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 for trend</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0.005</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0.187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Normal Blood Glucose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Male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CTI(per 1 unit)</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371(23.83%)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1.89(1.19-2.99)</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0.007</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1.78(1.12-2.83)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0.015</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1.41(0.81-2.45)</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0.219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Normal Blood Glucose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Male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CTI quartile</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Normal Blood Glucose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Male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110(20.48%)</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Normal Blood Glucose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Male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Q2</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113(24.51%)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1.27(0.97-1.65)</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0.078</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1.24(0.95-1.62)</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0.109</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1.20(0.91-1.58)</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0.189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Normal Blood Glucose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Male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87(26.05%)</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1.35(1.02-1.79)</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0.037</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1.31(0.98-1.73)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0.064</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1.14(0.84-1.55)</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0.414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Normal Blood Glucose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Male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Q4</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61(27.11%)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1.50(1.10-2.05)</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0.011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1.46(1.06-2.00)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0.019</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1.35(0.94-1.93)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Normal Blood Glucose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Male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 for trend</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0.006</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0.013</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0.129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Normal Blood Glucose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Female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CTI(per 1 unit)</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435(24.63%)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2.59(1.70-3.94)</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2.15(1.40-3.31)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2.19(1.32-3.63)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Normal Blood Glucose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Female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CTI quartile</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Normal Blood Glucose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Female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131(20.31%)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Normal Blood Glucose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Female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Q2</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118(24.28%)</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1.23(0.96-1.58)</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0.102</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1.15(0.90-1.48)</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0.272</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1.18(0.91-1.53)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0.221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Normal Blood Glucose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Female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108(26.34%)</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1.35(1.05-1.74)</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0.021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1.23(0.95-1.59)</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0.117</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1.28(0.96-1.70)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Normal Blood Glucose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Female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Q4</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78(34.67%)</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1.95(1.47-2.58)</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1.75(1.32-2.33)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1.79(1.29-2.48)</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0" w:type="auto"/>
            <w:tcBorders>
              <w:top w:val="nil"/>
              <w:left w:val="nil"/>
              <w:bottom w:val="single" w:color="000000" w:sz="8" w:space="0"/>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Normal Blood Glucose</w:t>
            </w:r>
          </w:p>
        </w:tc>
        <w:tc>
          <w:tcPr>
            <w:tcW w:w="0" w:type="auto"/>
            <w:tcBorders>
              <w:top w:val="nil"/>
              <w:left w:val="nil"/>
              <w:bottom w:val="single" w:color="000000" w:sz="8" w:space="0"/>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Female</w:t>
            </w:r>
          </w:p>
        </w:tc>
        <w:tc>
          <w:tcPr>
            <w:tcW w:w="0" w:type="auto"/>
            <w:tcBorders>
              <w:top w:val="nil"/>
              <w:left w:val="nil"/>
              <w:bottom w:val="single" w:color="000000" w:sz="8" w:space="0"/>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 for trend</w:t>
            </w:r>
          </w:p>
        </w:tc>
        <w:tc>
          <w:tcPr>
            <w:tcW w:w="0" w:type="auto"/>
            <w:tcBorders>
              <w:top w:val="nil"/>
              <w:left w:val="nil"/>
              <w:bottom w:val="single" w:color="000000" w:sz="8" w:space="0"/>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single" w:color="000000" w:sz="8" w:space="0"/>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single" w:color="000000" w:sz="8" w:space="0"/>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single" w:color="000000" w:sz="8" w:space="0"/>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single" w:color="000000" w:sz="8" w:space="0"/>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single" w:color="000000" w:sz="8" w:space="0"/>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single" w:color="000000" w:sz="8" w:space="0"/>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r>
    </w:tbl>
    <w:p>
      <w:pPr>
        <w:rPr>
          <w:rFonts w:hint="default" w:ascii="Times New Roman" w:hAnsi="Times New Roman" w:cs="Times New Roman"/>
          <w:sz w:val="15"/>
          <w:szCs w:val="15"/>
        </w:rPr>
      </w:pPr>
      <w:r>
        <w:rPr>
          <w:rFonts w:hint="default" w:ascii="Times New Roman" w:hAnsi="Times New Roman" w:cs="Times New Roman"/>
          <w:sz w:val="15"/>
          <w:szCs w:val="15"/>
        </w:rPr>
        <w:t>Model 1: unadjusted for any covariates; Model 2: adjusted for age, residence, marital status, education level, smoking status, and drinking status; Model 3: based on model 2, BMI, WC, SBP, DBP, TC, LDL, HDL, uric acid, hypertension, diabetes, dyslipidemia, liver diseases, kidney diseases, lung diseases, digestive diseases, hypertension drugs, diabetes drugs, dyslipidemia drugs, and geographical area were adjusted.</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default" w:ascii="Times New Roman" w:hAnsi="Times New Roman" w:cs="Times New Roman"/>
          <w:b/>
          <w:bCs/>
          <w:sz w:val="22"/>
          <w:szCs w:val="22"/>
        </w:rPr>
      </w:pPr>
    </w:p>
    <w:p>
      <w:pPr>
        <w:rPr>
          <w:rFonts w:hint="default" w:ascii="Times New Roman" w:hAnsi="Times New Roman" w:cs="Times New Roman"/>
          <w:b/>
          <w:bCs/>
          <w:sz w:val="22"/>
          <w:szCs w:val="22"/>
        </w:rPr>
      </w:pPr>
      <w:r>
        <w:rPr>
          <w:rFonts w:hint="default" w:ascii="Times New Roman" w:hAnsi="Times New Roman" w:cs="Times New Roman"/>
          <w:b/>
          <w:bCs/>
          <w:sz w:val="22"/>
          <w:szCs w:val="22"/>
        </w:rPr>
        <w:t>Table S1</w:t>
      </w:r>
      <w:r>
        <w:rPr>
          <w:rFonts w:hint="eastAsia" w:ascii="Times New Roman" w:hAnsi="Times New Roman" w:cs="Times New Roman"/>
          <w:b/>
          <w:bCs/>
          <w:sz w:val="22"/>
          <w:szCs w:val="22"/>
          <w:lang w:val="en-US" w:eastAsia="zh-CN"/>
        </w:rPr>
        <w:t>4</w:t>
      </w:r>
      <w:r>
        <w:rPr>
          <w:rFonts w:hint="default" w:ascii="Times New Roman" w:hAnsi="Times New Roman" w:cs="Times New Roman"/>
          <w:b/>
          <w:bCs/>
          <w:sz w:val="22"/>
          <w:szCs w:val="22"/>
        </w:rPr>
        <w:t xml:space="preserve">. According to blood sugar status, </w:t>
      </w:r>
      <w:r>
        <w:rPr>
          <w:rFonts w:hint="default" w:ascii="Times New Roman" w:hAnsi="Times New Roman" w:cs="Times New Roman"/>
          <w:b/>
          <w:bCs/>
          <w:sz w:val="22"/>
          <w:szCs w:val="22"/>
          <w:lang w:val="en-US" w:eastAsia="zh-CN"/>
        </w:rPr>
        <w:t>age</w:t>
      </w:r>
      <w:r>
        <w:rPr>
          <w:rFonts w:hint="default" w:ascii="Times New Roman" w:hAnsi="Times New Roman" w:cs="Times New Roman"/>
          <w:b/>
          <w:bCs/>
          <w:sz w:val="22"/>
          <w:szCs w:val="22"/>
        </w:rPr>
        <w:t>, the correlation between CTI and CVD incidence.</w:t>
      </w:r>
    </w:p>
    <w:p>
      <w:pPr>
        <w:rPr>
          <w:rFonts w:hint="eastAsia"/>
        </w:rPr>
      </w:pPr>
    </w:p>
    <w:tbl>
      <w:tblPr>
        <w:tblStyle w:val="2"/>
        <w:tblW w:w="1020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27"/>
        <w:gridCol w:w="707"/>
        <w:gridCol w:w="1253"/>
        <w:gridCol w:w="1056"/>
        <w:gridCol w:w="1216"/>
        <w:gridCol w:w="667"/>
        <w:gridCol w:w="1216"/>
        <w:gridCol w:w="667"/>
        <w:gridCol w:w="1216"/>
        <w:gridCol w:w="66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1827" w:type="dxa"/>
            <w:vMerge w:val="restart"/>
            <w:tcBorders>
              <w:top w:val="single" w:color="auto" w:sz="4" w:space="0"/>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Blood glucose status</w:t>
            </w:r>
          </w:p>
        </w:tc>
        <w:tc>
          <w:tcPr>
            <w:tcW w:w="707" w:type="dxa"/>
            <w:vMerge w:val="restart"/>
            <w:tcBorders>
              <w:top w:val="single" w:color="auto" w:sz="4" w:space="0"/>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Age</w:t>
            </w:r>
          </w:p>
        </w:tc>
        <w:tc>
          <w:tcPr>
            <w:tcW w:w="1253" w:type="dxa"/>
            <w:vMerge w:val="restart"/>
            <w:tcBorders>
              <w:top w:val="single" w:color="auto" w:sz="4" w:space="0"/>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Characteristic</w:t>
            </w:r>
          </w:p>
        </w:tc>
        <w:tc>
          <w:tcPr>
            <w:tcW w:w="1027" w:type="dxa"/>
            <w:vMerge w:val="restart"/>
            <w:tcBorders>
              <w:top w:val="single" w:color="auto" w:sz="4" w:space="0"/>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Event(%)</w:t>
            </w:r>
          </w:p>
        </w:tc>
        <w:tc>
          <w:tcPr>
            <w:tcW w:w="1800" w:type="dxa"/>
            <w:gridSpan w:val="2"/>
            <w:tcBorders>
              <w:top w:val="single" w:color="auto" w:sz="4"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Model 1</w:t>
            </w:r>
          </w:p>
        </w:tc>
        <w:tc>
          <w:tcPr>
            <w:tcW w:w="1800" w:type="dxa"/>
            <w:gridSpan w:val="2"/>
            <w:tcBorders>
              <w:top w:val="single" w:color="auto" w:sz="4"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Model 2</w:t>
            </w:r>
          </w:p>
        </w:tc>
        <w:tc>
          <w:tcPr>
            <w:tcW w:w="1800" w:type="dxa"/>
            <w:gridSpan w:val="2"/>
            <w:tcBorders>
              <w:top w:val="single" w:color="auto" w:sz="4"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Model 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1827" w:type="dxa"/>
            <w:vMerge w:val="continue"/>
            <w:tcBorders>
              <w:top w:val="single" w:color="000000" w:sz="8" w:space="0"/>
              <w:left w:val="nil"/>
              <w:bottom w:val="single" w:color="000000" w:sz="4" w:space="0"/>
              <w:right w:val="nil"/>
            </w:tcBorders>
            <w:shd w:val="clear" w:color="auto" w:fill="auto"/>
            <w:noWrap/>
            <w:vAlign w:val="center"/>
          </w:tcPr>
          <w:p>
            <w:pPr>
              <w:jc w:val="center"/>
              <w:rPr>
                <w:rFonts w:hint="default" w:ascii="Times New Roman" w:hAnsi="Times New Roman" w:eastAsia="宋体" w:cs="Times New Roman"/>
                <w:b/>
                <w:bCs/>
                <w:i w:val="0"/>
                <w:iCs w:val="0"/>
                <w:color w:val="000000"/>
                <w:sz w:val="16"/>
                <w:szCs w:val="16"/>
                <w:u w:val="none"/>
              </w:rPr>
            </w:pPr>
          </w:p>
        </w:tc>
        <w:tc>
          <w:tcPr>
            <w:tcW w:w="707" w:type="dxa"/>
            <w:vMerge w:val="continue"/>
            <w:tcBorders>
              <w:top w:val="single" w:color="000000" w:sz="12" w:space="0"/>
              <w:left w:val="nil"/>
              <w:bottom w:val="single" w:color="000000" w:sz="4" w:space="0"/>
              <w:right w:val="nil"/>
            </w:tcBorders>
            <w:shd w:val="clear" w:color="auto" w:fill="auto"/>
            <w:noWrap/>
            <w:vAlign w:val="center"/>
          </w:tcPr>
          <w:p>
            <w:pPr>
              <w:jc w:val="center"/>
              <w:rPr>
                <w:rFonts w:hint="default" w:ascii="Times New Roman" w:hAnsi="Times New Roman" w:eastAsia="宋体" w:cs="Times New Roman"/>
                <w:b/>
                <w:bCs/>
                <w:i w:val="0"/>
                <w:iCs w:val="0"/>
                <w:color w:val="000000"/>
                <w:sz w:val="16"/>
                <w:szCs w:val="16"/>
                <w:u w:val="none"/>
              </w:rPr>
            </w:pPr>
          </w:p>
        </w:tc>
        <w:tc>
          <w:tcPr>
            <w:tcW w:w="1253" w:type="dxa"/>
            <w:vMerge w:val="continue"/>
            <w:tcBorders>
              <w:top w:val="single" w:color="000000" w:sz="12" w:space="0"/>
              <w:left w:val="nil"/>
              <w:bottom w:val="single" w:color="000000" w:sz="4" w:space="0"/>
              <w:right w:val="nil"/>
            </w:tcBorders>
            <w:shd w:val="clear" w:color="auto" w:fill="auto"/>
            <w:noWrap/>
            <w:vAlign w:val="center"/>
          </w:tcPr>
          <w:p>
            <w:pPr>
              <w:jc w:val="left"/>
              <w:rPr>
                <w:rFonts w:hint="default" w:ascii="Times New Roman" w:hAnsi="Times New Roman" w:eastAsia="宋体" w:cs="Times New Roman"/>
                <w:b/>
                <w:bCs/>
                <w:i w:val="0"/>
                <w:iCs w:val="0"/>
                <w:color w:val="000000"/>
                <w:sz w:val="16"/>
                <w:szCs w:val="16"/>
                <w:u w:val="none"/>
              </w:rPr>
            </w:pPr>
          </w:p>
        </w:tc>
        <w:tc>
          <w:tcPr>
            <w:tcW w:w="1027" w:type="dxa"/>
            <w:vMerge w:val="continue"/>
            <w:tcBorders>
              <w:top w:val="single" w:color="000000" w:sz="12" w:space="0"/>
              <w:left w:val="nil"/>
              <w:bottom w:val="single" w:color="000000" w:sz="4" w:space="0"/>
              <w:right w:val="nil"/>
            </w:tcBorders>
            <w:shd w:val="clear" w:color="auto" w:fill="auto"/>
            <w:noWrap/>
            <w:vAlign w:val="center"/>
          </w:tcPr>
          <w:p>
            <w:pPr>
              <w:jc w:val="center"/>
              <w:rPr>
                <w:rFonts w:hint="default" w:ascii="Times New Roman" w:hAnsi="Times New Roman" w:eastAsia="宋体" w:cs="Times New Roman"/>
                <w:b/>
                <w:bCs/>
                <w:i w:val="0"/>
                <w:iCs w:val="0"/>
                <w:color w:val="000000"/>
                <w:sz w:val="16"/>
                <w:szCs w:val="16"/>
                <w:u w:val="none"/>
              </w:rPr>
            </w:pP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HR(95%CI)</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p</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HR(95%CI)</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p</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HR(95%CI)</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p</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Hyperglycemia</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45-60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CTI(per 1 unit)</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667(23.75%)</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2.05(1.56-2.69)</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2.06(1.56-2.71)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1.46(1.01-2.12)</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Hyperglycemia</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45-60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CTI quartile</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Hyperglycemia</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45-60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87(16.54%)</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Hyperglycemia</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45-60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Q2</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136(21.76%)</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1.34(1.02-1.75)</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0.034</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1.31(1.00-1.71)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0.051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1.23(0.93-1.61)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0.145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Hyperglycemia</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45-60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191(26.06%)</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1.65(1.28-2.12)</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1.62(1.26-2.09)</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1.42(1.09-1.86)</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Hyperglycemia</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45-60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Q4</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253(27.35%)</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1.79(1.41-2.29)</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1.77(1.39-2.26)</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1.37(1.02-1.82)</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Hyperglycemia</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45-60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 for trend</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Hyperglycemia</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CTI(per 1 unit)</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660(33.81%)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1.56(1.17-2.09)</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0.002</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1.45(1.08-1.95)</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0.012</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1.27(0.87-1.86)</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0.208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Hyperglycemia</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CTI quartile</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Hyperglycemia</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78(24.92%)</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Hyperglycemia</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Q2</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149(33.18%)</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1.37(1.04-1.80)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0.024</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1.34(1.02-1.76)</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0.037</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1.39(1.05-1.85)</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Hyperglycemia</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198(36.40%)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1.54(1.18-2.00)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1.47(1.13-1.91)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0.004</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1.44(1.09-1.90)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Hyperglycemia</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Q4</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235(36.38%)</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1.65(1.28-2.13)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1.55(1.20-2.01)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1.49(1.10-2.00)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Hyperglycemia</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 for trend</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0.002</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Normal Blood Glucose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45-60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CTI(per 1 unit)</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440(20.68%)</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2.68(1.76-4.07)</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2.65(1.74-4.03)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2.14(1.30-3.52)</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Normal Blood Glucose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45-60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CTI quartile</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Normal Blood Glucose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45-60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132(16.10%)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Normal Blood Glucose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45-60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Q2</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133(22.13%)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1.44(1.13-1.83)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1.46(1.15-1.86)</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0.002</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1.36(1.06-1.75)</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Normal Blood Glucose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45-60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98(22.02%)</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1.41(1.08-1.83)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0.010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1.40(1.08-1.83)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0.011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1.21(0.91-1.62)</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0.190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Normal Blood Glucose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45-60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Q4</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77(29.39%)</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2.04(1.54-2.70)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2.03(1.53-2.70)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1.87(1.36-2.58)</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Normal Blood Glucose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45-60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 for trend</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Normal Blood Glucose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CTI(per 1 unit)</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366(30.63%)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1.46(0.91-2.33)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0.113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1.35(0.84-2.17)</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0.217</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1.34(0.77-2.33)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0.299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Normal Blood Glucose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CTI quartile</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Normal Blood Glucose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109(30.11%)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Normal Blood Glucose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Q2</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98(28.32%)</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0.96(0.73-1.26)</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0.753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0.95(0.72-1.24)</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0.691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0.99(0.75-1.32)</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0.948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Normal Blood Glucose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97(32.44%)</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1.13(0.86-1.49)</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0.376</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1.10(0.83-1.44)</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0.515</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1.12(0.82-1.52)</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0.470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Normal Blood Glucose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Q4</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62(32.98%)</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1.24(0.91-1.70)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0.169</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1.18(0.86-1.63)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0.293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1.18(0.83-1.70)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0.361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single" w:color="000000" w:sz="4" w:space="0"/>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Normal Blood Glucose</w:t>
            </w:r>
          </w:p>
        </w:tc>
        <w:tc>
          <w:tcPr>
            <w:tcW w:w="0" w:type="auto"/>
            <w:tcBorders>
              <w:top w:val="nil"/>
              <w:left w:val="nil"/>
              <w:bottom w:val="single" w:color="000000" w:sz="4" w:space="0"/>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≥60</w:t>
            </w:r>
          </w:p>
        </w:tc>
        <w:tc>
          <w:tcPr>
            <w:tcW w:w="0" w:type="auto"/>
            <w:tcBorders>
              <w:top w:val="nil"/>
              <w:left w:val="nil"/>
              <w:bottom w:val="single" w:color="000000" w:sz="4" w:space="0"/>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 for trend</w:t>
            </w:r>
          </w:p>
        </w:tc>
        <w:tc>
          <w:tcPr>
            <w:tcW w:w="0" w:type="auto"/>
            <w:tcBorders>
              <w:top w:val="nil"/>
              <w:left w:val="nil"/>
              <w:bottom w:val="single" w:color="000000" w:sz="4" w:space="0"/>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single" w:color="000000" w:sz="4" w:space="0"/>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single" w:color="000000" w:sz="4" w:space="0"/>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0.117</w:t>
            </w:r>
          </w:p>
        </w:tc>
        <w:tc>
          <w:tcPr>
            <w:tcW w:w="0" w:type="auto"/>
            <w:tcBorders>
              <w:top w:val="nil"/>
              <w:left w:val="nil"/>
              <w:bottom w:val="single" w:color="000000" w:sz="4" w:space="0"/>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single" w:color="000000" w:sz="4" w:space="0"/>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0.225</w:t>
            </w:r>
          </w:p>
        </w:tc>
        <w:tc>
          <w:tcPr>
            <w:tcW w:w="0" w:type="auto"/>
            <w:tcBorders>
              <w:top w:val="nil"/>
              <w:left w:val="nil"/>
              <w:bottom w:val="single" w:color="000000" w:sz="4" w:space="0"/>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single" w:color="000000" w:sz="4" w:space="0"/>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0.307</w:t>
            </w:r>
          </w:p>
        </w:tc>
      </w:tr>
    </w:tbl>
    <w:p>
      <w:pPr>
        <w:rPr>
          <w:rFonts w:hint="default" w:ascii="Times New Roman" w:hAnsi="Times New Roman" w:cs="Times New Roman"/>
          <w:sz w:val="15"/>
          <w:szCs w:val="15"/>
        </w:rPr>
      </w:pPr>
      <w:r>
        <w:rPr>
          <w:rFonts w:hint="default" w:ascii="Times New Roman" w:hAnsi="Times New Roman" w:cs="Times New Roman"/>
          <w:sz w:val="15"/>
          <w:szCs w:val="15"/>
        </w:rPr>
        <w:t>Model 1: unadjusted for any covariates; Model 2: adjusted for gender, residence, marital status, education level, smoking status, and drinking status; Model 3: based on model 2, BMI, WC, SBP, DBP, TC, LDL, HDL, uric acid, hypertension, diabetes, dyslipidemia, liver diseases, kidney diseases, lung diseases, digestive diseases, hypertension drugs, diabetes drugs, dyslipidemia drugs,</w:t>
      </w:r>
      <w:r>
        <w:rPr>
          <w:rFonts w:hint="default" w:ascii="Times New Roman" w:hAnsi="Times New Roman" w:cs="Times New Roman"/>
          <w:sz w:val="15"/>
          <w:szCs w:val="15"/>
          <w:lang w:val="en-US" w:eastAsia="zh-CN"/>
        </w:rPr>
        <w:t xml:space="preserve"> </w:t>
      </w:r>
      <w:r>
        <w:rPr>
          <w:rFonts w:hint="default" w:ascii="Times New Roman" w:hAnsi="Times New Roman" w:cs="Times New Roman"/>
          <w:sz w:val="15"/>
          <w:szCs w:val="15"/>
        </w:rPr>
        <w:t>and geographical area were adjusted.</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b/>
          <w:bCs/>
          <w:sz w:val="22"/>
          <w:szCs w:val="22"/>
        </w:rPr>
      </w:pPr>
      <w:r>
        <w:rPr>
          <w:rFonts w:hint="default" w:ascii="Times New Roman" w:hAnsi="Times New Roman" w:cs="Times New Roman"/>
          <w:b/>
          <w:bCs/>
          <w:sz w:val="22"/>
          <w:szCs w:val="22"/>
        </w:rPr>
        <w:t>Table S1</w:t>
      </w:r>
      <w:r>
        <w:rPr>
          <w:rFonts w:hint="eastAsia" w:ascii="Times New Roman" w:hAnsi="Times New Roman" w:cs="Times New Roman"/>
          <w:b/>
          <w:bCs/>
          <w:sz w:val="22"/>
          <w:szCs w:val="22"/>
          <w:lang w:val="en-US" w:eastAsia="zh-CN"/>
        </w:rPr>
        <w:t>5</w:t>
      </w:r>
      <w:r>
        <w:rPr>
          <w:rFonts w:hint="default" w:ascii="Times New Roman" w:hAnsi="Times New Roman" w:cs="Times New Roman"/>
          <w:b/>
          <w:bCs/>
          <w:sz w:val="22"/>
          <w:szCs w:val="22"/>
        </w:rPr>
        <w:t>. According to blood sugar status, marital status, the correlation between CTI and CVD incidence.</w:t>
      </w:r>
    </w:p>
    <w:tbl>
      <w:tblPr>
        <w:tblStyle w:val="2"/>
        <w:tblW w:w="1068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27"/>
        <w:gridCol w:w="815"/>
        <w:gridCol w:w="1253"/>
        <w:gridCol w:w="1136"/>
        <w:gridCol w:w="1216"/>
        <w:gridCol w:w="667"/>
        <w:gridCol w:w="1216"/>
        <w:gridCol w:w="667"/>
        <w:gridCol w:w="1216"/>
        <w:gridCol w:w="66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1827" w:type="dxa"/>
            <w:vMerge w:val="restart"/>
            <w:tcBorders>
              <w:top w:val="single" w:color="auto" w:sz="4" w:space="0"/>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Blood glucose status</w:t>
            </w:r>
          </w:p>
        </w:tc>
        <w:tc>
          <w:tcPr>
            <w:tcW w:w="1093" w:type="dxa"/>
            <w:vMerge w:val="restart"/>
            <w:tcBorders>
              <w:top w:val="single" w:color="auto" w:sz="4" w:space="0"/>
              <w:left w:val="nil"/>
              <w:bottom w:val="single" w:color="000000" w:sz="4" w:space="0"/>
              <w:right w:val="nil"/>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Marital status</w:t>
            </w:r>
          </w:p>
        </w:tc>
        <w:tc>
          <w:tcPr>
            <w:tcW w:w="1253" w:type="dxa"/>
            <w:vMerge w:val="restart"/>
            <w:tcBorders>
              <w:top w:val="single" w:color="auto" w:sz="4" w:space="0"/>
              <w:left w:val="nil"/>
              <w:bottom w:val="single" w:color="000000" w:sz="4" w:space="0"/>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Characteristic</w:t>
            </w:r>
          </w:p>
        </w:tc>
        <w:tc>
          <w:tcPr>
            <w:tcW w:w="1107" w:type="dxa"/>
            <w:vMerge w:val="restart"/>
            <w:tcBorders>
              <w:top w:val="single" w:color="auto" w:sz="4" w:space="0"/>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Event(%)</w:t>
            </w:r>
          </w:p>
        </w:tc>
        <w:tc>
          <w:tcPr>
            <w:tcW w:w="1800" w:type="dxa"/>
            <w:gridSpan w:val="2"/>
            <w:tcBorders>
              <w:top w:val="single" w:color="auto" w:sz="4"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Model 1</w:t>
            </w:r>
          </w:p>
        </w:tc>
        <w:tc>
          <w:tcPr>
            <w:tcW w:w="1800" w:type="dxa"/>
            <w:gridSpan w:val="2"/>
            <w:tcBorders>
              <w:top w:val="single" w:color="auto" w:sz="4"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Model 2</w:t>
            </w:r>
          </w:p>
        </w:tc>
        <w:tc>
          <w:tcPr>
            <w:tcW w:w="1800" w:type="dxa"/>
            <w:gridSpan w:val="2"/>
            <w:tcBorders>
              <w:top w:val="single" w:color="auto" w:sz="4"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Model 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 w:hRule="atLeast"/>
          <w:jc w:val="center"/>
        </w:trPr>
        <w:tc>
          <w:tcPr>
            <w:tcW w:w="1827" w:type="dxa"/>
            <w:vMerge w:val="continue"/>
            <w:tcBorders>
              <w:top w:val="single" w:color="000000" w:sz="8" w:space="0"/>
              <w:left w:val="nil"/>
              <w:bottom w:val="single" w:color="000000" w:sz="4" w:space="0"/>
              <w:right w:val="nil"/>
            </w:tcBorders>
            <w:shd w:val="clear" w:color="auto" w:fill="auto"/>
            <w:noWrap/>
            <w:vAlign w:val="center"/>
          </w:tcPr>
          <w:p>
            <w:pPr>
              <w:jc w:val="center"/>
              <w:rPr>
                <w:rFonts w:hint="default" w:ascii="Times New Roman" w:hAnsi="Times New Roman" w:eastAsia="宋体" w:cs="Times New Roman"/>
                <w:b/>
                <w:bCs/>
                <w:i w:val="0"/>
                <w:iCs w:val="0"/>
                <w:color w:val="000000"/>
                <w:sz w:val="16"/>
                <w:szCs w:val="16"/>
                <w:u w:val="none"/>
              </w:rPr>
            </w:pPr>
          </w:p>
        </w:tc>
        <w:tc>
          <w:tcPr>
            <w:tcW w:w="1093" w:type="dxa"/>
            <w:vMerge w:val="continue"/>
            <w:tcBorders>
              <w:top w:val="single" w:color="000000" w:sz="8" w:space="0"/>
              <w:left w:val="nil"/>
              <w:bottom w:val="single" w:color="000000" w:sz="4" w:space="0"/>
              <w:right w:val="nil"/>
            </w:tcBorders>
            <w:shd w:val="clear" w:color="auto" w:fill="auto"/>
            <w:vAlign w:val="center"/>
          </w:tcPr>
          <w:p>
            <w:pPr>
              <w:jc w:val="center"/>
              <w:rPr>
                <w:rFonts w:hint="default" w:ascii="Times New Roman" w:hAnsi="Times New Roman" w:eastAsia="宋体" w:cs="Times New Roman"/>
                <w:b/>
                <w:bCs/>
                <w:i w:val="0"/>
                <w:iCs w:val="0"/>
                <w:color w:val="000000"/>
                <w:sz w:val="16"/>
                <w:szCs w:val="16"/>
                <w:u w:val="none"/>
              </w:rPr>
            </w:pPr>
          </w:p>
        </w:tc>
        <w:tc>
          <w:tcPr>
            <w:tcW w:w="1253" w:type="dxa"/>
            <w:vMerge w:val="continue"/>
            <w:tcBorders>
              <w:top w:val="single" w:color="000000" w:sz="12" w:space="0"/>
              <w:left w:val="nil"/>
              <w:bottom w:val="single" w:color="000000" w:sz="4" w:space="0"/>
              <w:right w:val="nil"/>
            </w:tcBorders>
            <w:shd w:val="clear" w:color="auto" w:fill="auto"/>
            <w:noWrap/>
            <w:vAlign w:val="center"/>
          </w:tcPr>
          <w:p>
            <w:pPr>
              <w:jc w:val="left"/>
              <w:rPr>
                <w:rFonts w:hint="default" w:ascii="Times New Roman" w:hAnsi="Times New Roman" w:eastAsia="宋体" w:cs="Times New Roman"/>
                <w:b/>
                <w:bCs/>
                <w:i w:val="0"/>
                <w:iCs w:val="0"/>
                <w:color w:val="000000"/>
                <w:sz w:val="16"/>
                <w:szCs w:val="16"/>
                <w:u w:val="none"/>
              </w:rPr>
            </w:pPr>
          </w:p>
        </w:tc>
        <w:tc>
          <w:tcPr>
            <w:tcW w:w="1107" w:type="dxa"/>
            <w:vMerge w:val="continue"/>
            <w:tcBorders>
              <w:top w:val="single" w:color="000000" w:sz="12" w:space="0"/>
              <w:left w:val="nil"/>
              <w:bottom w:val="single" w:color="000000" w:sz="4" w:space="0"/>
              <w:right w:val="nil"/>
            </w:tcBorders>
            <w:shd w:val="clear" w:color="auto" w:fill="auto"/>
            <w:noWrap/>
            <w:vAlign w:val="center"/>
          </w:tcPr>
          <w:p>
            <w:pPr>
              <w:jc w:val="center"/>
              <w:rPr>
                <w:rFonts w:hint="default" w:ascii="Times New Roman" w:hAnsi="Times New Roman" w:eastAsia="宋体" w:cs="Times New Roman"/>
                <w:b/>
                <w:bCs/>
                <w:i w:val="0"/>
                <w:iCs w:val="0"/>
                <w:color w:val="000000"/>
                <w:sz w:val="16"/>
                <w:szCs w:val="16"/>
                <w:u w:val="none"/>
              </w:rPr>
            </w:pP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HR(95%CI)</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p</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HR(95%CI)</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p</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HR(95%CI)</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p</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Hyperglycemia</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Other</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CTI(per 1 unit)</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165(30.84%)</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1.20(0.67-2.14)</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0.535</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1.18(0.65-2.15)</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0.596</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0.87(0.40-1.88)</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0.721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Hyperglycemia</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Other</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CTI quartile</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Hyperglycemia</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Other</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22(23.40%)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Hyperglycemia</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Other</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Q2</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41(36.28%)</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1.72(1.03-2.89)</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0.040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1.67(0.98-2.82)</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0.058</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1.99(1.13-3.52)</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Hyperglycemia</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Other</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52(34.67%)</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1.69(1.03-2.79)</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0.039</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1.60(0.97-2.66)</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0.068</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1.69(0.96-2.98)</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Hyperglycemia</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Other</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Q4</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50(28.09%)</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1.47(0.89-2.43)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0.132</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1.43(0.86-2.38)</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0.166</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1.41(0.77-2.58)</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0.263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Hyperglycemia</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Other</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 for trend</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0.370</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0.426</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0.827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Hyperglycemia</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Married</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CTI(per 1 unit)</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1162(27.50%)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1.91(1.55-2.36)</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1.79(1.44-2.21)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1.37(1.03-1.81)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Hyperglycemia</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Married</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CTI quartile</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Hyperglycemia</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Married</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143(19.19%)</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Hyperglycemia</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Married</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Q2</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244(25.39%)</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1.34(1.09-1.65)</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0.005</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1.26(1.03-1.55)</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0.027</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1.24(1.00-1.53)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Hyperglycemia</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Married</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337(29.90%)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1.62(1.33-1.97)</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1.50(1.24-1.83)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1.38(1.12-1.69)</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Hyperglycemia</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Married</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Q4</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438(31.44%)</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1.79(1.48-2.16)</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1.66(1.37-2.00)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1.40(1.13-1.75)</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Hyperglycemia</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Married</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 for trend</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Hyperglycemia</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Other</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CTI(per 1 unit)</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165(30.84%)</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1.20(0.67-2.14)</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0.535</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1.18(0.65-2.15)</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0.596</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0.87(0.40-1.88)</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0.721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Hyperglycemia</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Other</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CTI quartile</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Hyperglycemia</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Other</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22(23.40%)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Hyperglycemia</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Other</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Q2</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41(36.28%)</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1.72(1.03-2.89)</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0.040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1.67(0.98-2.82)</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0.058</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1.99(1.13-3.52)</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Hyperglycemia</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Other</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52(34.67%)</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1.69(1.03-2.79)</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0.039</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1.60(0.97-2.66)</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0.068</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1.69(0.96-2.98)</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Hyperglycemia</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Other</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Q4</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50(28.09%)</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1.47(0.89-2.43)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0.132</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1.43(0.86-2.38)</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0.166</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1.41(0.77-2.58)</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0.263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Hyperglycemia</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Other</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 for trend</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0.370</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0.426</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0.827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Normal Blood Glucose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Married</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CTI(per 1 unit)</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708(23.64%)</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2.35(1.68-3.28)</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2.16(1.54-3.04)</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1.86(1.25-2.77)</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Normal Blood Glucose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Married</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CTI quartile</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Normal Blood Glucose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Married</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212(19.70%)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Normal Blood Glucose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Married</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Q2</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205(23.81%)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1.26(1.04-1.53)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0.019</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1.21(0.99-1.46)</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0.057</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1.17(0.95-1.42)</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0.134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Normal Blood Glucose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Married</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172(25.79%)</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1.38(1.13-1.69)</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0.002</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1.29(1.06-1.58)</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0.013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1.18(0.95-1.48)</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0.142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Normal Blood Glucose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Married</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Q4</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119(30.43%)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1.73(1.38-2.17)</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1.67(1.34-2.10)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1.58(1.22-2.04)</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Normal Blood Glucose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Married</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 for trend</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&lt;0.001</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Normal Blood Glucose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Other</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CTI(per 1 unit)</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98(29.88%)</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1.46(0.63-3.38)</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0.382</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1.25(0.51-3.10)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0.628</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1.08(0.37-3.19)</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0.885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Normal Blood Glucose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Other</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CTI quartile</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Normal Blood Glucose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Other</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29(27.36%)</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Ref</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Normal Blood Glucose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Other</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Q2</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26(30.23%)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1.16(0.68-1.98)</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0.576</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1.30(0.75-2.24)</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0.348</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1.34(0.75-2.40)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0.324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Normal Blood Glucose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Other</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23(29.87%)</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1.10(0.63-1.92)</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0.730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1.13(0.63-2.01)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0.683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1.25(0.66-2.36)</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0.501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Normal Blood Glucose</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Other</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Q4</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20(33.90%)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1.53(0.86-2.70)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0.147</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1.39(0.75-2.56)</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0.296</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1.27(0.62-2.59)</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0.510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0" w:type="auto"/>
            <w:tcBorders>
              <w:top w:val="nil"/>
              <w:left w:val="nil"/>
              <w:bottom w:val="single" w:color="000000" w:sz="8" w:space="0"/>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Normal Blood Glucose</w:t>
            </w:r>
          </w:p>
        </w:tc>
        <w:tc>
          <w:tcPr>
            <w:tcW w:w="0" w:type="auto"/>
            <w:tcBorders>
              <w:top w:val="nil"/>
              <w:left w:val="nil"/>
              <w:bottom w:val="single" w:color="000000" w:sz="8" w:space="0"/>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Other</w:t>
            </w:r>
          </w:p>
        </w:tc>
        <w:tc>
          <w:tcPr>
            <w:tcW w:w="0" w:type="auto"/>
            <w:tcBorders>
              <w:top w:val="nil"/>
              <w:left w:val="nil"/>
              <w:bottom w:val="single" w:color="000000" w:sz="8" w:space="0"/>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P for trend</w:t>
            </w:r>
          </w:p>
        </w:tc>
        <w:tc>
          <w:tcPr>
            <w:tcW w:w="0" w:type="auto"/>
            <w:tcBorders>
              <w:top w:val="nil"/>
              <w:left w:val="nil"/>
              <w:bottom w:val="single" w:color="000000" w:sz="8" w:space="0"/>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single" w:color="000000" w:sz="8" w:space="0"/>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single" w:color="000000" w:sz="8" w:space="0"/>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0.187</w:t>
            </w:r>
          </w:p>
        </w:tc>
        <w:tc>
          <w:tcPr>
            <w:tcW w:w="0" w:type="auto"/>
            <w:tcBorders>
              <w:top w:val="nil"/>
              <w:left w:val="nil"/>
              <w:bottom w:val="single" w:color="000000" w:sz="8" w:space="0"/>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single" w:color="000000" w:sz="8" w:space="0"/>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0.360</w:t>
            </w:r>
          </w:p>
        </w:tc>
        <w:tc>
          <w:tcPr>
            <w:tcW w:w="0" w:type="auto"/>
            <w:tcBorders>
              <w:top w:val="nil"/>
              <w:left w:val="nil"/>
              <w:bottom w:val="single" w:color="000000" w:sz="8" w:space="0"/>
              <w:right w:val="nil"/>
            </w:tcBorders>
            <w:shd w:val="clear" w:color="auto" w:fill="auto"/>
            <w:noWrap/>
            <w:vAlign w:val="bottom"/>
          </w:tcPr>
          <w:p>
            <w:pPr>
              <w:rPr>
                <w:rFonts w:hint="default" w:ascii="Times New Roman" w:hAnsi="Times New Roman" w:eastAsia="宋体" w:cs="Times New Roman"/>
                <w:i w:val="0"/>
                <w:iCs w:val="0"/>
                <w:color w:val="000000"/>
                <w:sz w:val="16"/>
                <w:szCs w:val="16"/>
                <w:u w:val="none"/>
              </w:rPr>
            </w:pPr>
          </w:p>
        </w:tc>
        <w:tc>
          <w:tcPr>
            <w:tcW w:w="0" w:type="auto"/>
            <w:tcBorders>
              <w:top w:val="nil"/>
              <w:left w:val="nil"/>
              <w:bottom w:val="single" w:color="000000" w:sz="8" w:space="0"/>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0.525</w:t>
            </w:r>
          </w:p>
        </w:tc>
      </w:tr>
    </w:tbl>
    <w:p>
      <w:pPr>
        <w:rPr>
          <w:rFonts w:hint="default" w:ascii="Times New Roman" w:hAnsi="Times New Roman" w:cs="Times New Roman"/>
          <w:sz w:val="15"/>
          <w:szCs w:val="15"/>
        </w:rPr>
      </w:pPr>
      <w:r>
        <w:rPr>
          <w:rFonts w:hint="default" w:ascii="Times New Roman" w:hAnsi="Times New Roman" w:cs="Times New Roman"/>
          <w:sz w:val="15"/>
          <w:szCs w:val="15"/>
        </w:rPr>
        <w:t>Model 1: unadjusted for any covariates; Model 2: adjusted for gender, age, residence, education level, smoking status, and drinking status; Model 3: based on model 2, BMI, WC, SBP, DBP, TC, LDL, HDL, uric acid, hypertension, diabetes, dyslipidemia, liver diseases, kidney diseases, lung diseases, digestive diseases, hypertension drugs, diabetes drugs, dyslipidemia drugs, and geographical area were adjusted.</w:t>
      </w:r>
    </w:p>
    <w:p>
      <w:pPr>
        <w:rPr>
          <w:rFonts w:hint="eastAsia"/>
        </w:rPr>
      </w:pPr>
    </w:p>
    <w:p>
      <w:pPr>
        <w:rPr>
          <w:rFonts w:hint="default" w:ascii="Times New Roman" w:hAnsi="Times New Roman" w:cs="Times New Roman"/>
          <w:b/>
          <w:bCs/>
          <w:sz w:val="22"/>
          <w:szCs w:val="22"/>
        </w:rPr>
      </w:pPr>
    </w:p>
    <w:p>
      <w:pPr>
        <w:rPr>
          <w:rFonts w:hint="default" w:ascii="Times New Roman" w:hAnsi="Times New Roman" w:cs="Times New Roman" w:eastAsiaTheme="minorEastAsia"/>
          <w:b/>
          <w:bCs/>
          <w:sz w:val="22"/>
          <w:szCs w:val="22"/>
          <w:lang w:val="en-US" w:eastAsia="zh-CN"/>
        </w:rPr>
      </w:pPr>
      <w:r>
        <w:rPr>
          <w:rFonts w:hint="default" w:ascii="Times New Roman" w:hAnsi="Times New Roman" w:cs="Times New Roman"/>
          <w:b/>
          <w:bCs/>
          <w:sz w:val="22"/>
          <w:szCs w:val="22"/>
        </w:rPr>
        <w:t>Table S1</w:t>
      </w:r>
      <w:r>
        <w:rPr>
          <w:rFonts w:hint="eastAsia" w:ascii="Times New Roman" w:hAnsi="Times New Roman" w:cs="Times New Roman"/>
          <w:b/>
          <w:bCs/>
          <w:sz w:val="22"/>
          <w:szCs w:val="22"/>
          <w:lang w:val="en-US" w:eastAsia="zh-CN"/>
        </w:rPr>
        <w:t>6</w:t>
      </w:r>
      <w:r>
        <w:rPr>
          <w:rFonts w:hint="default" w:ascii="Times New Roman" w:hAnsi="Times New Roman" w:cs="Times New Roman"/>
          <w:b/>
          <w:bCs/>
          <w:sz w:val="22"/>
          <w:szCs w:val="22"/>
        </w:rPr>
        <w:t>.</w:t>
      </w:r>
      <w:r>
        <w:rPr>
          <w:rFonts w:hint="default" w:ascii="Times New Roman" w:hAnsi="Times New Roman" w:cs="Times New Roman"/>
          <w:b/>
          <w:bCs/>
          <w:sz w:val="22"/>
          <w:szCs w:val="22"/>
          <w:lang w:val="en-US" w:eastAsia="zh-CN"/>
        </w:rPr>
        <w:t xml:space="preserve"> </w:t>
      </w:r>
      <w:r>
        <w:rPr>
          <w:rFonts w:hint="default" w:ascii="Times New Roman" w:hAnsi="Times New Roman" w:cs="Times New Roman"/>
          <w:b/>
          <w:bCs/>
          <w:sz w:val="22"/>
          <w:szCs w:val="22"/>
        </w:rPr>
        <w:t>After excluding missing values, the relationshipbetween CTI and CVD incidence</w:t>
      </w:r>
      <w:r>
        <w:rPr>
          <w:rFonts w:hint="default" w:ascii="Times New Roman" w:hAnsi="Times New Roman" w:cs="Times New Roman"/>
          <w:b/>
          <w:bCs/>
          <w:sz w:val="22"/>
          <w:szCs w:val="22"/>
          <w:lang w:val="en-US" w:eastAsia="zh-CN"/>
        </w:rPr>
        <w:t>.</w:t>
      </w:r>
    </w:p>
    <w:tbl>
      <w:tblPr>
        <w:tblStyle w:val="2"/>
        <w:tblW w:w="892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27"/>
        <w:gridCol w:w="1187"/>
        <w:gridCol w:w="1369"/>
        <w:gridCol w:w="738"/>
        <w:gridCol w:w="1369"/>
        <w:gridCol w:w="738"/>
        <w:gridCol w:w="1369"/>
        <w:gridCol w:w="73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1427" w:type="dxa"/>
            <w:vMerge w:val="restart"/>
            <w:tcBorders>
              <w:top w:val="single" w:color="000000" w:sz="8" w:space="0"/>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Characteristic</w:t>
            </w:r>
          </w:p>
        </w:tc>
        <w:tc>
          <w:tcPr>
            <w:tcW w:w="1187" w:type="dxa"/>
            <w:vMerge w:val="restart"/>
            <w:tcBorders>
              <w:top w:val="single" w:color="000000" w:sz="8" w:space="0"/>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Event(%)</w:t>
            </w:r>
          </w:p>
        </w:tc>
        <w:tc>
          <w:tcPr>
            <w:tcW w:w="2107" w:type="dxa"/>
            <w:gridSpan w:val="2"/>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Model 1</w:t>
            </w:r>
          </w:p>
        </w:tc>
        <w:tc>
          <w:tcPr>
            <w:tcW w:w="2107" w:type="dxa"/>
            <w:gridSpan w:val="2"/>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Model 2</w:t>
            </w:r>
          </w:p>
        </w:tc>
        <w:tc>
          <w:tcPr>
            <w:tcW w:w="2107" w:type="dxa"/>
            <w:gridSpan w:val="2"/>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Model 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1427" w:type="dxa"/>
            <w:vMerge w:val="continue"/>
            <w:tcBorders>
              <w:top w:val="single" w:color="000000" w:sz="8" w:space="0"/>
              <w:left w:val="nil"/>
              <w:bottom w:val="single" w:color="000000" w:sz="4" w:space="0"/>
              <w:right w:val="nil"/>
            </w:tcBorders>
            <w:shd w:val="clear" w:color="auto" w:fill="auto"/>
            <w:noWrap/>
            <w:vAlign w:val="center"/>
          </w:tcPr>
          <w:p>
            <w:pPr>
              <w:jc w:val="center"/>
              <w:rPr>
                <w:rFonts w:hint="default" w:ascii="Times New Roman" w:hAnsi="Times New Roman" w:eastAsia="宋体" w:cs="Times New Roman"/>
                <w:b/>
                <w:bCs/>
                <w:i w:val="0"/>
                <w:iCs w:val="0"/>
                <w:color w:val="000000"/>
                <w:sz w:val="18"/>
                <w:szCs w:val="18"/>
                <w:u w:val="none"/>
              </w:rPr>
            </w:pPr>
          </w:p>
        </w:tc>
        <w:tc>
          <w:tcPr>
            <w:tcW w:w="1187" w:type="dxa"/>
            <w:vMerge w:val="continue"/>
            <w:tcBorders>
              <w:top w:val="single" w:color="000000" w:sz="8" w:space="0"/>
              <w:left w:val="nil"/>
              <w:bottom w:val="single" w:color="000000" w:sz="4" w:space="0"/>
              <w:right w:val="nil"/>
            </w:tcBorders>
            <w:shd w:val="clear" w:color="auto" w:fill="auto"/>
            <w:noWrap/>
            <w:vAlign w:val="center"/>
          </w:tcPr>
          <w:p>
            <w:pPr>
              <w:jc w:val="center"/>
              <w:rPr>
                <w:rFonts w:hint="default" w:ascii="Times New Roman" w:hAnsi="Times New Roman" w:eastAsia="宋体" w:cs="Times New Roman"/>
                <w:b/>
                <w:bCs/>
                <w:i w:val="0"/>
                <w:iCs w:val="0"/>
                <w:color w:val="000000"/>
                <w:sz w:val="18"/>
                <w:szCs w:val="18"/>
                <w:u w:val="none"/>
              </w:rPr>
            </w:pP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HR(95%CI)</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p</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HR(95%CI)</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p</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HR(95%CI)</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p</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CTI(per 1 unit)</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1774(0.26%)</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2.02(1.70-2.41)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1.82(1.52-2.18)</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1.40(1.10-1.77)</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CTI quartile</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Q1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340(0.20%)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Ref</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Ref</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Ref</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Q2</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428(0.25%)</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1.31(1.14-1.51)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1.24(1.08-1.43)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1.20(1.04-1.39)</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Q3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481(0.28%)</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1.51(1.31-1.73)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1.39(1.21-1.60)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1.25(1.08-1.45)</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Q4</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525(0.31%)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1.74(1.52-1.99)</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1.60(1.39-1.83)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1.36(1.16-1.61)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5" w:hRule="atLeast"/>
          <w:jc w:val="center"/>
        </w:trPr>
        <w:tc>
          <w:tcPr>
            <w:tcW w:w="0" w:type="auto"/>
            <w:tcBorders>
              <w:top w:val="nil"/>
              <w:left w:val="nil"/>
              <w:bottom w:val="single" w:color="000000" w:sz="8" w:space="0"/>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P for trend</w:t>
            </w:r>
          </w:p>
        </w:tc>
        <w:tc>
          <w:tcPr>
            <w:tcW w:w="0" w:type="auto"/>
            <w:tcBorders>
              <w:top w:val="nil"/>
              <w:left w:val="nil"/>
              <w:bottom w:val="single" w:color="000000" w:sz="8" w:space="0"/>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c>
          <w:tcPr>
            <w:tcW w:w="0" w:type="auto"/>
            <w:tcBorders>
              <w:top w:val="nil"/>
              <w:left w:val="nil"/>
              <w:bottom w:val="single" w:color="000000" w:sz="8" w:space="0"/>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c>
          <w:tcPr>
            <w:tcW w:w="0" w:type="auto"/>
            <w:tcBorders>
              <w:top w:val="nil"/>
              <w:left w:val="nil"/>
              <w:bottom w:val="single" w:color="000000" w:sz="8" w:space="0"/>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r>
    </w:tbl>
    <w:p>
      <w:pPr>
        <w:rPr>
          <w:rFonts w:hint="default" w:ascii="Times New Roman" w:hAnsi="Times New Roman" w:cs="Times New Roman"/>
          <w:sz w:val="15"/>
          <w:szCs w:val="15"/>
        </w:rPr>
      </w:pPr>
      <w:r>
        <w:rPr>
          <w:rFonts w:hint="default" w:ascii="Times New Roman" w:hAnsi="Times New Roman" w:cs="Times New Roman"/>
          <w:sz w:val="15"/>
          <w:szCs w:val="15"/>
        </w:rPr>
        <w:t>Model 1: unadjusted for any covariates; Model 2: adjusted for gender, age, residence, marital status, education level, smoking status, and drinking status; Model 3: based on model 2, BMI, WC, SBP, DBP, TC, LDL, HDL, uric acid, hypertension, diabetes, dyslipidemia, liver diseases, kidney diseases, lung diseases, digestive diseases, hypertension drugs, diabetes drugs, dyslipidemia drugs, blood sugar status, and geographical area were adjusted.</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jc w:val="left"/>
        <w:rPr>
          <w:rFonts w:hint="default" w:ascii="Times New Roman" w:hAnsi="Times New Roman" w:cs="Times New Roman"/>
          <w:b/>
          <w:bCs/>
          <w:sz w:val="22"/>
          <w:szCs w:val="22"/>
        </w:rPr>
      </w:pPr>
    </w:p>
    <w:p>
      <w:pPr>
        <w:jc w:val="left"/>
        <w:rPr>
          <w:rFonts w:hint="default" w:ascii="Times New Roman" w:hAnsi="Times New Roman" w:cs="Times New Roman"/>
          <w:b/>
          <w:bCs/>
          <w:sz w:val="22"/>
          <w:szCs w:val="22"/>
        </w:rPr>
      </w:pPr>
    </w:p>
    <w:p>
      <w:pPr>
        <w:jc w:val="left"/>
        <w:rPr>
          <w:rFonts w:hint="default" w:ascii="Times New Roman" w:hAnsi="Times New Roman" w:cs="Times New Roman" w:eastAsiaTheme="minorEastAsia"/>
          <w:b/>
          <w:bCs/>
          <w:sz w:val="22"/>
          <w:szCs w:val="22"/>
          <w:lang w:val="en-US" w:eastAsia="zh-CN"/>
        </w:rPr>
      </w:pPr>
      <w:r>
        <w:rPr>
          <w:rFonts w:hint="default" w:ascii="Times New Roman" w:hAnsi="Times New Roman" w:cs="Times New Roman"/>
          <w:b/>
          <w:bCs/>
          <w:sz w:val="22"/>
          <w:szCs w:val="22"/>
        </w:rPr>
        <w:t>Table S1</w:t>
      </w:r>
      <w:r>
        <w:rPr>
          <w:rFonts w:hint="eastAsia" w:ascii="Times New Roman" w:hAnsi="Times New Roman" w:cs="Times New Roman"/>
          <w:b/>
          <w:bCs/>
          <w:sz w:val="22"/>
          <w:szCs w:val="22"/>
          <w:lang w:val="en-US" w:eastAsia="zh-CN"/>
        </w:rPr>
        <w:t>7</w:t>
      </w:r>
      <w:r>
        <w:rPr>
          <w:rFonts w:hint="default" w:ascii="Times New Roman" w:hAnsi="Times New Roman" w:cs="Times New Roman"/>
          <w:b/>
          <w:bCs/>
          <w:sz w:val="22"/>
          <w:szCs w:val="22"/>
        </w:rPr>
        <w:t>. After excluding the deceased subjects, the relationship between CTI and CVD incidence</w:t>
      </w:r>
      <w:r>
        <w:rPr>
          <w:rFonts w:hint="default" w:ascii="Times New Roman" w:hAnsi="Times New Roman" w:cs="Times New Roman"/>
          <w:b/>
          <w:bCs/>
          <w:sz w:val="22"/>
          <w:szCs w:val="22"/>
          <w:lang w:val="en-US" w:eastAsia="zh-CN"/>
        </w:rPr>
        <w:t>.</w:t>
      </w:r>
    </w:p>
    <w:tbl>
      <w:tblPr>
        <w:tblStyle w:val="2"/>
        <w:tblW w:w="8925"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27"/>
        <w:gridCol w:w="1187"/>
        <w:gridCol w:w="1369"/>
        <w:gridCol w:w="738"/>
        <w:gridCol w:w="1369"/>
        <w:gridCol w:w="738"/>
        <w:gridCol w:w="1369"/>
        <w:gridCol w:w="73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1427" w:type="dxa"/>
            <w:vMerge w:val="restart"/>
            <w:tcBorders>
              <w:top w:val="single" w:color="000000" w:sz="8" w:space="0"/>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Characteristic</w:t>
            </w:r>
          </w:p>
        </w:tc>
        <w:tc>
          <w:tcPr>
            <w:tcW w:w="1187" w:type="dxa"/>
            <w:vMerge w:val="restart"/>
            <w:tcBorders>
              <w:top w:val="single" w:color="000000" w:sz="8" w:space="0"/>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Event(%)</w:t>
            </w:r>
          </w:p>
        </w:tc>
        <w:tc>
          <w:tcPr>
            <w:tcW w:w="2107" w:type="dxa"/>
            <w:gridSpan w:val="2"/>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Model 1</w:t>
            </w:r>
          </w:p>
        </w:tc>
        <w:tc>
          <w:tcPr>
            <w:tcW w:w="2107" w:type="dxa"/>
            <w:gridSpan w:val="2"/>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Model 2</w:t>
            </w:r>
          </w:p>
        </w:tc>
        <w:tc>
          <w:tcPr>
            <w:tcW w:w="2107" w:type="dxa"/>
            <w:gridSpan w:val="2"/>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Model 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1427" w:type="dxa"/>
            <w:vMerge w:val="continue"/>
            <w:tcBorders>
              <w:top w:val="single" w:color="000000" w:sz="8" w:space="0"/>
              <w:left w:val="nil"/>
              <w:bottom w:val="single" w:color="000000" w:sz="4" w:space="0"/>
              <w:right w:val="nil"/>
            </w:tcBorders>
            <w:shd w:val="clear" w:color="auto" w:fill="auto"/>
            <w:noWrap/>
            <w:vAlign w:val="center"/>
          </w:tcPr>
          <w:p>
            <w:pPr>
              <w:jc w:val="center"/>
              <w:rPr>
                <w:rFonts w:hint="default" w:ascii="Times New Roman" w:hAnsi="Times New Roman" w:eastAsia="宋体" w:cs="Times New Roman"/>
                <w:b/>
                <w:bCs/>
                <w:i w:val="0"/>
                <w:iCs w:val="0"/>
                <w:color w:val="000000"/>
                <w:sz w:val="18"/>
                <w:szCs w:val="18"/>
                <w:u w:val="none"/>
              </w:rPr>
            </w:pPr>
          </w:p>
        </w:tc>
        <w:tc>
          <w:tcPr>
            <w:tcW w:w="1187" w:type="dxa"/>
            <w:vMerge w:val="continue"/>
            <w:tcBorders>
              <w:top w:val="single" w:color="000000" w:sz="8" w:space="0"/>
              <w:left w:val="nil"/>
              <w:bottom w:val="single" w:color="000000" w:sz="4" w:space="0"/>
              <w:right w:val="nil"/>
            </w:tcBorders>
            <w:shd w:val="clear" w:color="auto" w:fill="auto"/>
            <w:noWrap/>
            <w:vAlign w:val="center"/>
          </w:tcPr>
          <w:p>
            <w:pPr>
              <w:jc w:val="center"/>
              <w:rPr>
                <w:rFonts w:hint="default" w:ascii="Times New Roman" w:hAnsi="Times New Roman" w:eastAsia="宋体" w:cs="Times New Roman"/>
                <w:b/>
                <w:bCs/>
                <w:i w:val="0"/>
                <w:iCs w:val="0"/>
                <w:color w:val="000000"/>
                <w:sz w:val="18"/>
                <w:szCs w:val="18"/>
                <w:u w:val="none"/>
              </w:rPr>
            </w:pP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HR(95%CI)</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p</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HR(95%CI)</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p</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HR(95%CI)</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p</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CTI(per 1 unit)</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2133(0.27%)</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1.97(1.68-2.31)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1.78(1.52-2.10)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1.47(1.18-1.81)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CTI quartile</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Q1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406(0.20%)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Ref</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Ref</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Ref</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Q2</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516(0.26%)</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1.32(1.15-1.50)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1.26(1.10-1.43)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1.23(1.08-1.41)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Q3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584(0.29%)</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1.52(1.34-1.72)</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1.41(1.24-1.60)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1.29(1.13-1.48)</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Q4</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627(0.32%)</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1.72(1.52-1.95)</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1.59(1.40-1.80)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1.41(1.21-1.64)</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0" w:type="auto"/>
            <w:tcBorders>
              <w:top w:val="nil"/>
              <w:left w:val="nil"/>
              <w:bottom w:val="single" w:color="000000" w:sz="8" w:space="0"/>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P for trend</w:t>
            </w:r>
          </w:p>
        </w:tc>
        <w:tc>
          <w:tcPr>
            <w:tcW w:w="0" w:type="auto"/>
            <w:tcBorders>
              <w:top w:val="nil"/>
              <w:left w:val="nil"/>
              <w:bottom w:val="single" w:color="000000" w:sz="8" w:space="0"/>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c>
          <w:tcPr>
            <w:tcW w:w="0" w:type="auto"/>
            <w:tcBorders>
              <w:top w:val="nil"/>
              <w:left w:val="nil"/>
              <w:bottom w:val="single" w:color="000000" w:sz="8" w:space="0"/>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c>
          <w:tcPr>
            <w:tcW w:w="0" w:type="auto"/>
            <w:tcBorders>
              <w:top w:val="nil"/>
              <w:left w:val="nil"/>
              <w:bottom w:val="single" w:color="000000" w:sz="8" w:space="0"/>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r>
    </w:tbl>
    <w:p>
      <w:pPr>
        <w:rPr>
          <w:rFonts w:hint="default" w:ascii="Times New Roman" w:hAnsi="Times New Roman" w:cs="Times New Roman"/>
          <w:sz w:val="15"/>
          <w:szCs w:val="15"/>
        </w:rPr>
      </w:pPr>
      <w:r>
        <w:rPr>
          <w:rFonts w:hint="default" w:ascii="Times New Roman" w:hAnsi="Times New Roman" w:cs="Times New Roman"/>
          <w:sz w:val="15"/>
          <w:szCs w:val="15"/>
        </w:rPr>
        <w:t>Model 1: unadjusted for any covariates; Model 2: adjusted for gender, age, residence, marital status, education level, smoking status, and drinking status; Model 3: based on model 2, BMI, WC, SBP, DBP, TC, LDL, HDL, uric acid, hypertension, diabetes, dyslipidemia, liver diseases, kidney diseases, lung diseases, digestive diseases, hypertension drugs, diabetes drugs, dyslipidemia drugs, blood sugar status, and geographical area were adjusted.</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default" w:ascii="Times New Roman" w:hAnsi="Times New Roman" w:cs="Times New Roman"/>
          <w:b/>
          <w:bCs/>
          <w:sz w:val="22"/>
          <w:szCs w:val="22"/>
        </w:rPr>
      </w:pPr>
      <w:r>
        <w:rPr>
          <w:rFonts w:hint="default" w:ascii="Times New Roman" w:hAnsi="Times New Roman" w:cs="Times New Roman"/>
          <w:b/>
          <w:bCs/>
          <w:sz w:val="22"/>
          <w:szCs w:val="22"/>
        </w:rPr>
        <w:t>Table S1</w:t>
      </w:r>
      <w:r>
        <w:rPr>
          <w:rFonts w:hint="eastAsia" w:ascii="Times New Roman" w:hAnsi="Times New Roman" w:cs="Times New Roman"/>
          <w:b/>
          <w:bCs/>
          <w:sz w:val="22"/>
          <w:szCs w:val="22"/>
          <w:lang w:val="en-US" w:eastAsia="zh-CN"/>
        </w:rPr>
        <w:t>8</w:t>
      </w:r>
      <w:r>
        <w:rPr>
          <w:rFonts w:hint="default" w:ascii="Times New Roman" w:hAnsi="Times New Roman" w:cs="Times New Roman"/>
          <w:b/>
          <w:bCs/>
          <w:sz w:val="22"/>
          <w:szCs w:val="22"/>
        </w:rPr>
        <w:t>. Logistic regression model was used to analyze the relationship between CTI and CVD incidence.</w:t>
      </w:r>
    </w:p>
    <w:tbl>
      <w:tblPr>
        <w:tblStyle w:val="2"/>
        <w:tblW w:w="882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27"/>
        <w:gridCol w:w="1187"/>
        <w:gridCol w:w="1369"/>
        <w:gridCol w:w="738"/>
        <w:gridCol w:w="1369"/>
        <w:gridCol w:w="738"/>
        <w:gridCol w:w="1367"/>
        <w:gridCol w:w="6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1427" w:type="dxa"/>
            <w:vMerge w:val="restart"/>
            <w:tcBorders>
              <w:top w:val="single" w:color="000000" w:sz="8" w:space="0"/>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Characteristic</w:t>
            </w:r>
          </w:p>
        </w:tc>
        <w:tc>
          <w:tcPr>
            <w:tcW w:w="1187" w:type="dxa"/>
            <w:vMerge w:val="restart"/>
            <w:tcBorders>
              <w:top w:val="single" w:color="000000" w:sz="8" w:space="0"/>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Event(%)</w:t>
            </w:r>
          </w:p>
        </w:tc>
        <w:tc>
          <w:tcPr>
            <w:tcW w:w="2107" w:type="dxa"/>
            <w:gridSpan w:val="2"/>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Model 1</w:t>
            </w:r>
          </w:p>
        </w:tc>
        <w:tc>
          <w:tcPr>
            <w:tcW w:w="2107" w:type="dxa"/>
            <w:gridSpan w:val="2"/>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Model 2</w:t>
            </w:r>
          </w:p>
        </w:tc>
        <w:tc>
          <w:tcPr>
            <w:tcW w:w="2000" w:type="dxa"/>
            <w:gridSpan w:val="2"/>
            <w:tcBorders>
              <w:top w:val="single" w:color="000000" w:sz="8" w:space="0"/>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Model 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jc w:val="center"/>
        </w:trPr>
        <w:tc>
          <w:tcPr>
            <w:tcW w:w="1427" w:type="dxa"/>
            <w:vMerge w:val="continue"/>
            <w:tcBorders>
              <w:top w:val="single" w:color="000000" w:sz="8" w:space="0"/>
              <w:left w:val="nil"/>
              <w:bottom w:val="single" w:color="000000" w:sz="4" w:space="0"/>
              <w:right w:val="nil"/>
            </w:tcBorders>
            <w:shd w:val="clear" w:color="auto" w:fill="auto"/>
            <w:noWrap/>
            <w:vAlign w:val="center"/>
          </w:tcPr>
          <w:p>
            <w:pPr>
              <w:jc w:val="center"/>
              <w:rPr>
                <w:rFonts w:hint="default" w:ascii="Times New Roman" w:hAnsi="Times New Roman" w:eastAsia="宋体" w:cs="Times New Roman"/>
                <w:b/>
                <w:bCs/>
                <w:i w:val="0"/>
                <w:iCs w:val="0"/>
                <w:color w:val="000000"/>
                <w:sz w:val="18"/>
                <w:szCs w:val="18"/>
                <w:u w:val="none"/>
              </w:rPr>
            </w:pPr>
          </w:p>
        </w:tc>
        <w:tc>
          <w:tcPr>
            <w:tcW w:w="1187" w:type="dxa"/>
            <w:vMerge w:val="continue"/>
            <w:tcBorders>
              <w:top w:val="single" w:color="000000" w:sz="8" w:space="0"/>
              <w:left w:val="nil"/>
              <w:bottom w:val="single" w:color="000000" w:sz="4" w:space="0"/>
              <w:right w:val="nil"/>
            </w:tcBorders>
            <w:shd w:val="clear" w:color="auto" w:fill="auto"/>
            <w:noWrap/>
            <w:vAlign w:val="center"/>
          </w:tcPr>
          <w:p>
            <w:pPr>
              <w:jc w:val="center"/>
              <w:rPr>
                <w:rFonts w:hint="default" w:ascii="Times New Roman" w:hAnsi="Times New Roman" w:eastAsia="宋体" w:cs="Times New Roman"/>
                <w:b/>
                <w:bCs/>
                <w:i w:val="0"/>
                <w:iCs w:val="0"/>
                <w:color w:val="000000"/>
                <w:sz w:val="18"/>
                <w:szCs w:val="18"/>
                <w:u w:val="none"/>
              </w:rPr>
            </w:pP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OR(95%CI)</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p</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OR(95%CI)</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p</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OR(95%CI)</w:t>
            </w:r>
          </w:p>
        </w:tc>
        <w:tc>
          <w:tcPr>
            <w:tcW w:w="0" w:type="auto"/>
            <w:tcBorders>
              <w:top w:val="nil"/>
              <w:left w:val="nil"/>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p</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CTI(per 1 unit)</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2133(0.26%)</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2.06(1.70-2.49)</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1.85(1.52-2.25)</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1.33(1.00-1.77)</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0.048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CTI quartile</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Q1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406(0.20%)</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Ref</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Ref</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Ref</w:t>
            </w:r>
          </w:p>
        </w:tc>
        <w:tc>
          <w:tcPr>
            <w:tcW w:w="0" w:type="auto"/>
            <w:tcBorders>
              <w:top w:val="nil"/>
              <w:left w:val="nil"/>
              <w:bottom w:val="nil"/>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Q2</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516(0.26%)</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1.36(1.18-1.58)</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1.33(1.14-1.54)</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1.24(1.05-1.47)</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Q3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584(0.29%)</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1.62(1.40-1.87)</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1.53(1.31-1.77)</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1.30(1.09-1.55)</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jc w:val="center"/>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Q4</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627(0.31%)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1.79(1.55-2.07)</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1.66(1.44-1.93)</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1.36(1.12-1.66)</w:t>
            </w: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jc w:val="center"/>
        </w:trPr>
        <w:tc>
          <w:tcPr>
            <w:tcW w:w="0" w:type="auto"/>
            <w:tcBorders>
              <w:top w:val="nil"/>
              <w:left w:val="nil"/>
              <w:bottom w:val="single" w:color="000000" w:sz="8" w:space="0"/>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P for trend</w:t>
            </w:r>
          </w:p>
        </w:tc>
        <w:tc>
          <w:tcPr>
            <w:tcW w:w="0" w:type="auto"/>
            <w:tcBorders>
              <w:top w:val="nil"/>
              <w:left w:val="nil"/>
              <w:bottom w:val="single" w:color="000000" w:sz="8" w:space="0"/>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c>
          <w:tcPr>
            <w:tcW w:w="0" w:type="auto"/>
            <w:tcBorders>
              <w:top w:val="nil"/>
              <w:left w:val="nil"/>
              <w:bottom w:val="single" w:color="000000" w:sz="8" w:space="0"/>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&lt;0.001</w:t>
            </w:r>
          </w:p>
        </w:tc>
        <w:tc>
          <w:tcPr>
            <w:tcW w:w="0" w:type="auto"/>
            <w:tcBorders>
              <w:top w:val="nil"/>
              <w:left w:val="nil"/>
              <w:bottom w:val="single" w:color="000000" w:sz="8" w:space="0"/>
              <w:right w:val="nil"/>
            </w:tcBorders>
            <w:shd w:val="clear" w:color="auto" w:fill="auto"/>
            <w:noWrap/>
            <w:vAlign w:val="bottom"/>
          </w:tcPr>
          <w:p>
            <w:pPr>
              <w:rPr>
                <w:rFonts w:hint="default" w:ascii="Times New Roman" w:hAnsi="Times New Roman" w:eastAsia="宋体" w:cs="Times New Roman"/>
                <w:i w:val="0"/>
                <w:iCs w:val="0"/>
                <w:color w:val="000000"/>
                <w:sz w:val="18"/>
                <w:szCs w:val="18"/>
                <w:u w:val="none"/>
              </w:rPr>
            </w:pPr>
          </w:p>
        </w:tc>
        <w:tc>
          <w:tcPr>
            <w:tcW w:w="0" w:type="auto"/>
            <w:tcBorders>
              <w:top w:val="nil"/>
              <w:left w:val="nil"/>
              <w:bottom w:val="single" w:color="000000" w:sz="8" w:space="0"/>
              <w:right w:val="nil"/>
            </w:tcBorders>
            <w:shd w:val="clear" w:color="auto" w:fill="auto"/>
            <w:noWrap/>
            <w:vAlign w:val="bottom"/>
          </w:tcPr>
          <w:p>
            <w:pPr>
              <w:keepNext w:val="0"/>
              <w:keepLines w:val="0"/>
              <w:widowControl/>
              <w:suppressLineNumbers w:val="0"/>
              <w:jc w:val="left"/>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0.004</w:t>
            </w:r>
          </w:p>
        </w:tc>
      </w:tr>
    </w:tbl>
    <w:p>
      <w:pPr>
        <w:rPr>
          <w:rFonts w:hint="default" w:ascii="Times New Roman" w:hAnsi="Times New Roman" w:cs="Times New Roman"/>
          <w:sz w:val="15"/>
          <w:szCs w:val="15"/>
        </w:rPr>
      </w:pPr>
      <w:r>
        <w:rPr>
          <w:rFonts w:hint="default" w:ascii="Times New Roman" w:hAnsi="Times New Roman" w:cs="Times New Roman"/>
          <w:sz w:val="15"/>
          <w:szCs w:val="15"/>
        </w:rPr>
        <w:t>Model 1: unadjusted for any covariates; Model 2: adjusted for gender, age, residence, marital status, education level, smoking status, and drinking status; Model 3: based on model 2, BMI, WC, SBP, DBP, TC, LDL, HDL, uric acid, hypertension, diabetes, dyslipidemia, liver diseases, kidney diseases, lung diseases, digestive diseases, hypertension drugs, diabetes drugs, dyslipidemia drugs, blood sugar status, and geographical area were adjusted.</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jc w:val="center"/>
        <w:rPr>
          <w:rFonts w:hint="eastAsia" w:eastAsiaTheme="minorEastAsia"/>
          <w:lang w:eastAsia="zh-CN"/>
        </w:rPr>
      </w:pPr>
      <w:r>
        <w:rPr>
          <w:rFonts w:hint="eastAsia" w:eastAsiaTheme="minorEastAsia"/>
          <w:lang w:eastAsia="zh-CN"/>
        </w:rPr>
        <w:drawing>
          <wp:inline distT="0" distB="0" distL="114300" distR="114300">
            <wp:extent cx="5266690" cy="1755775"/>
            <wp:effectExtent l="0" t="0" r="10160" b="15875"/>
            <wp:docPr id="2" name="图片 2" descr="Supplementary Figure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Supplementary Figure S1"/>
                    <pic:cNvPicPr>
                      <a:picLocks noChangeAspect="1"/>
                    </pic:cNvPicPr>
                  </pic:nvPicPr>
                  <pic:blipFill>
                    <a:blip r:embed="rId4"/>
                    <a:stretch>
                      <a:fillRect/>
                    </a:stretch>
                  </pic:blipFill>
                  <pic:spPr>
                    <a:xfrm>
                      <a:off x="0" y="0"/>
                      <a:ext cx="5266690" cy="1755775"/>
                    </a:xfrm>
                    <a:prstGeom prst="rect">
                      <a:avLst/>
                    </a:prstGeom>
                  </pic:spPr>
                </pic:pic>
              </a:graphicData>
            </a:graphic>
          </wp:inline>
        </w:drawing>
      </w:r>
    </w:p>
    <w:p>
      <w:pPr>
        <w:rPr>
          <w:rFonts w:hint="default" w:ascii="Times New Roman" w:hAnsi="Times New Roman" w:cs="Times New Roman" w:eastAsiaTheme="minorEastAsia"/>
          <w:b w:val="0"/>
          <w:bCs w:val="0"/>
          <w:sz w:val="22"/>
          <w:szCs w:val="22"/>
          <w:lang w:eastAsia="zh-CN"/>
        </w:rPr>
      </w:pPr>
      <w:r>
        <w:rPr>
          <w:rFonts w:hint="default" w:ascii="Times New Roman" w:hAnsi="Times New Roman" w:cs="Times New Roman" w:eastAsiaTheme="minorEastAsia"/>
          <w:b/>
          <w:bCs/>
          <w:sz w:val="22"/>
          <w:szCs w:val="22"/>
          <w:lang w:eastAsia="zh-CN"/>
        </w:rPr>
        <w:t>Fig. S1</w:t>
      </w:r>
      <w:r>
        <w:rPr>
          <w:rFonts w:hint="eastAsia" w:ascii="Times New Roman" w:hAnsi="Times New Roman" w:cs="Times New Roman"/>
          <w:b/>
          <w:bCs/>
          <w:sz w:val="22"/>
          <w:szCs w:val="22"/>
          <w:lang w:val="en-US" w:eastAsia="zh-CN"/>
        </w:rPr>
        <w:t>.</w:t>
      </w:r>
      <w:r>
        <w:rPr>
          <w:rFonts w:hint="default" w:ascii="Times New Roman" w:hAnsi="Times New Roman" w:cs="Times New Roman" w:eastAsiaTheme="minorEastAsia"/>
          <w:b w:val="0"/>
          <w:bCs w:val="0"/>
          <w:sz w:val="22"/>
          <w:szCs w:val="22"/>
          <w:lang w:eastAsia="zh-CN"/>
        </w:rPr>
        <w:t xml:space="preserve"> Receiver operating characteristic curves for CRP, TyG index, and CTI predicting </w:t>
      </w:r>
      <w:r>
        <w:rPr>
          <w:rFonts w:hint="default" w:ascii="Times New Roman" w:hAnsi="Times New Roman" w:cs="Times New Roman"/>
          <w:b w:val="0"/>
          <w:bCs w:val="0"/>
          <w:sz w:val="22"/>
          <w:szCs w:val="22"/>
          <w:lang w:val="en-US" w:eastAsia="zh-CN"/>
        </w:rPr>
        <w:t>CVD</w:t>
      </w:r>
      <w:r>
        <w:rPr>
          <w:rFonts w:hint="default" w:ascii="Times New Roman" w:hAnsi="Times New Roman" w:cs="Times New Roman" w:eastAsiaTheme="minorEastAsia"/>
          <w:b w:val="0"/>
          <w:bCs w:val="0"/>
          <w:sz w:val="22"/>
          <w:szCs w:val="22"/>
          <w:lang w:eastAsia="zh-CN"/>
        </w:rPr>
        <w:t xml:space="preserve"> incidence.</w:t>
      </w:r>
    </w:p>
    <w:p>
      <w:pPr>
        <w:rPr>
          <w:rFonts w:hint="default" w:ascii="Times New Roman" w:hAnsi="Times New Roman" w:cs="Times New Roman" w:eastAsiaTheme="minorEastAsia"/>
          <w:b w:val="0"/>
          <w:bCs w:val="0"/>
          <w:sz w:val="22"/>
          <w:szCs w:val="22"/>
          <w:lang w:eastAsia="zh-CN"/>
        </w:rPr>
      </w:pPr>
    </w:p>
    <w:p>
      <w:pPr>
        <w:rPr>
          <w:rFonts w:hint="default" w:ascii="Times New Roman" w:hAnsi="Times New Roman" w:cs="Times New Roman" w:eastAsiaTheme="minorEastAsia"/>
          <w:b w:val="0"/>
          <w:bCs w:val="0"/>
          <w:sz w:val="22"/>
          <w:szCs w:val="22"/>
          <w:lang w:eastAsia="zh-CN"/>
        </w:rPr>
      </w:pPr>
    </w:p>
    <w:p>
      <w:pPr>
        <w:rPr>
          <w:rFonts w:hint="default" w:ascii="Times New Roman" w:hAnsi="Times New Roman" w:cs="Times New Roman" w:eastAsiaTheme="minorEastAsia"/>
          <w:b w:val="0"/>
          <w:bCs w:val="0"/>
          <w:sz w:val="22"/>
          <w:szCs w:val="22"/>
          <w:lang w:eastAsia="zh-CN"/>
        </w:rPr>
      </w:pPr>
    </w:p>
    <w:p>
      <w:pPr>
        <w:rPr>
          <w:rFonts w:hint="default" w:ascii="Times New Roman" w:hAnsi="Times New Roman" w:cs="Times New Roman" w:eastAsiaTheme="minorEastAsia"/>
          <w:b w:val="0"/>
          <w:bCs w:val="0"/>
          <w:sz w:val="22"/>
          <w:szCs w:val="22"/>
          <w:lang w:eastAsia="zh-CN"/>
        </w:rPr>
      </w:pPr>
    </w:p>
    <w:p>
      <w:pPr>
        <w:rPr>
          <w:rFonts w:hint="default" w:ascii="Times New Roman" w:hAnsi="Times New Roman" w:cs="Times New Roman" w:eastAsiaTheme="minorEastAsia"/>
          <w:b w:val="0"/>
          <w:bCs w:val="0"/>
          <w:sz w:val="22"/>
          <w:szCs w:val="22"/>
          <w:lang w:eastAsia="zh-CN"/>
        </w:rPr>
      </w:pPr>
    </w:p>
    <w:p>
      <w:pPr>
        <w:rPr>
          <w:rFonts w:hint="default" w:ascii="Times New Roman" w:hAnsi="Times New Roman" w:cs="Times New Roman" w:eastAsiaTheme="minorEastAsia"/>
          <w:b w:val="0"/>
          <w:bCs w:val="0"/>
          <w:sz w:val="22"/>
          <w:szCs w:val="22"/>
          <w:lang w:eastAsia="zh-CN"/>
        </w:rPr>
      </w:pPr>
    </w:p>
    <w:p>
      <w:pPr>
        <w:rPr>
          <w:rFonts w:hint="default" w:ascii="Times New Roman" w:hAnsi="Times New Roman" w:cs="Times New Roman" w:eastAsiaTheme="minorEastAsia"/>
          <w:b w:val="0"/>
          <w:bCs w:val="0"/>
          <w:sz w:val="22"/>
          <w:szCs w:val="22"/>
          <w:lang w:eastAsia="zh-CN"/>
        </w:rPr>
      </w:pPr>
    </w:p>
    <w:p>
      <w:pPr>
        <w:rPr>
          <w:rFonts w:hint="default" w:ascii="Times New Roman" w:hAnsi="Times New Roman" w:cs="Times New Roman" w:eastAsiaTheme="minorEastAsia"/>
          <w:b w:val="0"/>
          <w:bCs w:val="0"/>
          <w:sz w:val="22"/>
          <w:szCs w:val="22"/>
          <w:lang w:eastAsia="zh-CN"/>
        </w:rPr>
      </w:pPr>
    </w:p>
    <w:p>
      <w:pPr>
        <w:rPr>
          <w:rFonts w:hint="default" w:ascii="Times New Roman" w:hAnsi="Times New Roman" w:cs="Times New Roman" w:eastAsiaTheme="minorEastAsia"/>
          <w:b w:val="0"/>
          <w:bCs w:val="0"/>
          <w:sz w:val="22"/>
          <w:szCs w:val="22"/>
          <w:lang w:eastAsia="zh-CN"/>
        </w:rPr>
      </w:pPr>
    </w:p>
    <w:p>
      <w:pPr>
        <w:rPr>
          <w:rFonts w:hint="default" w:ascii="Times New Roman" w:hAnsi="Times New Roman" w:cs="Times New Roman" w:eastAsiaTheme="minorEastAsia"/>
          <w:b w:val="0"/>
          <w:bCs w:val="0"/>
          <w:sz w:val="22"/>
          <w:szCs w:val="22"/>
          <w:lang w:eastAsia="zh-CN"/>
        </w:rPr>
      </w:pPr>
    </w:p>
    <w:p>
      <w:pPr>
        <w:rPr>
          <w:rFonts w:hint="default" w:ascii="Times New Roman" w:hAnsi="Times New Roman" w:cs="Times New Roman" w:eastAsiaTheme="minorEastAsia"/>
          <w:b w:val="0"/>
          <w:bCs w:val="0"/>
          <w:sz w:val="22"/>
          <w:szCs w:val="22"/>
          <w:lang w:eastAsia="zh-CN"/>
        </w:rPr>
      </w:pPr>
    </w:p>
    <w:p>
      <w:pPr>
        <w:rPr>
          <w:rFonts w:hint="default" w:ascii="Times New Roman" w:hAnsi="Times New Roman" w:cs="Times New Roman" w:eastAsiaTheme="minorEastAsia"/>
          <w:b w:val="0"/>
          <w:bCs w:val="0"/>
          <w:sz w:val="22"/>
          <w:szCs w:val="22"/>
          <w:lang w:eastAsia="zh-CN"/>
        </w:rPr>
      </w:pPr>
    </w:p>
    <w:p>
      <w:pPr>
        <w:rPr>
          <w:rFonts w:hint="default" w:ascii="Times New Roman" w:hAnsi="Times New Roman" w:cs="Times New Roman" w:eastAsiaTheme="minorEastAsia"/>
          <w:b w:val="0"/>
          <w:bCs w:val="0"/>
          <w:sz w:val="22"/>
          <w:szCs w:val="22"/>
          <w:lang w:eastAsia="zh-CN"/>
        </w:rPr>
      </w:pPr>
    </w:p>
    <w:p>
      <w:pPr>
        <w:rPr>
          <w:rFonts w:hint="default" w:ascii="Times New Roman" w:hAnsi="Times New Roman" w:cs="Times New Roman" w:eastAsiaTheme="minorEastAsia"/>
          <w:b w:val="0"/>
          <w:bCs w:val="0"/>
          <w:sz w:val="22"/>
          <w:szCs w:val="22"/>
          <w:lang w:eastAsia="zh-CN"/>
        </w:rPr>
      </w:pPr>
    </w:p>
    <w:p>
      <w:pPr>
        <w:rPr>
          <w:rFonts w:hint="default" w:ascii="Times New Roman" w:hAnsi="Times New Roman" w:cs="Times New Roman" w:eastAsiaTheme="minorEastAsia"/>
          <w:b w:val="0"/>
          <w:bCs w:val="0"/>
          <w:sz w:val="22"/>
          <w:szCs w:val="22"/>
          <w:lang w:eastAsia="zh-CN"/>
        </w:rPr>
      </w:pPr>
    </w:p>
    <w:p>
      <w:pPr>
        <w:rPr>
          <w:rFonts w:hint="default" w:ascii="Times New Roman" w:hAnsi="Times New Roman" w:cs="Times New Roman" w:eastAsiaTheme="minorEastAsia"/>
          <w:b w:val="0"/>
          <w:bCs w:val="0"/>
          <w:sz w:val="22"/>
          <w:szCs w:val="22"/>
          <w:lang w:eastAsia="zh-CN"/>
        </w:rPr>
      </w:pPr>
    </w:p>
    <w:p>
      <w:pPr>
        <w:rPr>
          <w:rFonts w:hint="default" w:ascii="Times New Roman" w:hAnsi="Times New Roman" w:cs="Times New Roman" w:eastAsiaTheme="minorEastAsia"/>
          <w:b w:val="0"/>
          <w:bCs w:val="0"/>
          <w:sz w:val="22"/>
          <w:szCs w:val="22"/>
          <w:lang w:eastAsia="zh-CN"/>
        </w:rPr>
      </w:pPr>
    </w:p>
    <w:p>
      <w:pPr>
        <w:rPr>
          <w:rFonts w:hint="default" w:ascii="Times New Roman" w:hAnsi="Times New Roman" w:cs="Times New Roman" w:eastAsiaTheme="minorEastAsia"/>
          <w:b w:val="0"/>
          <w:bCs w:val="0"/>
          <w:sz w:val="22"/>
          <w:szCs w:val="22"/>
          <w:lang w:eastAsia="zh-CN"/>
        </w:rPr>
      </w:pPr>
    </w:p>
    <w:p>
      <w:pPr>
        <w:rPr>
          <w:rFonts w:hint="default" w:ascii="Times New Roman" w:hAnsi="Times New Roman" w:cs="Times New Roman" w:eastAsiaTheme="minorEastAsia"/>
          <w:b w:val="0"/>
          <w:bCs w:val="0"/>
          <w:sz w:val="22"/>
          <w:szCs w:val="22"/>
          <w:lang w:eastAsia="zh-CN"/>
        </w:rPr>
      </w:pPr>
    </w:p>
    <w:p>
      <w:pPr>
        <w:rPr>
          <w:rFonts w:hint="default" w:ascii="Times New Roman" w:hAnsi="Times New Roman" w:cs="Times New Roman" w:eastAsiaTheme="minorEastAsia"/>
          <w:b w:val="0"/>
          <w:bCs w:val="0"/>
          <w:sz w:val="22"/>
          <w:szCs w:val="22"/>
          <w:lang w:eastAsia="zh-CN"/>
        </w:rPr>
      </w:pPr>
    </w:p>
    <w:p>
      <w:pPr>
        <w:rPr>
          <w:rFonts w:hint="default" w:ascii="Times New Roman" w:hAnsi="Times New Roman" w:cs="Times New Roman" w:eastAsiaTheme="minorEastAsia"/>
          <w:b w:val="0"/>
          <w:bCs w:val="0"/>
          <w:sz w:val="22"/>
          <w:szCs w:val="22"/>
          <w:lang w:eastAsia="zh-CN"/>
        </w:rPr>
      </w:pPr>
    </w:p>
    <w:p>
      <w:pPr>
        <w:rPr>
          <w:rFonts w:hint="default" w:ascii="Times New Roman" w:hAnsi="Times New Roman" w:cs="Times New Roman" w:eastAsiaTheme="minorEastAsia"/>
          <w:b w:val="0"/>
          <w:bCs w:val="0"/>
          <w:sz w:val="22"/>
          <w:szCs w:val="22"/>
          <w:lang w:eastAsia="zh-CN"/>
        </w:rPr>
      </w:pPr>
    </w:p>
    <w:p>
      <w:pPr>
        <w:rPr>
          <w:rFonts w:hint="default" w:ascii="Times New Roman" w:hAnsi="Times New Roman" w:cs="Times New Roman" w:eastAsiaTheme="minorEastAsia"/>
          <w:b w:val="0"/>
          <w:bCs w:val="0"/>
          <w:sz w:val="22"/>
          <w:szCs w:val="22"/>
          <w:lang w:eastAsia="zh-CN"/>
        </w:rPr>
      </w:pPr>
    </w:p>
    <w:p>
      <w:pPr>
        <w:rPr>
          <w:rFonts w:hint="default" w:ascii="Times New Roman" w:hAnsi="Times New Roman" w:cs="Times New Roman" w:eastAsiaTheme="minorEastAsia"/>
          <w:b w:val="0"/>
          <w:bCs w:val="0"/>
          <w:sz w:val="22"/>
          <w:szCs w:val="22"/>
          <w:lang w:eastAsia="zh-CN"/>
        </w:rPr>
      </w:pPr>
    </w:p>
    <w:p>
      <w:pPr>
        <w:rPr>
          <w:rFonts w:hint="default" w:ascii="Times New Roman" w:hAnsi="Times New Roman" w:cs="Times New Roman" w:eastAsiaTheme="minorEastAsia"/>
          <w:b w:val="0"/>
          <w:bCs w:val="0"/>
          <w:sz w:val="22"/>
          <w:szCs w:val="22"/>
          <w:lang w:eastAsia="zh-CN"/>
        </w:rPr>
      </w:pPr>
    </w:p>
    <w:p>
      <w:pPr>
        <w:rPr>
          <w:rFonts w:hint="default" w:ascii="Times New Roman" w:hAnsi="Times New Roman" w:cs="Times New Roman" w:eastAsiaTheme="minorEastAsia"/>
          <w:b w:val="0"/>
          <w:bCs w:val="0"/>
          <w:sz w:val="22"/>
          <w:szCs w:val="22"/>
          <w:lang w:eastAsia="zh-CN"/>
        </w:rPr>
      </w:pPr>
    </w:p>
    <w:p>
      <w:pPr>
        <w:rPr>
          <w:rFonts w:hint="default" w:ascii="Times New Roman" w:hAnsi="Times New Roman" w:cs="Times New Roman" w:eastAsiaTheme="minorEastAsia"/>
          <w:b w:val="0"/>
          <w:bCs w:val="0"/>
          <w:sz w:val="22"/>
          <w:szCs w:val="22"/>
          <w:lang w:eastAsia="zh-CN"/>
        </w:rPr>
      </w:pPr>
    </w:p>
    <w:p>
      <w:pPr>
        <w:rPr>
          <w:rFonts w:hint="default" w:ascii="Times New Roman" w:hAnsi="Times New Roman" w:cs="Times New Roman" w:eastAsiaTheme="minorEastAsia"/>
          <w:b w:val="0"/>
          <w:bCs w:val="0"/>
          <w:sz w:val="22"/>
          <w:szCs w:val="22"/>
          <w:lang w:eastAsia="zh-CN"/>
        </w:rPr>
      </w:pPr>
    </w:p>
    <w:p>
      <w:pPr>
        <w:rPr>
          <w:rFonts w:hint="default" w:ascii="Times New Roman" w:hAnsi="Times New Roman" w:cs="Times New Roman" w:eastAsiaTheme="minorEastAsia"/>
          <w:b w:val="0"/>
          <w:bCs w:val="0"/>
          <w:sz w:val="22"/>
          <w:szCs w:val="22"/>
          <w:lang w:eastAsia="zh-CN"/>
        </w:rPr>
      </w:pPr>
    </w:p>
    <w:p>
      <w:pPr>
        <w:jc w:val="left"/>
        <w:rPr>
          <w:rFonts w:hint="default" w:ascii="Times New Roman" w:hAnsi="Times New Roman" w:cs="Times New Roman" w:eastAsiaTheme="minorEastAsia"/>
          <w:b w:val="0"/>
          <w:bCs w:val="0"/>
          <w:sz w:val="22"/>
          <w:szCs w:val="22"/>
          <w:lang w:eastAsia="zh-CN"/>
        </w:rPr>
      </w:pPr>
      <w:r>
        <w:rPr>
          <w:rFonts w:hint="default" w:ascii="Times New Roman" w:hAnsi="Times New Roman" w:cs="Times New Roman" w:eastAsiaTheme="minorEastAsia"/>
          <w:b w:val="0"/>
          <w:bCs w:val="0"/>
          <w:sz w:val="22"/>
          <w:szCs w:val="22"/>
          <w:lang w:eastAsia="zh-CN"/>
        </w:rPr>
        <w:drawing>
          <wp:inline distT="0" distB="0" distL="114300" distR="114300">
            <wp:extent cx="5266690" cy="2633345"/>
            <wp:effectExtent l="0" t="0" r="6350" b="3175"/>
            <wp:docPr id="23" name="图片 23" descr="Supplementary Figure 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Supplementary Figure S2"/>
                    <pic:cNvPicPr>
                      <a:picLocks noChangeAspect="1"/>
                    </pic:cNvPicPr>
                  </pic:nvPicPr>
                  <pic:blipFill>
                    <a:blip r:embed="rId5"/>
                    <a:stretch>
                      <a:fillRect/>
                    </a:stretch>
                  </pic:blipFill>
                  <pic:spPr>
                    <a:xfrm>
                      <a:off x="0" y="0"/>
                      <a:ext cx="5266690" cy="2633345"/>
                    </a:xfrm>
                    <a:prstGeom prst="rect">
                      <a:avLst/>
                    </a:prstGeom>
                  </pic:spPr>
                </pic:pic>
              </a:graphicData>
            </a:graphic>
          </wp:inline>
        </w:drawing>
      </w:r>
    </w:p>
    <w:p>
      <w:pPr>
        <w:jc w:val="left"/>
        <w:rPr>
          <w:rFonts w:hint="default" w:ascii="Times New Roman" w:hAnsi="Times New Roman" w:cs="Times New Roman" w:eastAsiaTheme="minorEastAsia"/>
          <w:b w:val="0"/>
          <w:bCs w:val="0"/>
          <w:sz w:val="22"/>
          <w:szCs w:val="22"/>
          <w:lang w:val="en-US" w:eastAsia="zh-CN"/>
        </w:rPr>
      </w:pPr>
      <w:r>
        <w:rPr>
          <w:rFonts w:hint="default" w:ascii="Times New Roman" w:hAnsi="Times New Roman" w:cs="Times New Roman" w:eastAsiaTheme="minorEastAsia"/>
          <w:b/>
          <w:bCs/>
          <w:sz w:val="22"/>
          <w:szCs w:val="22"/>
          <w:lang w:eastAsia="zh-CN"/>
        </w:rPr>
        <w:t>Fig. S</w:t>
      </w:r>
      <w:r>
        <w:rPr>
          <w:rFonts w:hint="eastAsia" w:ascii="Times New Roman" w:hAnsi="Times New Roman" w:cs="Times New Roman"/>
          <w:b/>
          <w:bCs/>
          <w:sz w:val="22"/>
          <w:szCs w:val="22"/>
          <w:lang w:val="en-US" w:eastAsia="zh-CN"/>
        </w:rPr>
        <w:t>2</w:t>
      </w:r>
      <w:r>
        <w:rPr>
          <w:rFonts w:hint="default" w:ascii="Times New Roman" w:hAnsi="Times New Roman" w:cs="Times New Roman" w:eastAsiaTheme="minorEastAsia"/>
          <w:b/>
          <w:bCs/>
          <w:sz w:val="22"/>
          <w:szCs w:val="22"/>
          <w:lang w:eastAsia="zh-CN"/>
        </w:rPr>
        <w:t>.</w:t>
      </w:r>
      <w:r>
        <w:rPr>
          <w:rFonts w:hint="default" w:ascii="Times New Roman" w:hAnsi="Times New Roman" w:cs="Times New Roman" w:eastAsiaTheme="minorEastAsia"/>
          <w:b w:val="0"/>
          <w:bCs w:val="0"/>
          <w:sz w:val="22"/>
          <w:szCs w:val="22"/>
          <w:lang w:eastAsia="zh-CN"/>
        </w:rPr>
        <w:t xml:space="preserve"> </w:t>
      </w:r>
      <w:r>
        <w:rPr>
          <w:rFonts w:hint="eastAsia" w:ascii="Times New Roman" w:hAnsi="Times New Roman" w:cs="Times New Roman"/>
          <w:b w:val="0"/>
          <w:bCs w:val="0"/>
          <w:sz w:val="22"/>
          <w:szCs w:val="22"/>
          <w:lang w:val="en-US" w:eastAsia="zh-CN"/>
        </w:rPr>
        <w:t>E</w:t>
      </w:r>
      <w:r>
        <w:rPr>
          <w:rFonts w:hint="default" w:ascii="Times New Roman" w:hAnsi="Times New Roman" w:cs="Times New Roman" w:eastAsiaTheme="minorEastAsia"/>
          <w:b w:val="0"/>
          <w:bCs w:val="0"/>
          <w:sz w:val="22"/>
          <w:szCs w:val="22"/>
          <w:lang w:eastAsia="zh-CN"/>
        </w:rPr>
        <w:t>valuation of model performance</w:t>
      </w:r>
      <w:r>
        <w:rPr>
          <w:rFonts w:hint="eastAsia" w:ascii="Times New Roman" w:hAnsi="Times New Roman" w:cs="Times New Roman"/>
          <w:b w:val="0"/>
          <w:bCs w:val="0"/>
          <w:sz w:val="22"/>
          <w:szCs w:val="22"/>
          <w:lang w:val="en-US" w:eastAsia="zh-CN"/>
        </w:rPr>
        <w:t>.</w:t>
      </w:r>
    </w:p>
    <w:p>
      <w:pPr>
        <w:jc w:val="both"/>
        <w:rPr>
          <w:rFonts w:hint="default" w:ascii="Times New Roman" w:hAnsi="Times New Roman" w:cs="Times New Roman" w:eastAsiaTheme="minorEastAsia"/>
          <w:b w:val="0"/>
          <w:bCs w:val="0"/>
          <w:sz w:val="22"/>
          <w:szCs w:val="22"/>
          <w:lang w:eastAsia="zh-CN"/>
        </w:rPr>
      </w:pPr>
    </w:p>
    <w:p>
      <w:pPr>
        <w:jc w:val="both"/>
        <w:rPr>
          <w:rFonts w:hint="default" w:ascii="Times New Roman" w:hAnsi="Times New Roman" w:cs="Times New Roman" w:eastAsiaTheme="minorEastAsia"/>
          <w:b w:val="0"/>
          <w:bCs w:val="0"/>
          <w:sz w:val="22"/>
          <w:szCs w:val="22"/>
          <w:lang w:eastAsia="zh-CN"/>
        </w:rPr>
      </w:pPr>
    </w:p>
    <w:p>
      <w:pPr>
        <w:jc w:val="both"/>
        <w:rPr>
          <w:rFonts w:hint="default" w:ascii="Times New Roman" w:hAnsi="Times New Roman" w:cs="Times New Roman" w:eastAsiaTheme="minorEastAsia"/>
          <w:b w:val="0"/>
          <w:bCs w:val="0"/>
          <w:sz w:val="22"/>
          <w:szCs w:val="22"/>
          <w:lang w:eastAsia="zh-CN"/>
        </w:rPr>
      </w:pPr>
    </w:p>
    <w:p>
      <w:pPr>
        <w:jc w:val="both"/>
        <w:rPr>
          <w:rFonts w:hint="default" w:ascii="Times New Roman" w:hAnsi="Times New Roman" w:cs="Times New Roman" w:eastAsiaTheme="minorEastAsia"/>
          <w:b w:val="0"/>
          <w:bCs w:val="0"/>
          <w:sz w:val="22"/>
          <w:szCs w:val="22"/>
          <w:lang w:eastAsia="zh-CN"/>
        </w:rPr>
      </w:pPr>
    </w:p>
    <w:p>
      <w:pPr>
        <w:jc w:val="both"/>
        <w:rPr>
          <w:rFonts w:hint="default" w:ascii="Times New Roman" w:hAnsi="Times New Roman" w:cs="Times New Roman" w:eastAsiaTheme="minorEastAsia"/>
          <w:b w:val="0"/>
          <w:bCs w:val="0"/>
          <w:sz w:val="22"/>
          <w:szCs w:val="22"/>
          <w:lang w:eastAsia="zh-CN"/>
        </w:rPr>
      </w:pPr>
    </w:p>
    <w:p>
      <w:pPr>
        <w:jc w:val="both"/>
        <w:rPr>
          <w:rFonts w:hint="default" w:ascii="Times New Roman" w:hAnsi="Times New Roman" w:cs="Times New Roman" w:eastAsiaTheme="minorEastAsia"/>
          <w:b w:val="0"/>
          <w:bCs w:val="0"/>
          <w:sz w:val="22"/>
          <w:szCs w:val="22"/>
          <w:lang w:eastAsia="zh-CN"/>
        </w:rPr>
      </w:pPr>
    </w:p>
    <w:p>
      <w:pPr>
        <w:jc w:val="both"/>
        <w:rPr>
          <w:rFonts w:hint="default" w:ascii="Times New Roman" w:hAnsi="Times New Roman" w:cs="Times New Roman" w:eastAsiaTheme="minorEastAsia"/>
          <w:b w:val="0"/>
          <w:bCs w:val="0"/>
          <w:sz w:val="22"/>
          <w:szCs w:val="22"/>
          <w:lang w:eastAsia="zh-CN"/>
        </w:rPr>
      </w:pPr>
      <w:bookmarkStart w:id="0" w:name="_GoBack"/>
      <w:bookmarkEnd w:id="0"/>
    </w:p>
    <w:p>
      <w:pPr>
        <w:jc w:val="both"/>
        <w:rPr>
          <w:rFonts w:hint="default" w:ascii="Times New Roman" w:hAnsi="Times New Roman" w:cs="Times New Roman" w:eastAsiaTheme="minorEastAsia"/>
          <w:b w:val="0"/>
          <w:bCs w:val="0"/>
          <w:sz w:val="22"/>
          <w:szCs w:val="22"/>
          <w:lang w:eastAsia="zh-CN"/>
        </w:rPr>
      </w:pPr>
    </w:p>
    <w:p>
      <w:pPr>
        <w:jc w:val="both"/>
        <w:rPr>
          <w:rFonts w:hint="default" w:ascii="Times New Roman" w:hAnsi="Times New Roman" w:cs="Times New Roman" w:eastAsiaTheme="minorEastAsia"/>
          <w:b w:val="0"/>
          <w:bCs w:val="0"/>
          <w:sz w:val="22"/>
          <w:szCs w:val="22"/>
          <w:lang w:eastAsia="zh-CN"/>
        </w:rPr>
      </w:pPr>
    </w:p>
    <w:p>
      <w:pPr>
        <w:jc w:val="both"/>
        <w:rPr>
          <w:rFonts w:hint="default" w:ascii="Times New Roman" w:hAnsi="Times New Roman" w:cs="Times New Roman" w:eastAsiaTheme="minorEastAsia"/>
          <w:b w:val="0"/>
          <w:bCs w:val="0"/>
          <w:sz w:val="22"/>
          <w:szCs w:val="22"/>
          <w:lang w:eastAsia="zh-CN"/>
        </w:rPr>
      </w:pPr>
    </w:p>
    <w:p>
      <w:pPr>
        <w:jc w:val="both"/>
        <w:rPr>
          <w:rFonts w:hint="default" w:ascii="Times New Roman" w:hAnsi="Times New Roman" w:cs="Times New Roman" w:eastAsiaTheme="minorEastAsia"/>
          <w:b w:val="0"/>
          <w:bCs w:val="0"/>
          <w:sz w:val="22"/>
          <w:szCs w:val="22"/>
          <w:lang w:eastAsia="zh-CN"/>
        </w:rPr>
      </w:pPr>
    </w:p>
    <w:p>
      <w:pPr>
        <w:jc w:val="both"/>
        <w:rPr>
          <w:rFonts w:hint="default" w:ascii="Times New Roman" w:hAnsi="Times New Roman" w:cs="Times New Roman" w:eastAsiaTheme="minorEastAsia"/>
          <w:b w:val="0"/>
          <w:bCs w:val="0"/>
          <w:sz w:val="22"/>
          <w:szCs w:val="22"/>
          <w:lang w:eastAsia="zh-CN"/>
        </w:rPr>
      </w:pPr>
    </w:p>
    <w:p>
      <w:pPr>
        <w:jc w:val="both"/>
        <w:rPr>
          <w:rFonts w:hint="default" w:ascii="Times New Roman" w:hAnsi="Times New Roman" w:cs="Times New Roman" w:eastAsiaTheme="minorEastAsia"/>
          <w:b w:val="0"/>
          <w:bCs w:val="0"/>
          <w:sz w:val="22"/>
          <w:szCs w:val="22"/>
          <w:lang w:eastAsia="zh-CN"/>
        </w:rPr>
      </w:pPr>
    </w:p>
    <w:p>
      <w:pPr>
        <w:jc w:val="both"/>
        <w:rPr>
          <w:rFonts w:hint="default" w:ascii="Times New Roman" w:hAnsi="Times New Roman" w:cs="Times New Roman" w:eastAsiaTheme="minorEastAsia"/>
          <w:b w:val="0"/>
          <w:bCs w:val="0"/>
          <w:sz w:val="22"/>
          <w:szCs w:val="22"/>
          <w:lang w:eastAsia="zh-CN"/>
        </w:rPr>
      </w:pPr>
    </w:p>
    <w:p>
      <w:pPr>
        <w:jc w:val="both"/>
        <w:rPr>
          <w:rFonts w:hint="default" w:ascii="Times New Roman" w:hAnsi="Times New Roman" w:cs="Times New Roman" w:eastAsiaTheme="minorEastAsia"/>
          <w:b w:val="0"/>
          <w:bCs w:val="0"/>
          <w:sz w:val="22"/>
          <w:szCs w:val="22"/>
          <w:lang w:eastAsia="zh-CN"/>
        </w:rPr>
      </w:pPr>
    </w:p>
    <w:p>
      <w:pPr>
        <w:jc w:val="both"/>
        <w:rPr>
          <w:rFonts w:hint="default" w:ascii="Times New Roman" w:hAnsi="Times New Roman" w:cs="Times New Roman" w:eastAsiaTheme="minorEastAsia"/>
          <w:b w:val="0"/>
          <w:bCs w:val="0"/>
          <w:sz w:val="22"/>
          <w:szCs w:val="22"/>
          <w:lang w:eastAsia="zh-CN"/>
        </w:rPr>
      </w:pPr>
    </w:p>
    <w:p>
      <w:pPr>
        <w:jc w:val="both"/>
        <w:rPr>
          <w:rFonts w:hint="default" w:ascii="Times New Roman" w:hAnsi="Times New Roman" w:cs="Times New Roman" w:eastAsiaTheme="minorEastAsia"/>
          <w:b w:val="0"/>
          <w:bCs w:val="0"/>
          <w:sz w:val="22"/>
          <w:szCs w:val="22"/>
          <w:lang w:eastAsia="zh-CN"/>
        </w:rPr>
      </w:pPr>
    </w:p>
    <w:p>
      <w:pPr>
        <w:jc w:val="both"/>
        <w:rPr>
          <w:rFonts w:hint="default" w:ascii="Times New Roman" w:hAnsi="Times New Roman" w:cs="Times New Roman" w:eastAsiaTheme="minorEastAsia"/>
          <w:b w:val="0"/>
          <w:bCs w:val="0"/>
          <w:sz w:val="22"/>
          <w:szCs w:val="22"/>
          <w:lang w:eastAsia="zh-CN"/>
        </w:rPr>
      </w:pPr>
    </w:p>
    <w:p>
      <w:pPr>
        <w:jc w:val="both"/>
        <w:rPr>
          <w:rFonts w:hint="default" w:ascii="Times New Roman" w:hAnsi="Times New Roman" w:cs="Times New Roman" w:eastAsiaTheme="minorEastAsia"/>
          <w:b w:val="0"/>
          <w:bCs w:val="0"/>
          <w:sz w:val="22"/>
          <w:szCs w:val="22"/>
          <w:lang w:eastAsia="zh-CN"/>
        </w:rPr>
      </w:pPr>
    </w:p>
    <w:p>
      <w:pPr>
        <w:jc w:val="both"/>
        <w:rPr>
          <w:rFonts w:hint="default" w:ascii="Times New Roman" w:hAnsi="Times New Roman" w:cs="Times New Roman" w:eastAsiaTheme="minorEastAsia"/>
          <w:b w:val="0"/>
          <w:bCs w:val="0"/>
          <w:sz w:val="22"/>
          <w:szCs w:val="22"/>
          <w:lang w:eastAsia="zh-CN"/>
        </w:rPr>
      </w:pPr>
    </w:p>
    <w:p>
      <w:pPr>
        <w:jc w:val="both"/>
        <w:rPr>
          <w:rFonts w:hint="default" w:ascii="Times New Roman" w:hAnsi="Times New Roman" w:cs="Times New Roman" w:eastAsiaTheme="minorEastAsia"/>
          <w:b w:val="0"/>
          <w:bCs w:val="0"/>
          <w:sz w:val="22"/>
          <w:szCs w:val="22"/>
          <w:lang w:eastAsia="zh-CN"/>
        </w:rPr>
      </w:pPr>
    </w:p>
    <w:p>
      <w:pPr>
        <w:jc w:val="both"/>
        <w:rPr>
          <w:rFonts w:hint="default" w:ascii="Times New Roman" w:hAnsi="Times New Roman" w:cs="Times New Roman" w:eastAsiaTheme="minorEastAsia"/>
          <w:b w:val="0"/>
          <w:bCs w:val="0"/>
          <w:sz w:val="22"/>
          <w:szCs w:val="22"/>
          <w:lang w:eastAsia="zh-CN"/>
        </w:rPr>
      </w:pPr>
    </w:p>
    <w:p>
      <w:pPr>
        <w:jc w:val="both"/>
        <w:rPr>
          <w:rFonts w:hint="default" w:ascii="Times New Roman" w:hAnsi="Times New Roman" w:cs="Times New Roman" w:eastAsiaTheme="minorEastAsia"/>
          <w:b w:val="0"/>
          <w:bCs w:val="0"/>
          <w:sz w:val="22"/>
          <w:szCs w:val="22"/>
          <w:lang w:eastAsia="zh-CN"/>
        </w:rPr>
      </w:pPr>
    </w:p>
    <w:p>
      <w:pPr>
        <w:jc w:val="both"/>
        <w:rPr>
          <w:rFonts w:hint="default" w:ascii="Times New Roman" w:hAnsi="Times New Roman" w:cs="Times New Roman" w:eastAsiaTheme="minorEastAsia"/>
          <w:b w:val="0"/>
          <w:bCs w:val="0"/>
          <w:sz w:val="22"/>
          <w:szCs w:val="22"/>
          <w:lang w:eastAsia="zh-CN"/>
        </w:rPr>
      </w:pPr>
      <w:r>
        <w:rPr>
          <w:rFonts w:hint="default" w:ascii="Times New Roman" w:hAnsi="Times New Roman" w:cs="Times New Roman" w:eastAsiaTheme="minorEastAsia"/>
          <w:b w:val="0"/>
          <w:bCs w:val="0"/>
          <w:sz w:val="22"/>
          <w:szCs w:val="22"/>
          <w:lang w:eastAsia="zh-CN"/>
        </w:rPr>
        <w:drawing>
          <wp:inline distT="0" distB="0" distL="114300" distR="114300">
            <wp:extent cx="5266690" cy="2633345"/>
            <wp:effectExtent l="0" t="0" r="10160" b="14605"/>
            <wp:docPr id="1" name="图片 1" descr="Supplementary Figure 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Supplementary Figure S3"/>
                    <pic:cNvPicPr>
                      <a:picLocks noChangeAspect="1"/>
                    </pic:cNvPicPr>
                  </pic:nvPicPr>
                  <pic:blipFill>
                    <a:blip r:embed="rId6"/>
                    <a:stretch>
                      <a:fillRect/>
                    </a:stretch>
                  </pic:blipFill>
                  <pic:spPr>
                    <a:xfrm>
                      <a:off x="0" y="0"/>
                      <a:ext cx="5266690" cy="2633345"/>
                    </a:xfrm>
                    <a:prstGeom prst="rect">
                      <a:avLst/>
                    </a:prstGeom>
                  </pic:spPr>
                </pic:pic>
              </a:graphicData>
            </a:graphic>
          </wp:inline>
        </w:drawing>
      </w:r>
    </w:p>
    <w:p>
      <w:pPr>
        <w:jc w:val="both"/>
        <w:rPr>
          <w:rFonts w:hint="eastAsia" w:ascii="Times New Roman" w:hAnsi="Times New Roman" w:cs="Times New Roman"/>
          <w:b w:val="0"/>
          <w:bCs w:val="0"/>
          <w:sz w:val="22"/>
          <w:szCs w:val="22"/>
          <w:lang w:val="en-US" w:eastAsia="zh-CN"/>
        </w:rPr>
      </w:pPr>
      <w:r>
        <w:rPr>
          <w:rFonts w:hint="default" w:ascii="Times New Roman" w:hAnsi="Times New Roman" w:cs="Times New Roman" w:eastAsiaTheme="minorEastAsia"/>
          <w:b/>
          <w:bCs/>
          <w:sz w:val="22"/>
          <w:szCs w:val="22"/>
          <w:lang w:eastAsia="zh-CN"/>
        </w:rPr>
        <w:t>Fig. S</w:t>
      </w:r>
      <w:r>
        <w:rPr>
          <w:rFonts w:hint="eastAsia" w:ascii="Times New Roman" w:hAnsi="Times New Roman" w:cs="Times New Roman"/>
          <w:b/>
          <w:bCs/>
          <w:sz w:val="22"/>
          <w:szCs w:val="22"/>
          <w:lang w:val="en-US" w:eastAsia="zh-CN"/>
        </w:rPr>
        <w:t>3</w:t>
      </w:r>
      <w:r>
        <w:rPr>
          <w:rFonts w:hint="default" w:ascii="Times New Roman" w:hAnsi="Times New Roman" w:cs="Times New Roman" w:eastAsiaTheme="minorEastAsia"/>
          <w:b/>
          <w:bCs/>
          <w:sz w:val="22"/>
          <w:szCs w:val="22"/>
          <w:lang w:eastAsia="zh-CN"/>
        </w:rPr>
        <w:t xml:space="preserve">. </w:t>
      </w:r>
      <w:r>
        <w:rPr>
          <w:rFonts w:hint="eastAsia" w:ascii="Times New Roman" w:hAnsi="Times New Roman" w:cs="Times New Roman"/>
          <w:b w:val="0"/>
          <w:bCs w:val="0"/>
          <w:sz w:val="22"/>
          <w:szCs w:val="22"/>
          <w:lang w:val="en-US" w:eastAsia="zh-CN"/>
        </w:rPr>
        <w:t xml:space="preserve">Kaplan-Meier curve analysis describes the cumulative incidence of CVD in CTI quartile (presence/absence of hypertension). </w:t>
      </w:r>
    </w:p>
    <w:p>
      <w:pPr>
        <w:jc w:val="both"/>
        <w:rPr>
          <w:rFonts w:hint="eastAsia" w:ascii="Times New Roman" w:hAnsi="Times New Roman" w:cs="Times New Roman"/>
          <w:b w:val="0"/>
          <w:bCs w:val="0"/>
          <w:sz w:val="22"/>
          <w:szCs w:val="22"/>
          <w:lang w:val="en-US" w:eastAsia="zh-CN"/>
        </w:rPr>
      </w:pPr>
    </w:p>
    <w:p>
      <w:pPr>
        <w:jc w:val="both"/>
        <w:rPr>
          <w:rFonts w:hint="eastAsia" w:ascii="Times New Roman" w:hAnsi="Times New Roman" w:cs="Times New Roman"/>
          <w:b w:val="0"/>
          <w:bCs w:val="0"/>
          <w:sz w:val="22"/>
          <w:szCs w:val="22"/>
          <w:lang w:val="en-US" w:eastAsia="zh-CN"/>
        </w:rPr>
      </w:pPr>
    </w:p>
    <w:p>
      <w:pPr>
        <w:jc w:val="both"/>
        <w:rPr>
          <w:rFonts w:hint="eastAsia" w:ascii="Times New Roman" w:hAnsi="Times New Roman" w:cs="Times New Roman"/>
          <w:b w:val="0"/>
          <w:bCs w:val="0"/>
          <w:sz w:val="22"/>
          <w:szCs w:val="22"/>
          <w:lang w:val="en-US" w:eastAsia="zh-CN"/>
        </w:rPr>
      </w:pPr>
    </w:p>
    <w:p>
      <w:pPr>
        <w:jc w:val="both"/>
        <w:rPr>
          <w:rFonts w:hint="eastAsia" w:ascii="Times New Roman" w:hAnsi="Times New Roman" w:cs="Times New Roman"/>
          <w:b w:val="0"/>
          <w:bCs w:val="0"/>
          <w:sz w:val="22"/>
          <w:szCs w:val="22"/>
          <w:lang w:val="en-US" w:eastAsia="zh-CN"/>
        </w:rPr>
      </w:pPr>
    </w:p>
    <w:p>
      <w:pPr>
        <w:jc w:val="both"/>
        <w:rPr>
          <w:rFonts w:hint="eastAsia" w:ascii="Times New Roman" w:hAnsi="Times New Roman" w:cs="Times New Roman"/>
          <w:b w:val="0"/>
          <w:bCs w:val="0"/>
          <w:sz w:val="22"/>
          <w:szCs w:val="22"/>
          <w:lang w:val="en-US" w:eastAsia="zh-CN"/>
        </w:rPr>
      </w:pPr>
    </w:p>
    <w:p>
      <w:pPr>
        <w:jc w:val="both"/>
        <w:rPr>
          <w:rFonts w:hint="eastAsia" w:ascii="Times New Roman" w:hAnsi="Times New Roman" w:cs="Times New Roman"/>
          <w:b w:val="0"/>
          <w:bCs w:val="0"/>
          <w:sz w:val="22"/>
          <w:szCs w:val="22"/>
          <w:lang w:val="en-US" w:eastAsia="zh-CN"/>
        </w:rPr>
      </w:pPr>
    </w:p>
    <w:p>
      <w:pPr>
        <w:jc w:val="both"/>
        <w:rPr>
          <w:rFonts w:hint="eastAsia" w:ascii="Times New Roman" w:hAnsi="Times New Roman" w:cs="Times New Roman"/>
          <w:b w:val="0"/>
          <w:bCs w:val="0"/>
          <w:sz w:val="22"/>
          <w:szCs w:val="22"/>
          <w:lang w:val="en-US" w:eastAsia="zh-CN"/>
        </w:rPr>
      </w:pPr>
    </w:p>
    <w:p>
      <w:pPr>
        <w:jc w:val="both"/>
        <w:rPr>
          <w:rFonts w:hint="eastAsia" w:ascii="Times New Roman" w:hAnsi="Times New Roman" w:cs="Times New Roman"/>
          <w:b w:val="0"/>
          <w:bCs w:val="0"/>
          <w:sz w:val="22"/>
          <w:szCs w:val="22"/>
          <w:lang w:val="en-US" w:eastAsia="zh-CN"/>
        </w:rPr>
      </w:pPr>
    </w:p>
    <w:p>
      <w:pPr>
        <w:jc w:val="both"/>
        <w:rPr>
          <w:rFonts w:hint="eastAsia" w:ascii="Times New Roman" w:hAnsi="Times New Roman" w:cs="Times New Roman"/>
          <w:b w:val="0"/>
          <w:bCs w:val="0"/>
          <w:sz w:val="22"/>
          <w:szCs w:val="22"/>
          <w:lang w:val="en-US" w:eastAsia="zh-CN"/>
        </w:rPr>
      </w:pPr>
    </w:p>
    <w:p>
      <w:pPr>
        <w:jc w:val="both"/>
        <w:rPr>
          <w:rFonts w:hint="eastAsia" w:ascii="Times New Roman" w:hAnsi="Times New Roman" w:cs="Times New Roman"/>
          <w:b w:val="0"/>
          <w:bCs w:val="0"/>
          <w:sz w:val="22"/>
          <w:szCs w:val="22"/>
          <w:lang w:val="en-US" w:eastAsia="zh-CN"/>
        </w:rPr>
      </w:pPr>
    </w:p>
    <w:p>
      <w:pPr>
        <w:jc w:val="both"/>
        <w:rPr>
          <w:rFonts w:hint="eastAsia" w:ascii="Times New Roman" w:hAnsi="Times New Roman" w:cs="Times New Roman"/>
          <w:b w:val="0"/>
          <w:bCs w:val="0"/>
          <w:sz w:val="22"/>
          <w:szCs w:val="22"/>
          <w:lang w:val="en-US" w:eastAsia="zh-CN"/>
        </w:rPr>
      </w:pPr>
    </w:p>
    <w:p>
      <w:pPr>
        <w:jc w:val="both"/>
        <w:rPr>
          <w:rFonts w:hint="eastAsia" w:ascii="Times New Roman" w:hAnsi="Times New Roman" w:cs="Times New Roman"/>
          <w:b w:val="0"/>
          <w:bCs w:val="0"/>
          <w:sz w:val="22"/>
          <w:szCs w:val="22"/>
          <w:lang w:val="en-US" w:eastAsia="zh-CN"/>
        </w:rPr>
      </w:pPr>
    </w:p>
    <w:p>
      <w:pPr>
        <w:jc w:val="both"/>
        <w:rPr>
          <w:rFonts w:hint="eastAsia" w:ascii="Times New Roman" w:hAnsi="Times New Roman" w:cs="Times New Roman"/>
          <w:b w:val="0"/>
          <w:bCs w:val="0"/>
          <w:sz w:val="22"/>
          <w:szCs w:val="22"/>
          <w:lang w:val="en-US" w:eastAsia="zh-CN"/>
        </w:rPr>
      </w:pPr>
    </w:p>
    <w:p>
      <w:pPr>
        <w:jc w:val="both"/>
        <w:rPr>
          <w:rFonts w:hint="eastAsia" w:ascii="Times New Roman" w:hAnsi="Times New Roman" w:cs="Times New Roman"/>
          <w:b w:val="0"/>
          <w:bCs w:val="0"/>
          <w:sz w:val="22"/>
          <w:szCs w:val="22"/>
          <w:lang w:val="en-US" w:eastAsia="zh-CN"/>
        </w:rPr>
      </w:pPr>
    </w:p>
    <w:p>
      <w:pPr>
        <w:jc w:val="both"/>
        <w:rPr>
          <w:rFonts w:hint="eastAsia" w:ascii="Times New Roman" w:hAnsi="Times New Roman" w:cs="Times New Roman"/>
          <w:b w:val="0"/>
          <w:bCs w:val="0"/>
          <w:sz w:val="22"/>
          <w:szCs w:val="22"/>
          <w:lang w:val="en-US" w:eastAsia="zh-CN"/>
        </w:rPr>
      </w:pPr>
    </w:p>
    <w:p>
      <w:pPr>
        <w:jc w:val="both"/>
        <w:rPr>
          <w:rFonts w:hint="eastAsia" w:ascii="Times New Roman" w:hAnsi="Times New Roman" w:cs="Times New Roman"/>
          <w:b w:val="0"/>
          <w:bCs w:val="0"/>
          <w:sz w:val="22"/>
          <w:szCs w:val="22"/>
          <w:lang w:val="en-US" w:eastAsia="zh-CN"/>
        </w:rPr>
      </w:pPr>
    </w:p>
    <w:p>
      <w:pPr>
        <w:jc w:val="both"/>
        <w:rPr>
          <w:rFonts w:hint="eastAsia" w:ascii="Times New Roman" w:hAnsi="Times New Roman" w:cs="Times New Roman"/>
          <w:b w:val="0"/>
          <w:bCs w:val="0"/>
          <w:sz w:val="22"/>
          <w:szCs w:val="22"/>
          <w:lang w:val="en-US" w:eastAsia="zh-CN"/>
        </w:rPr>
      </w:pPr>
    </w:p>
    <w:p>
      <w:pPr>
        <w:jc w:val="both"/>
        <w:rPr>
          <w:rFonts w:hint="eastAsia" w:ascii="Times New Roman" w:hAnsi="Times New Roman" w:cs="Times New Roman"/>
          <w:b w:val="0"/>
          <w:bCs w:val="0"/>
          <w:sz w:val="22"/>
          <w:szCs w:val="22"/>
          <w:lang w:val="en-US" w:eastAsia="zh-CN"/>
        </w:rPr>
      </w:pPr>
    </w:p>
    <w:p>
      <w:pPr>
        <w:jc w:val="both"/>
        <w:rPr>
          <w:rFonts w:hint="eastAsia" w:ascii="Times New Roman" w:hAnsi="Times New Roman" w:cs="Times New Roman"/>
          <w:b w:val="0"/>
          <w:bCs w:val="0"/>
          <w:sz w:val="22"/>
          <w:szCs w:val="22"/>
          <w:lang w:val="en-US" w:eastAsia="zh-CN"/>
        </w:rPr>
      </w:pPr>
    </w:p>
    <w:p>
      <w:pPr>
        <w:jc w:val="both"/>
        <w:rPr>
          <w:rFonts w:hint="eastAsia" w:ascii="Times New Roman" w:hAnsi="Times New Roman" w:cs="Times New Roman"/>
          <w:b w:val="0"/>
          <w:bCs w:val="0"/>
          <w:sz w:val="22"/>
          <w:szCs w:val="22"/>
          <w:lang w:val="en-US" w:eastAsia="zh-CN"/>
        </w:rPr>
      </w:pPr>
    </w:p>
    <w:p>
      <w:pPr>
        <w:jc w:val="both"/>
        <w:rPr>
          <w:rFonts w:hint="eastAsia" w:ascii="Times New Roman" w:hAnsi="Times New Roman" w:cs="Times New Roman"/>
          <w:b w:val="0"/>
          <w:bCs w:val="0"/>
          <w:sz w:val="22"/>
          <w:szCs w:val="22"/>
          <w:lang w:val="en-US" w:eastAsia="zh-CN"/>
        </w:rPr>
      </w:pPr>
    </w:p>
    <w:p>
      <w:pPr>
        <w:jc w:val="both"/>
        <w:rPr>
          <w:rFonts w:hint="eastAsia" w:ascii="Times New Roman" w:hAnsi="Times New Roman" w:cs="Times New Roman"/>
          <w:b w:val="0"/>
          <w:bCs w:val="0"/>
          <w:sz w:val="22"/>
          <w:szCs w:val="22"/>
          <w:lang w:val="en-US" w:eastAsia="zh-CN"/>
        </w:rPr>
      </w:pPr>
    </w:p>
    <w:p>
      <w:pPr>
        <w:jc w:val="both"/>
        <w:rPr>
          <w:rFonts w:hint="eastAsia" w:ascii="Times New Roman" w:hAnsi="Times New Roman" w:cs="Times New Roman"/>
          <w:b w:val="0"/>
          <w:bCs w:val="0"/>
          <w:sz w:val="22"/>
          <w:szCs w:val="22"/>
          <w:lang w:val="en-US" w:eastAsia="zh-CN"/>
        </w:rPr>
      </w:pPr>
    </w:p>
    <w:p>
      <w:pPr>
        <w:jc w:val="both"/>
        <w:rPr>
          <w:rFonts w:hint="eastAsia" w:ascii="Times New Roman" w:hAnsi="Times New Roman" w:cs="Times New Roman"/>
          <w:b w:val="0"/>
          <w:bCs w:val="0"/>
          <w:sz w:val="22"/>
          <w:szCs w:val="22"/>
          <w:lang w:val="en-US" w:eastAsia="zh-CN"/>
        </w:rPr>
      </w:pPr>
    </w:p>
    <w:p>
      <w:pPr>
        <w:jc w:val="center"/>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drawing>
          <wp:inline distT="0" distB="0" distL="114300" distR="114300">
            <wp:extent cx="5266690" cy="2633345"/>
            <wp:effectExtent l="0" t="0" r="10160" b="14605"/>
            <wp:docPr id="4" name="图片 4" descr="Supplementary Figure 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Supplementary Figure S4"/>
                    <pic:cNvPicPr>
                      <a:picLocks noChangeAspect="1"/>
                    </pic:cNvPicPr>
                  </pic:nvPicPr>
                  <pic:blipFill>
                    <a:blip r:embed="rId7"/>
                    <a:stretch>
                      <a:fillRect/>
                    </a:stretch>
                  </pic:blipFill>
                  <pic:spPr>
                    <a:xfrm>
                      <a:off x="0" y="0"/>
                      <a:ext cx="5266690" cy="2633345"/>
                    </a:xfrm>
                    <a:prstGeom prst="rect">
                      <a:avLst/>
                    </a:prstGeom>
                  </pic:spPr>
                </pic:pic>
              </a:graphicData>
            </a:graphic>
          </wp:inline>
        </w:drawing>
      </w:r>
    </w:p>
    <w:p>
      <w:pPr>
        <w:jc w:val="both"/>
        <w:rPr>
          <w:rFonts w:hint="default" w:ascii="Times New Roman" w:hAnsi="Times New Roman" w:cs="Times New Roman"/>
          <w:b w:val="0"/>
          <w:bCs w:val="0"/>
          <w:sz w:val="22"/>
          <w:szCs w:val="22"/>
          <w:lang w:val="en-US" w:eastAsia="zh-CN"/>
        </w:rPr>
      </w:pPr>
      <w:r>
        <w:rPr>
          <w:rFonts w:hint="default" w:ascii="Times New Roman" w:hAnsi="Times New Roman" w:cs="Times New Roman"/>
          <w:b/>
          <w:bCs/>
          <w:sz w:val="22"/>
          <w:szCs w:val="22"/>
          <w:lang w:val="en-US" w:eastAsia="zh-CN"/>
        </w:rPr>
        <w:t>Fig. S</w:t>
      </w:r>
      <w:r>
        <w:rPr>
          <w:rFonts w:hint="eastAsia" w:ascii="Times New Roman" w:hAnsi="Times New Roman" w:cs="Times New Roman"/>
          <w:b/>
          <w:bCs/>
          <w:sz w:val="22"/>
          <w:szCs w:val="22"/>
          <w:lang w:val="en-US" w:eastAsia="zh-CN"/>
        </w:rPr>
        <w:t>4</w:t>
      </w:r>
      <w:r>
        <w:rPr>
          <w:rFonts w:hint="default" w:ascii="Times New Roman" w:hAnsi="Times New Roman" w:cs="Times New Roman"/>
          <w:b/>
          <w:bCs/>
          <w:sz w:val="22"/>
          <w:szCs w:val="22"/>
          <w:lang w:val="en-US" w:eastAsia="zh-CN"/>
        </w:rPr>
        <w:t>.</w:t>
      </w:r>
      <w:r>
        <w:rPr>
          <w:rFonts w:hint="default" w:ascii="Times New Roman" w:hAnsi="Times New Roman" w:cs="Times New Roman"/>
          <w:b w:val="0"/>
          <w:bCs w:val="0"/>
          <w:sz w:val="22"/>
          <w:szCs w:val="22"/>
          <w:lang w:val="en-US" w:eastAsia="zh-CN"/>
        </w:rPr>
        <w:t xml:space="preserve"> Kaplan-Meier curve analysis describes the cumulative incidence of CVD in CTI quartile (presence/absence of </w:t>
      </w:r>
      <w:r>
        <w:rPr>
          <w:rFonts w:hint="eastAsia" w:ascii="Times New Roman" w:hAnsi="Times New Roman" w:cs="Times New Roman"/>
          <w:b w:val="0"/>
          <w:bCs w:val="0"/>
          <w:sz w:val="22"/>
          <w:szCs w:val="22"/>
          <w:lang w:val="en-US" w:eastAsia="zh-CN"/>
        </w:rPr>
        <w:t>diabetes</w:t>
      </w:r>
      <w:r>
        <w:rPr>
          <w:rFonts w:hint="default" w:ascii="Times New Roman" w:hAnsi="Times New Roman" w:cs="Times New Roman"/>
          <w:b w:val="0"/>
          <w:bCs w:val="0"/>
          <w:sz w:val="22"/>
          <w:szCs w:val="22"/>
          <w:lang w:val="en-US" w:eastAsia="zh-CN"/>
        </w:rPr>
        <w:t>).</w:t>
      </w:r>
      <w:r>
        <w:rPr>
          <w:rFonts w:hint="eastAsia" w:ascii="Times New Roman" w:hAnsi="Times New Roman" w:cs="Times New Roman"/>
          <w:b w:val="0"/>
          <w:bCs w:val="0"/>
          <w:sz w:val="22"/>
          <w:szCs w:val="22"/>
          <w:lang w:val="en-US" w:eastAsia="zh-CN"/>
        </w:rPr>
        <w:t xml:space="preserve"> </w:t>
      </w: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drawing>
          <wp:inline distT="0" distB="0" distL="114300" distR="114300">
            <wp:extent cx="5266690" cy="2633345"/>
            <wp:effectExtent l="0" t="0" r="10160" b="14605"/>
            <wp:docPr id="5" name="图片 5" descr="Supplementary Figure 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Supplementary Figure S5"/>
                    <pic:cNvPicPr>
                      <a:picLocks noChangeAspect="1"/>
                    </pic:cNvPicPr>
                  </pic:nvPicPr>
                  <pic:blipFill>
                    <a:blip r:embed="rId8"/>
                    <a:stretch>
                      <a:fillRect/>
                    </a:stretch>
                  </pic:blipFill>
                  <pic:spPr>
                    <a:xfrm>
                      <a:off x="0" y="0"/>
                      <a:ext cx="5266690" cy="2633345"/>
                    </a:xfrm>
                    <a:prstGeom prst="rect">
                      <a:avLst/>
                    </a:prstGeom>
                  </pic:spPr>
                </pic:pic>
              </a:graphicData>
            </a:graphic>
          </wp:inline>
        </w:drawing>
      </w:r>
    </w:p>
    <w:p>
      <w:pPr>
        <w:jc w:val="both"/>
        <w:rPr>
          <w:rFonts w:hint="default" w:ascii="Times New Roman" w:hAnsi="Times New Roman" w:cs="Times New Roman"/>
          <w:b w:val="0"/>
          <w:bCs w:val="0"/>
          <w:sz w:val="22"/>
          <w:szCs w:val="22"/>
          <w:lang w:val="en-US" w:eastAsia="zh-CN"/>
        </w:rPr>
      </w:pPr>
      <w:r>
        <w:rPr>
          <w:rFonts w:hint="default" w:ascii="Times New Roman" w:hAnsi="Times New Roman" w:cs="Times New Roman"/>
          <w:b/>
          <w:bCs/>
          <w:sz w:val="22"/>
          <w:szCs w:val="22"/>
          <w:lang w:val="en-US" w:eastAsia="zh-CN"/>
        </w:rPr>
        <w:t>Fig. S</w:t>
      </w:r>
      <w:r>
        <w:rPr>
          <w:rFonts w:hint="eastAsia" w:ascii="Times New Roman" w:hAnsi="Times New Roman" w:cs="Times New Roman"/>
          <w:b/>
          <w:bCs/>
          <w:sz w:val="22"/>
          <w:szCs w:val="22"/>
          <w:lang w:val="en-US" w:eastAsia="zh-CN"/>
        </w:rPr>
        <w:t>5</w:t>
      </w:r>
      <w:r>
        <w:rPr>
          <w:rFonts w:hint="default" w:ascii="Times New Roman" w:hAnsi="Times New Roman" w:cs="Times New Roman"/>
          <w:b/>
          <w:bCs/>
          <w:sz w:val="22"/>
          <w:szCs w:val="22"/>
          <w:lang w:val="en-US" w:eastAsia="zh-CN"/>
        </w:rPr>
        <w:t>.</w:t>
      </w:r>
      <w:r>
        <w:rPr>
          <w:rFonts w:hint="default" w:ascii="Times New Roman" w:hAnsi="Times New Roman" w:cs="Times New Roman"/>
          <w:b w:val="0"/>
          <w:bCs w:val="0"/>
          <w:sz w:val="22"/>
          <w:szCs w:val="22"/>
          <w:lang w:val="en-US" w:eastAsia="zh-CN"/>
        </w:rPr>
        <w:t xml:space="preserve"> Kaplan-Meier curve analysis describes the cumulative incidence of CVD in CTI quartile (presence/absence of </w:t>
      </w:r>
      <w:r>
        <w:rPr>
          <w:rFonts w:hint="eastAsia" w:ascii="Times New Roman" w:hAnsi="Times New Roman" w:cs="Times New Roman"/>
          <w:b w:val="0"/>
          <w:bCs w:val="0"/>
          <w:sz w:val="22"/>
          <w:szCs w:val="22"/>
          <w:lang w:val="en-US" w:eastAsia="zh-CN"/>
        </w:rPr>
        <w:t>dyslipidemia</w:t>
      </w:r>
      <w:r>
        <w:rPr>
          <w:rFonts w:hint="default" w:ascii="Times New Roman" w:hAnsi="Times New Roman" w:cs="Times New Roman"/>
          <w:b w:val="0"/>
          <w:bCs w:val="0"/>
          <w:sz w:val="22"/>
          <w:szCs w:val="22"/>
          <w:lang w:val="en-US" w:eastAsia="zh-CN"/>
        </w:rPr>
        <w:t>).</w:t>
      </w:r>
      <w:r>
        <w:rPr>
          <w:rFonts w:hint="eastAsia" w:ascii="Times New Roman" w:hAnsi="Times New Roman" w:cs="Times New Roman"/>
          <w:b w:val="0"/>
          <w:bCs w:val="0"/>
          <w:sz w:val="22"/>
          <w:szCs w:val="22"/>
          <w:lang w:val="en-US" w:eastAsia="zh-CN"/>
        </w:rPr>
        <w:t xml:space="preserve"> </w:t>
      </w: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drawing>
          <wp:inline distT="0" distB="0" distL="114300" distR="114300">
            <wp:extent cx="5266690" cy="2633345"/>
            <wp:effectExtent l="0" t="0" r="10160" b="14605"/>
            <wp:docPr id="6" name="图片 6" descr="Supplementary Figure S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Supplementary Figure S6"/>
                    <pic:cNvPicPr>
                      <a:picLocks noChangeAspect="1"/>
                    </pic:cNvPicPr>
                  </pic:nvPicPr>
                  <pic:blipFill>
                    <a:blip r:embed="rId9"/>
                    <a:stretch>
                      <a:fillRect/>
                    </a:stretch>
                  </pic:blipFill>
                  <pic:spPr>
                    <a:xfrm>
                      <a:off x="0" y="0"/>
                      <a:ext cx="5266690" cy="2633345"/>
                    </a:xfrm>
                    <a:prstGeom prst="rect">
                      <a:avLst/>
                    </a:prstGeom>
                  </pic:spPr>
                </pic:pic>
              </a:graphicData>
            </a:graphic>
          </wp:inline>
        </w:drawing>
      </w:r>
    </w:p>
    <w:p>
      <w:pPr>
        <w:jc w:val="both"/>
        <w:rPr>
          <w:rFonts w:hint="default" w:ascii="Times New Roman" w:hAnsi="Times New Roman" w:cs="Times New Roman"/>
          <w:b w:val="0"/>
          <w:bCs w:val="0"/>
          <w:sz w:val="22"/>
          <w:szCs w:val="22"/>
          <w:lang w:val="en-US" w:eastAsia="zh-CN"/>
        </w:rPr>
      </w:pPr>
      <w:r>
        <w:rPr>
          <w:rFonts w:hint="default" w:ascii="Times New Roman" w:hAnsi="Times New Roman" w:cs="Times New Roman"/>
          <w:b/>
          <w:bCs/>
          <w:sz w:val="22"/>
          <w:szCs w:val="22"/>
          <w:lang w:val="en-US" w:eastAsia="zh-CN"/>
        </w:rPr>
        <w:t>Fig. S</w:t>
      </w:r>
      <w:r>
        <w:rPr>
          <w:rFonts w:hint="eastAsia" w:ascii="Times New Roman" w:hAnsi="Times New Roman" w:cs="Times New Roman"/>
          <w:b/>
          <w:bCs/>
          <w:sz w:val="22"/>
          <w:szCs w:val="22"/>
          <w:lang w:val="en-US" w:eastAsia="zh-CN"/>
        </w:rPr>
        <w:t>6</w:t>
      </w:r>
      <w:r>
        <w:rPr>
          <w:rFonts w:hint="default" w:ascii="Times New Roman" w:hAnsi="Times New Roman" w:cs="Times New Roman"/>
          <w:b/>
          <w:bCs/>
          <w:sz w:val="22"/>
          <w:szCs w:val="22"/>
          <w:lang w:val="en-US" w:eastAsia="zh-CN"/>
        </w:rPr>
        <w:t>.</w:t>
      </w:r>
      <w:r>
        <w:rPr>
          <w:rFonts w:hint="default" w:ascii="Times New Roman" w:hAnsi="Times New Roman" w:cs="Times New Roman"/>
          <w:b w:val="0"/>
          <w:bCs w:val="0"/>
          <w:sz w:val="22"/>
          <w:szCs w:val="22"/>
          <w:lang w:val="en-US" w:eastAsia="zh-CN"/>
        </w:rPr>
        <w:t xml:space="preserve"> Kaplan-Meier curve analysis describes the cumulative incidence of CVD in CTI quartile (presence/absence of </w:t>
      </w:r>
      <w:r>
        <w:rPr>
          <w:rFonts w:hint="eastAsia" w:ascii="Times New Roman" w:hAnsi="Times New Roman" w:cs="Times New Roman"/>
          <w:b w:val="0"/>
          <w:bCs w:val="0"/>
          <w:sz w:val="22"/>
          <w:szCs w:val="22"/>
          <w:lang w:val="en-US" w:eastAsia="zh-CN"/>
        </w:rPr>
        <w:t>liver disease</w:t>
      </w:r>
      <w:r>
        <w:rPr>
          <w:rFonts w:hint="default" w:ascii="Times New Roman" w:hAnsi="Times New Roman" w:cs="Times New Roman"/>
          <w:b w:val="0"/>
          <w:bCs w:val="0"/>
          <w:sz w:val="22"/>
          <w:szCs w:val="22"/>
          <w:lang w:val="en-US" w:eastAsia="zh-CN"/>
        </w:rPr>
        <w:t>).</w:t>
      </w:r>
      <w:r>
        <w:rPr>
          <w:rFonts w:hint="eastAsia" w:ascii="Times New Roman" w:hAnsi="Times New Roman" w:cs="Times New Roman"/>
          <w:b w:val="0"/>
          <w:bCs w:val="0"/>
          <w:sz w:val="22"/>
          <w:szCs w:val="22"/>
          <w:lang w:val="en-US" w:eastAsia="zh-CN"/>
        </w:rPr>
        <w:t xml:space="preserve"> </w:t>
      </w: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br w:type="page"/>
      </w:r>
    </w:p>
    <w:p>
      <w:pPr>
        <w:jc w:val="both"/>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drawing>
          <wp:inline distT="0" distB="0" distL="114300" distR="114300">
            <wp:extent cx="5266690" cy="2633345"/>
            <wp:effectExtent l="0" t="0" r="10160" b="14605"/>
            <wp:docPr id="7" name="图片 7" descr="Supplementary Figure S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Supplementary Figure S7"/>
                    <pic:cNvPicPr>
                      <a:picLocks noChangeAspect="1"/>
                    </pic:cNvPicPr>
                  </pic:nvPicPr>
                  <pic:blipFill>
                    <a:blip r:embed="rId10"/>
                    <a:stretch>
                      <a:fillRect/>
                    </a:stretch>
                  </pic:blipFill>
                  <pic:spPr>
                    <a:xfrm>
                      <a:off x="0" y="0"/>
                      <a:ext cx="5266690" cy="2633345"/>
                    </a:xfrm>
                    <a:prstGeom prst="rect">
                      <a:avLst/>
                    </a:prstGeom>
                  </pic:spPr>
                </pic:pic>
              </a:graphicData>
            </a:graphic>
          </wp:inline>
        </w:drawing>
      </w:r>
    </w:p>
    <w:p>
      <w:pPr>
        <w:jc w:val="both"/>
        <w:rPr>
          <w:rFonts w:hint="default" w:ascii="Times New Roman" w:hAnsi="Times New Roman" w:cs="Times New Roman"/>
          <w:b w:val="0"/>
          <w:bCs w:val="0"/>
          <w:sz w:val="22"/>
          <w:szCs w:val="22"/>
          <w:lang w:val="en-US" w:eastAsia="zh-CN"/>
        </w:rPr>
      </w:pPr>
      <w:r>
        <w:rPr>
          <w:rFonts w:hint="default" w:ascii="Times New Roman" w:hAnsi="Times New Roman" w:cs="Times New Roman"/>
          <w:b/>
          <w:bCs/>
          <w:sz w:val="22"/>
          <w:szCs w:val="22"/>
          <w:lang w:val="en-US" w:eastAsia="zh-CN"/>
        </w:rPr>
        <w:t>Fig. S</w:t>
      </w:r>
      <w:r>
        <w:rPr>
          <w:rFonts w:hint="eastAsia" w:ascii="Times New Roman" w:hAnsi="Times New Roman" w:cs="Times New Roman"/>
          <w:b/>
          <w:bCs/>
          <w:sz w:val="22"/>
          <w:szCs w:val="22"/>
          <w:lang w:val="en-US" w:eastAsia="zh-CN"/>
        </w:rPr>
        <w:t>7</w:t>
      </w:r>
      <w:r>
        <w:rPr>
          <w:rFonts w:hint="default" w:ascii="Times New Roman" w:hAnsi="Times New Roman" w:cs="Times New Roman"/>
          <w:b/>
          <w:bCs/>
          <w:sz w:val="22"/>
          <w:szCs w:val="22"/>
          <w:lang w:val="en-US" w:eastAsia="zh-CN"/>
        </w:rPr>
        <w:t>.</w:t>
      </w:r>
      <w:r>
        <w:rPr>
          <w:rFonts w:hint="default" w:ascii="Times New Roman" w:hAnsi="Times New Roman" w:cs="Times New Roman"/>
          <w:b w:val="0"/>
          <w:bCs w:val="0"/>
          <w:sz w:val="22"/>
          <w:szCs w:val="22"/>
          <w:lang w:val="en-US" w:eastAsia="zh-CN"/>
        </w:rPr>
        <w:t xml:space="preserve"> Kaplan-Meier curve analysis describes the cumulative incidence of CVD in CTI quartile (presence/absence of</w:t>
      </w:r>
      <w:r>
        <w:rPr>
          <w:rFonts w:hint="eastAsia" w:ascii="Times New Roman" w:hAnsi="Times New Roman" w:cs="Times New Roman"/>
          <w:b w:val="0"/>
          <w:bCs w:val="0"/>
          <w:sz w:val="22"/>
          <w:szCs w:val="22"/>
          <w:lang w:val="en-US" w:eastAsia="zh-CN"/>
        </w:rPr>
        <w:t xml:space="preserve"> kidney disease</w:t>
      </w:r>
      <w:r>
        <w:rPr>
          <w:rFonts w:hint="default" w:ascii="Times New Roman" w:hAnsi="Times New Roman" w:cs="Times New Roman"/>
          <w:b w:val="0"/>
          <w:bCs w:val="0"/>
          <w:sz w:val="22"/>
          <w:szCs w:val="22"/>
          <w:lang w:val="en-US" w:eastAsia="zh-CN"/>
        </w:rPr>
        <w:t>).</w:t>
      </w:r>
      <w:r>
        <w:rPr>
          <w:rFonts w:hint="eastAsia" w:ascii="Times New Roman" w:hAnsi="Times New Roman" w:cs="Times New Roman"/>
          <w:b w:val="0"/>
          <w:bCs w:val="0"/>
          <w:sz w:val="22"/>
          <w:szCs w:val="22"/>
          <w:lang w:val="en-US" w:eastAsia="zh-CN"/>
        </w:rPr>
        <w:t xml:space="preserve"> </w:t>
      </w: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drawing>
          <wp:inline distT="0" distB="0" distL="114300" distR="114300">
            <wp:extent cx="5266690" cy="2633345"/>
            <wp:effectExtent l="0" t="0" r="10160" b="14605"/>
            <wp:docPr id="8" name="图片 8" descr="Supplementary Figure S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Supplementary Figure S8"/>
                    <pic:cNvPicPr>
                      <a:picLocks noChangeAspect="1"/>
                    </pic:cNvPicPr>
                  </pic:nvPicPr>
                  <pic:blipFill>
                    <a:blip r:embed="rId11"/>
                    <a:stretch>
                      <a:fillRect/>
                    </a:stretch>
                  </pic:blipFill>
                  <pic:spPr>
                    <a:xfrm>
                      <a:off x="0" y="0"/>
                      <a:ext cx="5266690" cy="2633345"/>
                    </a:xfrm>
                    <a:prstGeom prst="rect">
                      <a:avLst/>
                    </a:prstGeom>
                  </pic:spPr>
                </pic:pic>
              </a:graphicData>
            </a:graphic>
          </wp:inline>
        </w:drawing>
      </w:r>
    </w:p>
    <w:p>
      <w:pPr>
        <w:jc w:val="both"/>
        <w:rPr>
          <w:rFonts w:hint="default" w:ascii="Times New Roman" w:hAnsi="Times New Roman" w:cs="Times New Roman"/>
          <w:b w:val="0"/>
          <w:bCs w:val="0"/>
          <w:sz w:val="22"/>
          <w:szCs w:val="22"/>
          <w:lang w:val="en-US" w:eastAsia="zh-CN"/>
        </w:rPr>
      </w:pPr>
      <w:r>
        <w:rPr>
          <w:rFonts w:hint="default" w:ascii="Times New Roman" w:hAnsi="Times New Roman" w:cs="Times New Roman"/>
          <w:b/>
          <w:bCs/>
          <w:sz w:val="22"/>
          <w:szCs w:val="22"/>
          <w:lang w:val="en-US" w:eastAsia="zh-CN"/>
        </w:rPr>
        <w:t>Fig. S</w:t>
      </w:r>
      <w:r>
        <w:rPr>
          <w:rFonts w:hint="eastAsia" w:ascii="Times New Roman" w:hAnsi="Times New Roman" w:cs="Times New Roman"/>
          <w:b/>
          <w:bCs/>
          <w:sz w:val="22"/>
          <w:szCs w:val="22"/>
          <w:lang w:val="en-US" w:eastAsia="zh-CN"/>
        </w:rPr>
        <w:t>8</w:t>
      </w:r>
      <w:r>
        <w:rPr>
          <w:rFonts w:hint="default" w:ascii="Times New Roman" w:hAnsi="Times New Roman" w:cs="Times New Roman"/>
          <w:b/>
          <w:bCs/>
          <w:sz w:val="22"/>
          <w:szCs w:val="22"/>
          <w:lang w:val="en-US" w:eastAsia="zh-CN"/>
        </w:rPr>
        <w:t>.</w:t>
      </w:r>
      <w:r>
        <w:rPr>
          <w:rFonts w:hint="default" w:ascii="Times New Roman" w:hAnsi="Times New Roman" w:cs="Times New Roman"/>
          <w:b w:val="0"/>
          <w:bCs w:val="0"/>
          <w:sz w:val="22"/>
          <w:szCs w:val="22"/>
          <w:lang w:val="en-US" w:eastAsia="zh-CN"/>
        </w:rPr>
        <w:t xml:space="preserve"> Kaplan-Meier curve analysis describes the cumulative incidence of CVD in CTI quartile (presence/absence of</w:t>
      </w:r>
      <w:r>
        <w:rPr>
          <w:rFonts w:hint="eastAsia" w:ascii="Times New Roman" w:hAnsi="Times New Roman" w:cs="Times New Roman"/>
          <w:b w:val="0"/>
          <w:bCs w:val="0"/>
          <w:sz w:val="22"/>
          <w:szCs w:val="22"/>
          <w:lang w:val="en-US" w:eastAsia="zh-CN"/>
        </w:rPr>
        <w:t xml:space="preserve"> lung disease</w:t>
      </w:r>
      <w:r>
        <w:rPr>
          <w:rFonts w:hint="default" w:ascii="Times New Roman" w:hAnsi="Times New Roman" w:cs="Times New Roman"/>
          <w:b w:val="0"/>
          <w:bCs w:val="0"/>
          <w:sz w:val="22"/>
          <w:szCs w:val="22"/>
          <w:lang w:val="en-US" w:eastAsia="zh-CN"/>
        </w:rPr>
        <w:t>).</w:t>
      </w:r>
      <w:r>
        <w:rPr>
          <w:rFonts w:hint="eastAsia" w:ascii="Times New Roman" w:hAnsi="Times New Roman" w:cs="Times New Roman"/>
          <w:b w:val="0"/>
          <w:bCs w:val="0"/>
          <w:sz w:val="22"/>
          <w:szCs w:val="22"/>
          <w:lang w:val="en-US" w:eastAsia="zh-CN"/>
        </w:rPr>
        <w:t xml:space="preserve"> </w:t>
      </w: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drawing>
          <wp:inline distT="0" distB="0" distL="114300" distR="114300">
            <wp:extent cx="5266690" cy="2633345"/>
            <wp:effectExtent l="0" t="0" r="10160" b="14605"/>
            <wp:docPr id="9" name="图片 9" descr="Supplementary Figure S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Supplementary Figure S9"/>
                    <pic:cNvPicPr>
                      <a:picLocks noChangeAspect="1"/>
                    </pic:cNvPicPr>
                  </pic:nvPicPr>
                  <pic:blipFill>
                    <a:blip r:embed="rId12"/>
                    <a:stretch>
                      <a:fillRect/>
                    </a:stretch>
                  </pic:blipFill>
                  <pic:spPr>
                    <a:xfrm>
                      <a:off x="0" y="0"/>
                      <a:ext cx="5266690" cy="2633345"/>
                    </a:xfrm>
                    <a:prstGeom prst="rect">
                      <a:avLst/>
                    </a:prstGeom>
                  </pic:spPr>
                </pic:pic>
              </a:graphicData>
            </a:graphic>
          </wp:inline>
        </w:drawing>
      </w:r>
    </w:p>
    <w:p>
      <w:pPr>
        <w:jc w:val="both"/>
        <w:rPr>
          <w:rFonts w:hint="default" w:ascii="Times New Roman" w:hAnsi="Times New Roman" w:cs="Times New Roman"/>
          <w:b w:val="0"/>
          <w:bCs w:val="0"/>
          <w:sz w:val="22"/>
          <w:szCs w:val="22"/>
          <w:lang w:val="en-US" w:eastAsia="zh-CN"/>
        </w:rPr>
      </w:pPr>
      <w:r>
        <w:rPr>
          <w:rFonts w:hint="default" w:ascii="Times New Roman" w:hAnsi="Times New Roman" w:cs="Times New Roman"/>
          <w:b/>
          <w:bCs/>
          <w:sz w:val="22"/>
          <w:szCs w:val="22"/>
          <w:lang w:val="en-US" w:eastAsia="zh-CN"/>
        </w:rPr>
        <w:t>Fig. S</w:t>
      </w:r>
      <w:r>
        <w:rPr>
          <w:rFonts w:hint="eastAsia" w:ascii="Times New Roman" w:hAnsi="Times New Roman" w:cs="Times New Roman"/>
          <w:b/>
          <w:bCs/>
          <w:sz w:val="22"/>
          <w:szCs w:val="22"/>
          <w:lang w:val="en-US" w:eastAsia="zh-CN"/>
        </w:rPr>
        <w:t>9</w:t>
      </w:r>
      <w:r>
        <w:rPr>
          <w:rFonts w:hint="default" w:ascii="Times New Roman" w:hAnsi="Times New Roman" w:cs="Times New Roman"/>
          <w:b/>
          <w:bCs/>
          <w:sz w:val="22"/>
          <w:szCs w:val="22"/>
          <w:lang w:val="en-US" w:eastAsia="zh-CN"/>
        </w:rPr>
        <w:t>.</w:t>
      </w:r>
      <w:r>
        <w:rPr>
          <w:rFonts w:hint="default" w:ascii="Times New Roman" w:hAnsi="Times New Roman" w:cs="Times New Roman"/>
          <w:b w:val="0"/>
          <w:bCs w:val="0"/>
          <w:sz w:val="22"/>
          <w:szCs w:val="22"/>
          <w:lang w:val="en-US" w:eastAsia="zh-CN"/>
        </w:rPr>
        <w:t xml:space="preserve"> Kaplan-Meier curve analysis describes the cumulative incidence of CVD in CTI quartile (presence/absence of</w:t>
      </w:r>
      <w:r>
        <w:rPr>
          <w:rFonts w:hint="eastAsia" w:ascii="Times New Roman" w:hAnsi="Times New Roman" w:cs="Times New Roman"/>
          <w:b w:val="0"/>
          <w:bCs w:val="0"/>
          <w:sz w:val="22"/>
          <w:szCs w:val="22"/>
          <w:lang w:val="en-US" w:eastAsia="zh-CN"/>
        </w:rPr>
        <w:t xml:space="preserve"> digestive disease</w:t>
      </w:r>
      <w:r>
        <w:rPr>
          <w:rFonts w:hint="default" w:ascii="Times New Roman" w:hAnsi="Times New Roman" w:cs="Times New Roman"/>
          <w:b w:val="0"/>
          <w:bCs w:val="0"/>
          <w:sz w:val="22"/>
          <w:szCs w:val="22"/>
          <w:lang w:val="en-US" w:eastAsia="zh-CN"/>
        </w:rPr>
        <w:t>).</w:t>
      </w:r>
      <w:r>
        <w:rPr>
          <w:rFonts w:hint="eastAsia" w:ascii="Times New Roman" w:hAnsi="Times New Roman" w:cs="Times New Roman"/>
          <w:b w:val="0"/>
          <w:bCs w:val="0"/>
          <w:sz w:val="22"/>
          <w:szCs w:val="22"/>
          <w:lang w:val="en-US" w:eastAsia="zh-CN"/>
        </w:rPr>
        <w:t xml:space="preserve"> </w:t>
      </w: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drawing>
          <wp:inline distT="0" distB="0" distL="114300" distR="114300">
            <wp:extent cx="5261610" cy="2254885"/>
            <wp:effectExtent l="0" t="0" r="15240" b="12065"/>
            <wp:docPr id="10" name="图片 10" descr="Supplementary Figure 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Supplementary Figure S10"/>
                    <pic:cNvPicPr>
                      <a:picLocks noChangeAspect="1"/>
                    </pic:cNvPicPr>
                  </pic:nvPicPr>
                  <pic:blipFill>
                    <a:blip r:embed="rId13"/>
                    <a:stretch>
                      <a:fillRect/>
                    </a:stretch>
                  </pic:blipFill>
                  <pic:spPr>
                    <a:xfrm>
                      <a:off x="0" y="0"/>
                      <a:ext cx="5261610" cy="2254885"/>
                    </a:xfrm>
                    <a:prstGeom prst="rect">
                      <a:avLst/>
                    </a:prstGeom>
                  </pic:spPr>
                </pic:pic>
              </a:graphicData>
            </a:graphic>
          </wp:inline>
        </w:drawing>
      </w:r>
    </w:p>
    <w:p>
      <w:pPr>
        <w:jc w:val="both"/>
        <w:rPr>
          <w:rFonts w:hint="default" w:ascii="Times New Roman" w:hAnsi="Times New Roman" w:cs="Times New Roman"/>
          <w:b w:val="0"/>
          <w:bCs w:val="0"/>
          <w:sz w:val="22"/>
          <w:szCs w:val="22"/>
          <w:lang w:val="en-US" w:eastAsia="zh-CN"/>
        </w:rPr>
      </w:pPr>
      <w:r>
        <w:rPr>
          <w:rFonts w:hint="default" w:ascii="Times New Roman" w:hAnsi="Times New Roman" w:cs="Times New Roman"/>
          <w:b/>
          <w:bCs/>
          <w:sz w:val="22"/>
          <w:szCs w:val="22"/>
          <w:lang w:val="en-US" w:eastAsia="zh-CN"/>
        </w:rPr>
        <w:t>Fig. S</w:t>
      </w:r>
      <w:r>
        <w:rPr>
          <w:rFonts w:hint="eastAsia" w:ascii="Times New Roman" w:hAnsi="Times New Roman" w:cs="Times New Roman"/>
          <w:b/>
          <w:bCs/>
          <w:sz w:val="22"/>
          <w:szCs w:val="22"/>
          <w:lang w:val="en-US" w:eastAsia="zh-CN"/>
        </w:rPr>
        <w:t>10</w:t>
      </w:r>
      <w:r>
        <w:rPr>
          <w:rFonts w:hint="default" w:ascii="Times New Roman" w:hAnsi="Times New Roman" w:cs="Times New Roman"/>
          <w:b/>
          <w:bCs/>
          <w:sz w:val="22"/>
          <w:szCs w:val="22"/>
          <w:lang w:val="en-US" w:eastAsia="zh-CN"/>
        </w:rPr>
        <w:t>.</w:t>
      </w:r>
      <w:r>
        <w:rPr>
          <w:rFonts w:hint="default" w:ascii="Times New Roman" w:hAnsi="Times New Roman" w:cs="Times New Roman"/>
          <w:b w:val="0"/>
          <w:bCs w:val="0"/>
          <w:sz w:val="22"/>
          <w:szCs w:val="22"/>
          <w:lang w:val="en-US" w:eastAsia="zh-CN"/>
        </w:rPr>
        <w:t xml:space="preserve"> RCS analysis between CTI and CVD incidence (presence/absence of </w:t>
      </w:r>
      <w:r>
        <w:rPr>
          <w:rFonts w:hint="eastAsia" w:ascii="Times New Roman" w:hAnsi="Times New Roman" w:cs="Times New Roman"/>
          <w:b w:val="0"/>
          <w:bCs w:val="0"/>
          <w:sz w:val="22"/>
          <w:szCs w:val="22"/>
          <w:lang w:val="en-US" w:eastAsia="zh-CN"/>
        </w:rPr>
        <w:t>hypertension</w:t>
      </w:r>
      <w:r>
        <w:rPr>
          <w:rFonts w:hint="default" w:ascii="Times New Roman" w:hAnsi="Times New Roman" w:cs="Times New Roman"/>
          <w:b w:val="0"/>
          <w:bCs w:val="0"/>
          <w:sz w:val="22"/>
          <w:szCs w:val="22"/>
          <w:lang w:val="en-US" w:eastAsia="zh-CN"/>
        </w:rPr>
        <w:t>）</w:t>
      </w:r>
      <w:r>
        <w:rPr>
          <w:rFonts w:hint="eastAsia" w:ascii="Times New Roman" w:hAnsi="Times New Roman" w:cs="Times New Roman"/>
          <w:b w:val="0"/>
          <w:bCs w:val="0"/>
          <w:sz w:val="22"/>
          <w:szCs w:val="22"/>
          <w:lang w:val="en-US" w:eastAsia="zh-CN"/>
        </w:rPr>
        <w:t>. Adjusted for gender, age, residence, marital status, education level, smoking status, and drinking status, BMI, WC, SBP, DBP, TC, LDL, HDL, uric acid, diabetes, dyslipidemia, liver diseases, kidney diseases, lung diseases, digestive diseases, blood sugar status, and geographical area were adjusted.</w:t>
      </w: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drawing>
          <wp:inline distT="0" distB="0" distL="114300" distR="114300">
            <wp:extent cx="5261610" cy="2254885"/>
            <wp:effectExtent l="0" t="0" r="15240" b="12065"/>
            <wp:docPr id="11" name="图片 11" descr="Supplementary Figure S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Supplementary Figure S11"/>
                    <pic:cNvPicPr>
                      <a:picLocks noChangeAspect="1"/>
                    </pic:cNvPicPr>
                  </pic:nvPicPr>
                  <pic:blipFill>
                    <a:blip r:embed="rId14"/>
                    <a:stretch>
                      <a:fillRect/>
                    </a:stretch>
                  </pic:blipFill>
                  <pic:spPr>
                    <a:xfrm>
                      <a:off x="0" y="0"/>
                      <a:ext cx="5261610" cy="2254885"/>
                    </a:xfrm>
                    <a:prstGeom prst="rect">
                      <a:avLst/>
                    </a:prstGeom>
                  </pic:spPr>
                </pic:pic>
              </a:graphicData>
            </a:graphic>
          </wp:inline>
        </w:drawing>
      </w:r>
    </w:p>
    <w:p>
      <w:pPr>
        <w:jc w:val="both"/>
        <w:rPr>
          <w:rFonts w:hint="default" w:ascii="Times New Roman" w:hAnsi="Times New Roman" w:cs="Times New Roman"/>
          <w:b w:val="0"/>
          <w:bCs w:val="0"/>
          <w:sz w:val="22"/>
          <w:szCs w:val="22"/>
          <w:lang w:val="en-US" w:eastAsia="zh-CN"/>
        </w:rPr>
      </w:pPr>
      <w:r>
        <w:rPr>
          <w:rFonts w:hint="default" w:ascii="Times New Roman" w:hAnsi="Times New Roman" w:cs="Times New Roman"/>
          <w:b/>
          <w:bCs/>
          <w:sz w:val="22"/>
          <w:szCs w:val="22"/>
          <w:lang w:val="en-US" w:eastAsia="zh-CN"/>
        </w:rPr>
        <w:t>Fig. S</w:t>
      </w:r>
      <w:r>
        <w:rPr>
          <w:rFonts w:hint="eastAsia" w:ascii="Times New Roman" w:hAnsi="Times New Roman" w:cs="Times New Roman"/>
          <w:b/>
          <w:bCs/>
          <w:sz w:val="22"/>
          <w:szCs w:val="22"/>
          <w:lang w:val="en-US" w:eastAsia="zh-CN"/>
        </w:rPr>
        <w:t>11</w:t>
      </w:r>
      <w:r>
        <w:rPr>
          <w:rFonts w:hint="default" w:ascii="Times New Roman" w:hAnsi="Times New Roman" w:cs="Times New Roman"/>
          <w:b/>
          <w:bCs/>
          <w:sz w:val="22"/>
          <w:szCs w:val="22"/>
          <w:lang w:val="en-US" w:eastAsia="zh-CN"/>
        </w:rPr>
        <w:t>.</w:t>
      </w:r>
      <w:r>
        <w:rPr>
          <w:rFonts w:hint="default" w:ascii="Times New Roman" w:hAnsi="Times New Roman" w:cs="Times New Roman"/>
          <w:b w:val="0"/>
          <w:bCs w:val="0"/>
          <w:sz w:val="22"/>
          <w:szCs w:val="22"/>
          <w:lang w:val="en-US" w:eastAsia="zh-CN"/>
        </w:rPr>
        <w:t xml:space="preserve"> RCS analysis between CTI and CVD incidence (presence/absence of </w:t>
      </w:r>
      <w:r>
        <w:rPr>
          <w:rFonts w:hint="eastAsia" w:ascii="Times New Roman" w:hAnsi="Times New Roman" w:cs="Times New Roman"/>
          <w:b w:val="0"/>
          <w:bCs w:val="0"/>
          <w:sz w:val="22"/>
          <w:szCs w:val="22"/>
          <w:lang w:val="en-US" w:eastAsia="zh-CN"/>
        </w:rPr>
        <w:t>diabetes). Adjusted for gender, age, residence, marital status, education level, smoking status, and drinking status, BMI, WC, SBP, DBP, TC, LDL, HDL, uric acid, hypertension, dyslipidemia, liver diseases, kidney diseases, lung diseases, digestive diseases, blood sugar status, and geographical area were adjusted.</w:t>
      </w: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drawing>
          <wp:inline distT="0" distB="0" distL="114300" distR="114300">
            <wp:extent cx="5261610" cy="2254885"/>
            <wp:effectExtent l="0" t="0" r="15240" b="12065"/>
            <wp:docPr id="12" name="图片 12" descr="Supplementary Figure S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Supplementary Figure S12"/>
                    <pic:cNvPicPr>
                      <a:picLocks noChangeAspect="1"/>
                    </pic:cNvPicPr>
                  </pic:nvPicPr>
                  <pic:blipFill>
                    <a:blip r:embed="rId15"/>
                    <a:stretch>
                      <a:fillRect/>
                    </a:stretch>
                  </pic:blipFill>
                  <pic:spPr>
                    <a:xfrm>
                      <a:off x="0" y="0"/>
                      <a:ext cx="5261610" cy="2254885"/>
                    </a:xfrm>
                    <a:prstGeom prst="rect">
                      <a:avLst/>
                    </a:prstGeom>
                  </pic:spPr>
                </pic:pic>
              </a:graphicData>
            </a:graphic>
          </wp:inline>
        </w:drawing>
      </w:r>
    </w:p>
    <w:p>
      <w:pPr>
        <w:jc w:val="both"/>
        <w:rPr>
          <w:rFonts w:hint="default" w:ascii="Times New Roman" w:hAnsi="Times New Roman" w:cs="Times New Roman"/>
          <w:b w:val="0"/>
          <w:bCs w:val="0"/>
          <w:sz w:val="22"/>
          <w:szCs w:val="22"/>
          <w:lang w:val="en-US" w:eastAsia="zh-CN"/>
        </w:rPr>
      </w:pPr>
      <w:r>
        <w:rPr>
          <w:rFonts w:hint="default" w:ascii="Times New Roman" w:hAnsi="Times New Roman" w:cs="Times New Roman"/>
          <w:b/>
          <w:bCs/>
          <w:sz w:val="22"/>
          <w:szCs w:val="22"/>
          <w:lang w:val="en-US" w:eastAsia="zh-CN"/>
        </w:rPr>
        <w:t>Fig. S</w:t>
      </w:r>
      <w:r>
        <w:rPr>
          <w:rFonts w:hint="eastAsia" w:ascii="Times New Roman" w:hAnsi="Times New Roman" w:cs="Times New Roman"/>
          <w:b/>
          <w:bCs/>
          <w:sz w:val="22"/>
          <w:szCs w:val="22"/>
          <w:lang w:val="en-US" w:eastAsia="zh-CN"/>
        </w:rPr>
        <w:t>12</w:t>
      </w:r>
      <w:r>
        <w:rPr>
          <w:rFonts w:hint="default" w:ascii="Times New Roman" w:hAnsi="Times New Roman" w:cs="Times New Roman"/>
          <w:b/>
          <w:bCs/>
          <w:sz w:val="22"/>
          <w:szCs w:val="22"/>
          <w:lang w:val="en-US" w:eastAsia="zh-CN"/>
        </w:rPr>
        <w:t>.</w:t>
      </w:r>
      <w:r>
        <w:rPr>
          <w:rFonts w:hint="default" w:ascii="Times New Roman" w:hAnsi="Times New Roman" w:cs="Times New Roman"/>
          <w:b w:val="0"/>
          <w:bCs w:val="0"/>
          <w:sz w:val="22"/>
          <w:szCs w:val="22"/>
          <w:lang w:val="en-US" w:eastAsia="zh-CN"/>
        </w:rPr>
        <w:t xml:space="preserve"> RCS analysis between CTI and CVD incidence (presence/absence of </w:t>
      </w:r>
      <w:r>
        <w:rPr>
          <w:rFonts w:hint="eastAsia" w:ascii="Times New Roman" w:hAnsi="Times New Roman" w:cs="Times New Roman"/>
          <w:b w:val="0"/>
          <w:bCs w:val="0"/>
          <w:sz w:val="22"/>
          <w:szCs w:val="22"/>
          <w:lang w:val="en-US" w:eastAsia="zh-CN"/>
        </w:rPr>
        <w:t>dyslipidemia). Adjusted for gender, age, residence, marital status, education level, smoking status, and drinking status, BMI, WC, SBP, DBP, TC, LDL, HDL, uric acid, hypertension, diabetes, liver diseases, kidney diseases, lung diseases, digestive diseases, blood sugar status, and geographical area were adjusted.</w:t>
      </w: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drawing>
          <wp:inline distT="0" distB="0" distL="114300" distR="114300">
            <wp:extent cx="5261610" cy="2254885"/>
            <wp:effectExtent l="0" t="0" r="15240" b="12065"/>
            <wp:docPr id="13" name="图片 13" descr="Supplementary Figure S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Supplementary Figure S13"/>
                    <pic:cNvPicPr>
                      <a:picLocks noChangeAspect="1"/>
                    </pic:cNvPicPr>
                  </pic:nvPicPr>
                  <pic:blipFill>
                    <a:blip r:embed="rId16"/>
                    <a:stretch>
                      <a:fillRect/>
                    </a:stretch>
                  </pic:blipFill>
                  <pic:spPr>
                    <a:xfrm>
                      <a:off x="0" y="0"/>
                      <a:ext cx="5261610" cy="2254885"/>
                    </a:xfrm>
                    <a:prstGeom prst="rect">
                      <a:avLst/>
                    </a:prstGeom>
                  </pic:spPr>
                </pic:pic>
              </a:graphicData>
            </a:graphic>
          </wp:inline>
        </w:drawing>
      </w: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r>
        <w:rPr>
          <w:rFonts w:hint="default" w:ascii="Times New Roman" w:hAnsi="Times New Roman" w:cs="Times New Roman"/>
          <w:b/>
          <w:bCs/>
          <w:sz w:val="22"/>
          <w:szCs w:val="22"/>
          <w:lang w:val="en-US" w:eastAsia="zh-CN"/>
        </w:rPr>
        <w:t>Fig. S</w:t>
      </w:r>
      <w:r>
        <w:rPr>
          <w:rFonts w:hint="eastAsia" w:ascii="Times New Roman" w:hAnsi="Times New Roman" w:cs="Times New Roman"/>
          <w:b/>
          <w:bCs/>
          <w:sz w:val="22"/>
          <w:szCs w:val="22"/>
          <w:lang w:val="en-US" w:eastAsia="zh-CN"/>
        </w:rPr>
        <w:t>13</w:t>
      </w:r>
      <w:r>
        <w:rPr>
          <w:rFonts w:hint="default" w:ascii="Times New Roman" w:hAnsi="Times New Roman" w:cs="Times New Roman"/>
          <w:b/>
          <w:bCs/>
          <w:sz w:val="22"/>
          <w:szCs w:val="22"/>
          <w:lang w:val="en-US" w:eastAsia="zh-CN"/>
        </w:rPr>
        <w:t>.</w:t>
      </w:r>
      <w:r>
        <w:rPr>
          <w:rFonts w:hint="default" w:ascii="Times New Roman" w:hAnsi="Times New Roman" w:cs="Times New Roman"/>
          <w:b w:val="0"/>
          <w:bCs w:val="0"/>
          <w:sz w:val="22"/>
          <w:szCs w:val="22"/>
          <w:lang w:val="en-US" w:eastAsia="zh-CN"/>
        </w:rPr>
        <w:t xml:space="preserve"> RCS analysis between CTI and CVD incidence (presence/absence of </w:t>
      </w:r>
      <w:r>
        <w:rPr>
          <w:rFonts w:hint="eastAsia" w:ascii="Times New Roman" w:hAnsi="Times New Roman" w:cs="Times New Roman"/>
          <w:b w:val="0"/>
          <w:bCs w:val="0"/>
          <w:sz w:val="22"/>
          <w:szCs w:val="22"/>
          <w:lang w:val="en-US" w:eastAsia="zh-CN"/>
        </w:rPr>
        <w:t>liver disease). Adjusted for gender, age, residence, marital status, education level, smoking status, and drinking status, BMI, WC, SBP, DBP, TC, LDL, HDL, uric acid, hypertension, diabetes, dyslipidemia, kidney diseases, lung diseases, digestive diseases, blood sugar status, and geographical area were adjusted.</w:t>
      </w: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drawing>
          <wp:inline distT="0" distB="0" distL="114300" distR="114300">
            <wp:extent cx="5261610" cy="2254885"/>
            <wp:effectExtent l="0" t="0" r="15240" b="12065"/>
            <wp:docPr id="14" name="图片 14" descr="Supplementary Figure S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Supplementary Figure S14"/>
                    <pic:cNvPicPr>
                      <a:picLocks noChangeAspect="1"/>
                    </pic:cNvPicPr>
                  </pic:nvPicPr>
                  <pic:blipFill>
                    <a:blip r:embed="rId17"/>
                    <a:stretch>
                      <a:fillRect/>
                    </a:stretch>
                  </pic:blipFill>
                  <pic:spPr>
                    <a:xfrm>
                      <a:off x="0" y="0"/>
                      <a:ext cx="5261610" cy="2254885"/>
                    </a:xfrm>
                    <a:prstGeom prst="rect">
                      <a:avLst/>
                    </a:prstGeom>
                  </pic:spPr>
                </pic:pic>
              </a:graphicData>
            </a:graphic>
          </wp:inline>
        </w:drawing>
      </w: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r>
        <w:rPr>
          <w:rFonts w:hint="default" w:ascii="Times New Roman" w:hAnsi="Times New Roman" w:cs="Times New Roman"/>
          <w:b/>
          <w:bCs/>
          <w:sz w:val="22"/>
          <w:szCs w:val="22"/>
          <w:lang w:val="en-US" w:eastAsia="zh-CN"/>
        </w:rPr>
        <w:t>Fig. S</w:t>
      </w:r>
      <w:r>
        <w:rPr>
          <w:rFonts w:hint="eastAsia" w:ascii="Times New Roman" w:hAnsi="Times New Roman" w:cs="Times New Roman"/>
          <w:b/>
          <w:bCs/>
          <w:sz w:val="22"/>
          <w:szCs w:val="22"/>
          <w:lang w:val="en-US" w:eastAsia="zh-CN"/>
        </w:rPr>
        <w:t>14</w:t>
      </w:r>
      <w:r>
        <w:rPr>
          <w:rFonts w:hint="default" w:ascii="Times New Roman" w:hAnsi="Times New Roman" w:cs="Times New Roman"/>
          <w:b/>
          <w:bCs/>
          <w:sz w:val="22"/>
          <w:szCs w:val="22"/>
          <w:lang w:val="en-US" w:eastAsia="zh-CN"/>
        </w:rPr>
        <w:t>.</w:t>
      </w:r>
      <w:r>
        <w:rPr>
          <w:rFonts w:hint="default" w:ascii="Times New Roman" w:hAnsi="Times New Roman" w:cs="Times New Roman"/>
          <w:b w:val="0"/>
          <w:bCs w:val="0"/>
          <w:sz w:val="22"/>
          <w:szCs w:val="22"/>
          <w:lang w:val="en-US" w:eastAsia="zh-CN"/>
        </w:rPr>
        <w:t xml:space="preserve"> RCS analysis between CTI and CVD incidence (presence/absence of </w:t>
      </w:r>
      <w:r>
        <w:rPr>
          <w:rFonts w:hint="eastAsia" w:ascii="Times New Roman" w:hAnsi="Times New Roman" w:cs="Times New Roman"/>
          <w:b w:val="0"/>
          <w:bCs w:val="0"/>
          <w:sz w:val="22"/>
          <w:szCs w:val="22"/>
          <w:lang w:val="en-US" w:eastAsia="zh-CN"/>
        </w:rPr>
        <w:t>kidney disease). Adjusted for gender, age, residence, marital status, education level, smoking status, and drinking status, BMI, WC, SBP, DBP, TC, LDL, HDL, uric acid, hypertension, diabetes, dyslipidemia, liver diseases, lung diseases, digestive diseases, blood sugar status, and geographical area were adjusted.</w:t>
      </w: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drawing>
          <wp:inline distT="0" distB="0" distL="114300" distR="114300">
            <wp:extent cx="5261610" cy="2254885"/>
            <wp:effectExtent l="0" t="0" r="15240" b="12065"/>
            <wp:docPr id="15" name="图片 15" descr="Supplementary Figure S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Supplementary Figure S15"/>
                    <pic:cNvPicPr>
                      <a:picLocks noChangeAspect="1"/>
                    </pic:cNvPicPr>
                  </pic:nvPicPr>
                  <pic:blipFill>
                    <a:blip r:embed="rId18"/>
                    <a:stretch>
                      <a:fillRect/>
                    </a:stretch>
                  </pic:blipFill>
                  <pic:spPr>
                    <a:xfrm>
                      <a:off x="0" y="0"/>
                      <a:ext cx="5261610" cy="2254885"/>
                    </a:xfrm>
                    <a:prstGeom prst="rect">
                      <a:avLst/>
                    </a:prstGeom>
                  </pic:spPr>
                </pic:pic>
              </a:graphicData>
            </a:graphic>
          </wp:inline>
        </w:drawing>
      </w:r>
    </w:p>
    <w:p>
      <w:pPr>
        <w:jc w:val="both"/>
        <w:rPr>
          <w:rFonts w:hint="default" w:ascii="Times New Roman" w:hAnsi="Times New Roman" w:cs="Times New Roman"/>
          <w:b w:val="0"/>
          <w:bCs w:val="0"/>
          <w:sz w:val="22"/>
          <w:szCs w:val="22"/>
          <w:lang w:val="en-US" w:eastAsia="zh-CN"/>
        </w:rPr>
      </w:pPr>
      <w:r>
        <w:rPr>
          <w:rFonts w:hint="default" w:ascii="Times New Roman" w:hAnsi="Times New Roman" w:cs="Times New Roman"/>
          <w:b/>
          <w:bCs/>
          <w:sz w:val="22"/>
          <w:szCs w:val="22"/>
          <w:lang w:val="en-US" w:eastAsia="zh-CN"/>
        </w:rPr>
        <w:t>Fig. S</w:t>
      </w:r>
      <w:r>
        <w:rPr>
          <w:rFonts w:hint="eastAsia" w:ascii="Times New Roman" w:hAnsi="Times New Roman" w:cs="Times New Roman"/>
          <w:b/>
          <w:bCs/>
          <w:sz w:val="22"/>
          <w:szCs w:val="22"/>
          <w:lang w:val="en-US" w:eastAsia="zh-CN"/>
        </w:rPr>
        <w:t>15</w:t>
      </w:r>
      <w:r>
        <w:rPr>
          <w:rFonts w:hint="default" w:ascii="Times New Roman" w:hAnsi="Times New Roman" w:cs="Times New Roman"/>
          <w:b/>
          <w:bCs/>
          <w:sz w:val="22"/>
          <w:szCs w:val="22"/>
          <w:lang w:val="en-US" w:eastAsia="zh-CN"/>
        </w:rPr>
        <w:t>.</w:t>
      </w:r>
      <w:r>
        <w:rPr>
          <w:rFonts w:hint="default" w:ascii="Times New Roman" w:hAnsi="Times New Roman" w:cs="Times New Roman"/>
          <w:b w:val="0"/>
          <w:bCs w:val="0"/>
          <w:sz w:val="22"/>
          <w:szCs w:val="22"/>
          <w:lang w:val="en-US" w:eastAsia="zh-CN"/>
        </w:rPr>
        <w:t xml:space="preserve"> RCS analysis between CTI and CVD incidence (presence/absence of </w:t>
      </w:r>
      <w:r>
        <w:rPr>
          <w:rFonts w:hint="eastAsia" w:ascii="Times New Roman" w:hAnsi="Times New Roman" w:cs="Times New Roman"/>
          <w:b w:val="0"/>
          <w:bCs w:val="0"/>
          <w:sz w:val="22"/>
          <w:szCs w:val="22"/>
          <w:lang w:val="en-US" w:eastAsia="zh-CN"/>
        </w:rPr>
        <w:t>lung disease). Adjusted for gender, age, residence, marital status, education level, smoking status, and drinking status, BMI, WC, SBP, DBP, TC, LDL, HDL, uric acid, hypertension, diabetes, dyslipidemia, liver diseases, kidney diseases, digestive diseases, blood sugar status, and geographical area were adjusted.</w:t>
      </w: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drawing>
          <wp:inline distT="0" distB="0" distL="114300" distR="114300">
            <wp:extent cx="5261610" cy="2254885"/>
            <wp:effectExtent l="0" t="0" r="15240" b="12065"/>
            <wp:docPr id="16" name="图片 16" descr="Supplementary Figure S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Supplementary Figure S16"/>
                    <pic:cNvPicPr>
                      <a:picLocks noChangeAspect="1"/>
                    </pic:cNvPicPr>
                  </pic:nvPicPr>
                  <pic:blipFill>
                    <a:blip r:embed="rId19"/>
                    <a:stretch>
                      <a:fillRect/>
                    </a:stretch>
                  </pic:blipFill>
                  <pic:spPr>
                    <a:xfrm>
                      <a:off x="0" y="0"/>
                      <a:ext cx="5261610" cy="2254885"/>
                    </a:xfrm>
                    <a:prstGeom prst="rect">
                      <a:avLst/>
                    </a:prstGeom>
                  </pic:spPr>
                </pic:pic>
              </a:graphicData>
            </a:graphic>
          </wp:inline>
        </w:drawing>
      </w:r>
    </w:p>
    <w:p>
      <w:pPr>
        <w:jc w:val="both"/>
        <w:rPr>
          <w:rFonts w:hint="default" w:ascii="Times New Roman" w:hAnsi="Times New Roman" w:cs="Times New Roman"/>
          <w:b w:val="0"/>
          <w:bCs w:val="0"/>
          <w:sz w:val="22"/>
          <w:szCs w:val="22"/>
          <w:lang w:val="en-US" w:eastAsia="zh-CN"/>
        </w:rPr>
      </w:pPr>
      <w:r>
        <w:rPr>
          <w:rFonts w:hint="default" w:ascii="Times New Roman" w:hAnsi="Times New Roman" w:cs="Times New Roman"/>
          <w:b/>
          <w:bCs/>
          <w:sz w:val="22"/>
          <w:szCs w:val="22"/>
          <w:lang w:val="en-US" w:eastAsia="zh-CN"/>
        </w:rPr>
        <w:t>Fig. S</w:t>
      </w:r>
      <w:r>
        <w:rPr>
          <w:rFonts w:hint="eastAsia" w:ascii="Times New Roman" w:hAnsi="Times New Roman" w:cs="Times New Roman"/>
          <w:b/>
          <w:bCs/>
          <w:sz w:val="22"/>
          <w:szCs w:val="22"/>
          <w:lang w:val="en-US" w:eastAsia="zh-CN"/>
        </w:rPr>
        <w:t>16</w:t>
      </w:r>
      <w:r>
        <w:rPr>
          <w:rFonts w:hint="default" w:ascii="Times New Roman" w:hAnsi="Times New Roman" w:cs="Times New Roman"/>
          <w:b/>
          <w:bCs/>
          <w:sz w:val="22"/>
          <w:szCs w:val="22"/>
          <w:lang w:val="en-US" w:eastAsia="zh-CN"/>
        </w:rPr>
        <w:t>.</w:t>
      </w:r>
      <w:r>
        <w:rPr>
          <w:rFonts w:hint="default" w:ascii="Times New Roman" w:hAnsi="Times New Roman" w:cs="Times New Roman"/>
          <w:b w:val="0"/>
          <w:bCs w:val="0"/>
          <w:sz w:val="22"/>
          <w:szCs w:val="22"/>
          <w:lang w:val="en-US" w:eastAsia="zh-CN"/>
        </w:rPr>
        <w:t xml:space="preserve"> RCS analysis between CTI and CVD incidence (presence/absence of </w:t>
      </w:r>
      <w:r>
        <w:rPr>
          <w:rFonts w:hint="eastAsia" w:ascii="Times New Roman" w:hAnsi="Times New Roman" w:cs="Times New Roman"/>
          <w:b w:val="0"/>
          <w:bCs w:val="0"/>
          <w:sz w:val="22"/>
          <w:szCs w:val="22"/>
          <w:lang w:val="en-US" w:eastAsia="zh-CN"/>
        </w:rPr>
        <w:t>digestive disease). Adjusted for gender, age, residence, marital status, education level, smoking status, and drinking status, BMI, WC, SBP, DBP, TC, LDL, HDL, uric acid, hypertension, diabetes, dyslipidemia, liver diseases, kidney diseases, lung diseases, blood sugar status, and geographical area were adjusted.</w:t>
      </w: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drawing>
          <wp:inline distT="0" distB="0" distL="114300" distR="114300">
            <wp:extent cx="5270500" cy="4791710"/>
            <wp:effectExtent l="0" t="0" r="6350" b="8890"/>
            <wp:docPr id="17" name="图片 17" descr="Supplementary Figure S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Supplementary Figure S17"/>
                    <pic:cNvPicPr>
                      <a:picLocks noChangeAspect="1"/>
                    </pic:cNvPicPr>
                  </pic:nvPicPr>
                  <pic:blipFill>
                    <a:blip r:embed="rId20"/>
                    <a:stretch>
                      <a:fillRect/>
                    </a:stretch>
                  </pic:blipFill>
                  <pic:spPr>
                    <a:xfrm>
                      <a:off x="0" y="0"/>
                      <a:ext cx="5270500" cy="4791710"/>
                    </a:xfrm>
                    <a:prstGeom prst="rect">
                      <a:avLst/>
                    </a:prstGeom>
                  </pic:spPr>
                </pic:pic>
              </a:graphicData>
            </a:graphic>
          </wp:inline>
        </w:drawing>
      </w:r>
    </w:p>
    <w:p>
      <w:pPr>
        <w:jc w:val="both"/>
        <w:rPr>
          <w:rFonts w:hint="default" w:ascii="Times New Roman" w:hAnsi="Times New Roman" w:cs="Times New Roman"/>
          <w:b w:val="0"/>
          <w:bCs w:val="0"/>
          <w:sz w:val="22"/>
          <w:szCs w:val="22"/>
          <w:lang w:val="en-US" w:eastAsia="zh-CN"/>
        </w:rPr>
      </w:pPr>
      <w:r>
        <w:rPr>
          <w:rFonts w:hint="default" w:ascii="Times New Roman" w:hAnsi="Times New Roman" w:cs="Times New Roman"/>
          <w:b/>
          <w:bCs/>
          <w:sz w:val="22"/>
          <w:szCs w:val="22"/>
          <w:lang w:val="en-US" w:eastAsia="zh-CN"/>
        </w:rPr>
        <w:t>Fig. S</w:t>
      </w:r>
      <w:r>
        <w:rPr>
          <w:rFonts w:hint="eastAsia" w:ascii="Times New Roman" w:hAnsi="Times New Roman" w:cs="Times New Roman"/>
          <w:b/>
          <w:bCs/>
          <w:sz w:val="22"/>
          <w:szCs w:val="22"/>
          <w:lang w:val="en-US" w:eastAsia="zh-CN"/>
        </w:rPr>
        <w:t>17</w:t>
      </w:r>
      <w:r>
        <w:rPr>
          <w:rFonts w:hint="default" w:ascii="Times New Roman" w:hAnsi="Times New Roman" w:cs="Times New Roman"/>
          <w:b/>
          <w:bCs/>
          <w:sz w:val="22"/>
          <w:szCs w:val="22"/>
          <w:lang w:val="en-US" w:eastAsia="zh-CN"/>
        </w:rPr>
        <w:t>.</w:t>
      </w:r>
      <w:r>
        <w:rPr>
          <w:rFonts w:hint="eastAsia" w:ascii="Times New Roman" w:hAnsi="Times New Roman" w:cs="Times New Roman"/>
          <w:b/>
          <w:bCs/>
          <w:sz w:val="22"/>
          <w:szCs w:val="22"/>
          <w:lang w:val="en-US" w:eastAsia="zh-CN"/>
        </w:rPr>
        <w:t xml:space="preserve"> </w:t>
      </w:r>
      <w:r>
        <w:rPr>
          <w:rFonts w:hint="default" w:ascii="Times New Roman" w:hAnsi="Times New Roman" w:cs="Times New Roman"/>
          <w:b w:val="0"/>
          <w:bCs w:val="0"/>
          <w:sz w:val="22"/>
          <w:szCs w:val="22"/>
          <w:lang w:val="en-US" w:eastAsia="zh-CN"/>
        </w:rPr>
        <w:t>Kaplan-Meier curve analysis shows the cumulative incidence of CVD in CTI quartile array (according to blood glucose status and gender).</w:t>
      </w:r>
      <w:r>
        <w:rPr>
          <w:rFonts w:hint="eastAsia" w:ascii="Times New Roman" w:hAnsi="Times New Roman" w:cs="Times New Roman"/>
          <w:b w:val="0"/>
          <w:bCs w:val="0"/>
          <w:sz w:val="22"/>
          <w:szCs w:val="22"/>
          <w:lang w:val="en-US" w:eastAsia="zh-CN"/>
        </w:rPr>
        <w:t xml:space="preserve"> </w:t>
      </w: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drawing>
          <wp:inline distT="0" distB="0" distL="114300" distR="114300">
            <wp:extent cx="5270500" cy="4791710"/>
            <wp:effectExtent l="0" t="0" r="6350" b="8890"/>
            <wp:docPr id="18" name="图片 18" descr="Supplementary Figure S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Supplementary Figure S18"/>
                    <pic:cNvPicPr>
                      <a:picLocks noChangeAspect="1"/>
                    </pic:cNvPicPr>
                  </pic:nvPicPr>
                  <pic:blipFill>
                    <a:blip r:embed="rId21"/>
                    <a:stretch>
                      <a:fillRect/>
                    </a:stretch>
                  </pic:blipFill>
                  <pic:spPr>
                    <a:xfrm>
                      <a:off x="0" y="0"/>
                      <a:ext cx="5270500" cy="4791710"/>
                    </a:xfrm>
                    <a:prstGeom prst="rect">
                      <a:avLst/>
                    </a:prstGeom>
                  </pic:spPr>
                </pic:pic>
              </a:graphicData>
            </a:graphic>
          </wp:inline>
        </w:drawing>
      </w: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r>
        <w:rPr>
          <w:rFonts w:hint="default" w:ascii="Times New Roman" w:hAnsi="Times New Roman" w:cs="Times New Roman"/>
          <w:b/>
          <w:bCs/>
          <w:sz w:val="22"/>
          <w:szCs w:val="22"/>
          <w:lang w:val="en-US" w:eastAsia="zh-CN"/>
        </w:rPr>
        <w:t>Fig. S</w:t>
      </w:r>
      <w:r>
        <w:rPr>
          <w:rFonts w:hint="eastAsia" w:ascii="Times New Roman" w:hAnsi="Times New Roman" w:cs="Times New Roman"/>
          <w:b/>
          <w:bCs/>
          <w:sz w:val="22"/>
          <w:szCs w:val="22"/>
          <w:lang w:val="en-US" w:eastAsia="zh-CN"/>
        </w:rPr>
        <w:t>18</w:t>
      </w:r>
      <w:r>
        <w:rPr>
          <w:rFonts w:hint="default" w:ascii="Times New Roman" w:hAnsi="Times New Roman" w:cs="Times New Roman"/>
          <w:b/>
          <w:bCs/>
          <w:sz w:val="22"/>
          <w:szCs w:val="22"/>
          <w:lang w:val="en-US" w:eastAsia="zh-CN"/>
        </w:rPr>
        <w:t>.</w:t>
      </w:r>
      <w:r>
        <w:rPr>
          <w:rFonts w:hint="eastAsia" w:ascii="Times New Roman" w:hAnsi="Times New Roman" w:cs="Times New Roman"/>
          <w:b/>
          <w:bCs/>
          <w:sz w:val="22"/>
          <w:szCs w:val="22"/>
          <w:lang w:val="en-US" w:eastAsia="zh-CN"/>
        </w:rPr>
        <w:t xml:space="preserve"> </w:t>
      </w:r>
      <w:r>
        <w:rPr>
          <w:rFonts w:hint="default" w:ascii="Times New Roman" w:hAnsi="Times New Roman" w:cs="Times New Roman"/>
          <w:b w:val="0"/>
          <w:bCs w:val="0"/>
          <w:sz w:val="22"/>
          <w:szCs w:val="22"/>
          <w:lang w:val="en-US" w:eastAsia="zh-CN"/>
        </w:rPr>
        <w:t xml:space="preserve">Kaplan-Meier curve analysis shows the cumulative incidence of CVD in CTI quartile array (according to blood glucose status and </w:t>
      </w:r>
      <w:r>
        <w:rPr>
          <w:rFonts w:hint="eastAsia" w:ascii="Times New Roman" w:hAnsi="Times New Roman" w:cs="Times New Roman"/>
          <w:b w:val="0"/>
          <w:bCs w:val="0"/>
          <w:sz w:val="22"/>
          <w:szCs w:val="22"/>
          <w:lang w:val="en-US" w:eastAsia="zh-CN"/>
        </w:rPr>
        <w:t>age</w:t>
      </w:r>
      <w:r>
        <w:rPr>
          <w:rFonts w:hint="default" w:ascii="Times New Roman" w:hAnsi="Times New Roman" w:cs="Times New Roman"/>
          <w:b w:val="0"/>
          <w:bCs w:val="0"/>
          <w:sz w:val="22"/>
          <w:szCs w:val="22"/>
          <w:lang w:val="en-US" w:eastAsia="zh-CN"/>
        </w:rPr>
        <w:t>).</w:t>
      </w:r>
      <w:r>
        <w:rPr>
          <w:rFonts w:hint="eastAsia" w:ascii="Times New Roman" w:hAnsi="Times New Roman" w:cs="Times New Roman"/>
          <w:b w:val="0"/>
          <w:bCs w:val="0"/>
          <w:sz w:val="22"/>
          <w:szCs w:val="22"/>
          <w:lang w:val="en-US" w:eastAsia="zh-CN"/>
        </w:rPr>
        <w:t xml:space="preserve"> </w:t>
      </w: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drawing>
          <wp:inline distT="0" distB="0" distL="114300" distR="114300">
            <wp:extent cx="5270500" cy="4791710"/>
            <wp:effectExtent l="0" t="0" r="6350" b="8890"/>
            <wp:docPr id="19" name="图片 19" descr="Supplementary Figure S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Supplementary Figure S19"/>
                    <pic:cNvPicPr>
                      <a:picLocks noChangeAspect="1"/>
                    </pic:cNvPicPr>
                  </pic:nvPicPr>
                  <pic:blipFill>
                    <a:blip r:embed="rId22"/>
                    <a:stretch>
                      <a:fillRect/>
                    </a:stretch>
                  </pic:blipFill>
                  <pic:spPr>
                    <a:xfrm>
                      <a:off x="0" y="0"/>
                      <a:ext cx="5270500" cy="4791710"/>
                    </a:xfrm>
                    <a:prstGeom prst="rect">
                      <a:avLst/>
                    </a:prstGeom>
                  </pic:spPr>
                </pic:pic>
              </a:graphicData>
            </a:graphic>
          </wp:inline>
        </w:drawing>
      </w:r>
    </w:p>
    <w:p>
      <w:pPr>
        <w:jc w:val="both"/>
        <w:rPr>
          <w:rFonts w:hint="default" w:ascii="Times New Roman" w:hAnsi="Times New Roman" w:cs="Times New Roman"/>
          <w:b w:val="0"/>
          <w:bCs w:val="0"/>
          <w:sz w:val="22"/>
          <w:szCs w:val="22"/>
          <w:lang w:val="en-US" w:eastAsia="zh-CN"/>
        </w:rPr>
      </w:pPr>
      <w:r>
        <w:rPr>
          <w:rFonts w:hint="default" w:ascii="Times New Roman" w:hAnsi="Times New Roman" w:cs="Times New Roman"/>
          <w:b/>
          <w:bCs/>
          <w:sz w:val="22"/>
          <w:szCs w:val="22"/>
          <w:lang w:val="en-US" w:eastAsia="zh-CN"/>
        </w:rPr>
        <w:t>Fig. S</w:t>
      </w:r>
      <w:r>
        <w:rPr>
          <w:rFonts w:hint="eastAsia" w:ascii="Times New Roman" w:hAnsi="Times New Roman" w:cs="Times New Roman"/>
          <w:b/>
          <w:bCs/>
          <w:sz w:val="22"/>
          <w:szCs w:val="22"/>
          <w:lang w:val="en-US" w:eastAsia="zh-CN"/>
        </w:rPr>
        <w:t>19</w:t>
      </w:r>
      <w:r>
        <w:rPr>
          <w:rFonts w:hint="default" w:ascii="Times New Roman" w:hAnsi="Times New Roman" w:cs="Times New Roman"/>
          <w:b/>
          <w:bCs/>
          <w:sz w:val="22"/>
          <w:szCs w:val="22"/>
          <w:lang w:val="en-US" w:eastAsia="zh-CN"/>
        </w:rPr>
        <w:t>.</w:t>
      </w:r>
      <w:r>
        <w:rPr>
          <w:rFonts w:hint="eastAsia" w:ascii="Times New Roman" w:hAnsi="Times New Roman" w:cs="Times New Roman"/>
          <w:b/>
          <w:bCs/>
          <w:sz w:val="22"/>
          <w:szCs w:val="22"/>
          <w:lang w:val="en-US" w:eastAsia="zh-CN"/>
        </w:rPr>
        <w:t xml:space="preserve"> </w:t>
      </w:r>
      <w:r>
        <w:rPr>
          <w:rFonts w:hint="default" w:ascii="Times New Roman" w:hAnsi="Times New Roman" w:cs="Times New Roman"/>
          <w:b w:val="0"/>
          <w:bCs w:val="0"/>
          <w:sz w:val="22"/>
          <w:szCs w:val="22"/>
          <w:lang w:val="en-US" w:eastAsia="zh-CN"/>
        </w:rPr>
        <w:t xml:space="preserve">Kaplan-Meier curve analysis shows the cumulative incidence of CVD in CTI quartile array (according to blood glucose status and </w:t>
      </w:r>
      <w:r>
        <w:rPr>
          <w:rFonts w:hint="eastAsia" w:ascii="Times New Roman" w:hAnsi="Times New Roman" w:cs="Times New Roman"/>
          <w:b w:val="0"/>
          <w:bCs w:val="0"/>
          <w:sz w:val="22"/>
          <w:szCs w:val="22"/>
          <w:lang w:val="en-US" w:eastAsia="zh-CN"/>
        </w:rPr>
        <w:t>marital status</w:t>
      </w:r>
      <w:r>
        <w:rPr>
          <w:rFonts w:hint="default" w:ascii="Times New Roman" w:hAnsi="Times New Roman" w:cs="Times New Roman"/>
          <w:b w:val="0"/>
          <w:bCs w:val="0"/>
          <w:sz w:val="22"/>
          <w:szCs w:val="22"/>
          <w:lang w:val="en-US" w:eastAsia="zh-CN"/>
        </w:rPr>
        <w:t>).</w:t>
      </w:r>
      <w:r>
        <w:rPr>
          <w:rFonts w:hint="eastAsia" w:ascii="Times New Roman" w:hAnsi="Times New Roman" w:cs="Times New Roman"/>
          <w:b w:val="0"/>
          <w:bCs w:val="0"/>
          <w:sz w:val="22"/>
          <w:szCs w:val="22"/>
          <w:lang w:val="en-US" w:eastAsia="zh-CN"/>
        </w:rPr>
        <w:t xml:space="preserve"> </w:t>
      </w: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drawing>
          <wp:inline distT="0" distB="0" distL="114300" distR="114300">
            <wp:extent cx="5261610" cy="4509770"/>
            <wp:effectExtent l="0" t="0" r="15240" b="5080"/>
            <wp:docPr id="20" name="图片 20" descr="Supplementary Figure S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Supplementary Figure S20"/>
                    <pic:cNvPicPr>
                      <a:picLocks noChangeAspect="1"/>
                    </pic:cNvPicPr>
                  </pic:nvPicPr>
                  <pic:blipFill>
                    <a:blip r:embed="rId23"/>
                    <a:stretch>
                      <a:fillRect/>
                    </a:stretch>
                  </pic:blipFill>
                  <pic:spPr>
                    <a:xfrm>
                      <a:off x="0" y="0"/>
                      <a:ext cx="5261610" cy="4509770"/>
                    </a:xfrm>
                    <a:prstGeom prst="rect">
                      <a:avLst/>
                    </a:prstGeom>
                  </pic:spPr>
                </pic:pic>
              </a:graphicData>
            </a:graphic>
          </wp:inline>
        </w:drawing>
      </w:r>
    </w:p>
    <w:p>
      <w:pPr>
        <w:jc w:val="both"/>
        <w:rPr>
          <w:rFonts w:hint="default" w:ascii="Times New Roman" w:hAnsi="Times New Roman" w:cs="Times New Roman"/>
          <w:b w:val="0"/>
          <w:bCs w:val="0"/>
          <w:sz w:val="22"/>
          <w:szCs w:val="22"/>
          <w:lang w:val="en-US" w:eastAsia="zh-CN"/>
        </w:rPr>
      </w:pPr>
      <w:r>
        <w:rPr>
          <w:rFonts w:hint="default" w:ascii="Times New Roman" w:hAnsi="Times New Roman" w:cs="Times New Roman"/>
          <w:b/>
          <w:bCs/>
          <w:sz w:val="22"/>
          <w:szCs w:val="22"/>
          <w:lang w:val="en-US" w:eastAsia="zh-CN"/>
        </w:rPr>
        <w:t>Fig. S</w:t>
      </w:r>
      <w:r>
        <w:rPr>
          <w:rFonts w:hint="eastAsia" w:ascii="Times New Roman" w:hAnsi="Times New Roman" w:cs="Times New Roman"/>
          <w:b/>
          <w:bCs/>
          <w:sz w:val="22"/>
          <w:szCs w:val="22"/>
          <w:lang w:val="en-US" w:eastAsia="zh-CN"/>
        </w:rPr>
        <w:t>20</w:t>
      </w:r>
      <w:r>
        <w:rPr>
          <w:rFonts w:hint="default" w:ascii="Times New Roman" w:hAnsi="Times New Roman" w:cs="Times New Roman"/>
          <w:b w:val="0"/>
          <w:bCs w:val="0"/>
          <w:sz w:val="22"/>
          <w:szCs w:val="22"/>
          <w:lang w:val="en-US" w:eastAsia="zh-CN"/>
        </w:rPr>
        <w:t>. RCS analysis between CTI and CVD incidence (according to blood glucose status and gender</w:t>
      </w:r>
      <w:r>
        <w:rPr>
          <w:rFonts w:hint="eastAsia" w:ascii="Times New Roman" w:hAnsi="Times New Roman" w:cs="Times New Roman"/>
          <w:b w:val="0"/>
          <w:bCs w:val="0"/>
          <w:sz w:val="22"/>
          <w:szCs w:val="22"/>
          <w:lang w:val="en-US" w:eastAsia="zh-CN"/>
        </w:rPr>
        <w:t>)</w:t>
      </w:r>
      <w:r>
        <w:rPr>
          <w:rFonts w:hint="default" w:ascii="Times New Roman" w:hAnsi="Times New Roman" w:cs="Times New Roman"/>
          <w:b w:val="0"/>
          <w:bCs w:val="0"/>
          <w:sz w:val="22"/>
          <w:szCs w:val="22"/>
          <w:lang w:val="en-US" w:eastAsia="zh-CN"/>
        </w:rPr>
        <w:t>.</w:t>
      </w:r>
      <w:r>
        <w:rPr>
          <w:rFonts w:hint="eastAsia" w:ascii="Times New Roman" w:hAnsi="Times New Roman" w:cs="Times New Roman"/>
          <w:b w:val="0"/>
          <w:bCs w:val="0"/>
          <w:sz w:val="22"/>
          <w:szCs w:val="22"/>
          <w:lang w:val="en-US" w:eastAsia="zh-CN"/>
        </w:rPr>
        <w:t xml:space="preserve"> Adjusted for age, residence, marital status, education level, smoking status, and drinking status, BMI, WC, SBP, DBP, TC, LDL, HDL, uric acid, hypertension, diabetes, dyslipidemia, liver diseases, kidney diseases, lung diseases, digestive diseases, hypertension drugs, diabetes drugs, dyslipidemia drugs, and geographical area were adjusted.</w:t>
      </w: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drawing>
          <wp:inline distT="0" distB="0" distL="114300" distR="114300">
            <wp:extent cx="5261610" cy="4509770"/>
            <wp:effectExtent l="0" t="0" r="15240" b="5080"/>
            <wp:docPr id="21" name="图片 21" descr="Supplementary Figure S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Supplementary Figure S21"/>
                    <pic:cNvPicPr>
                      <a:picLocks noChangeAspect="1"/>
                    </pic:cNvPicPr>
                  </pic:nvPicPr>
                  <pic:blipFill>
                    <a:blip r:embed="rId24"/>
                    <a:stretch>
                      <a:fillRect/>
                    </a:stretch>
                  </pic:blipFill>
                  <pic:spPr>
                    <a:xfrm>
                      <a:off x="0" y="0"/>
                      <a:ext cx="5261610" cy="4509770"/>
                    </a:xfrm>
                    <a:prstGeom prst="rect">
                      <a:avLst/>
                    </a:prstGeom>
                  </pic:spPr>
                </pic:pic>
              </a:graphicData>
            </a:graphic>
          </wp:inline>
        </w:drawing>
      </w:r>
    </w:p>
    <w:p>
      <w:pPr>
        <w:jc w:val="both"/>
        <w:rPr>
          <w:rFonts w:hint="default" w:ascii="Times New Roman" w:hAnsi="Times New Roman" w:cs="Times New Roman"/>
          <w:b w:val="0"/>
          <w:bCs w:val="0"/>
          <w:sz w:val="22"/>
          <w:szCs w:val="22"/>
          <w:lang w:val="en-US" w:eastAsia="zh-CN"/>
        </w:rPr>
      </w:pPr>
      <w:r>
        <w:rPr>
          <w:rFonts w:hint="default" w:ascii="Times New Roman" w:hAnsi="Times New Roman" w:cs="Times New Roman"/>
          <w:b/>
          <w:bCs/>
          <w:sz w:val="22"/>
          <w:szCs w:val="22"/>
          <w:lang w:val="en-US" w:eastAsia="zh-CN"/>
        </w:rPr>
        <w:t>Fig. S2</w:t>
      </w:r>
      <w:r>
        <w:rPr>
          <w:rFonts w:hint="eastAsia" w:ascii="Times New Roman" w:hAnsi="Times New Roman" w:cs="Times New Roman"/>
          <w:b/>
          <w:bCs/>
          <w:sz w:val="22"/>
          <w:szCs w:val="22"/>
          <w:lang w:val="en-US" w:eastAsia="zh-CN"/>
        </w:rPr>
        <w:t>1</w:t>
      </w:r>
      <w:r>
        <w:rPr>
          <w:rFonts w:hint="default" w:ascii="Times New Roman" w:hAnsi="Times New Roman" w:cs="Times New Roman"/>
          <w:b/>
          <w:bCs/>
          <w:sz w:val="22"/>
          <w:szCs w:val="22"/>
          <w:lang w:val="en-US" w:eastAsia="zh-CN"/>
        </w:rPr>
        <w:t>.</w:t>
      </w:r>
      <w:r>
        <w:rPr>
          <w:rFonts w:hint="default" w:ascii="Times New Roman" w:hAnsi="Times New Roman" w:cs="Times New Roman"/>
          <w:b w:val="0"/>
          <w:bCs w:val="0"/>
          <w:sz w:val="22"/>
          <w:szCs w:val="22"/>
          <w:lang w:val="en-US" w:eastAsia="zh-CN"/>
        </w:rPr>
        <w:t xml:space="preserve"> RCS analysis between CTI and CVD incidence (according to blood glucose status and </w:t>
      </w:r>
      <w:r>
        <w:rPr>
          <w:rFonts w:hint="eastAsia" w:ascii="Times New Roman" w:hAnsi="Times New Roman" w:cs="Times New Roman"/>
          <w:b w:val="0"/>
          <w:bCs w:val="0"/>
          <w:sz w:val="22"/>
          <w:szCs w:val="22"/>
          <w:lang w:val="en-US" w:eastAsia="zh-CN"/>
        </w:rPr>
        <w:t>age</w:t>
      </w:r>
      <w:r>
        <w:rPr>
          <w:rFonts w:hint="default" w:ascii="Times New Roman" w:hAnsi="Times New Roman" w:cs="Times New Roman"/>
          <w:b w:val="0"/>
          <w:bCs w:val="0"/>
          <w:sz w:val="22"/>
          <w:szCs w:val="22"/>
          <w:lang w:val="en-US" w:eastAsia="zh-CN"/>
        </w:rPr>
        <w:t>).</w:t>
      </w:r>
      <w:r>
        <w:rPr>
          <w:rFonts w:hint="eastAsia" w:ascii="Times New Roman" w:hAnsi="Times New Roman" w:cs="Times New Roman"/>
          <w:b w:val="0"/>
          <w:bCs w:val="0"/>
          <w:sz w:val="22"/>
          <w:szCs w:val="22"/>
          <w:lang w:val="en-US" w:eastAsia="zh-CN"/>
        </w:rPr>
        <w:t xml:space="preserve"> Adjusted for gender, residence, marital status, education level, smoking status, and drinking status, BMI, WC, SBP, DBP, TC, LDL, HDL, uric acid, hypertension, diabetes, dyslipidemia, liver diseases, kidney diseases, lung diseases, digestive diseases, hypertension drugs, diabetes drugs, dyslipidemia drugs, and geographical area were adjusted.</w:t>
      </w: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r>
        <w:rPr>
          <w:rFonts w:hint="default" w:ascii="Times New Roman" w:hAnsi="Times New Roman" w:cs="Times New Roman"/>
          <w:b w:val="0"/>
          <w:bCs w:val="0"/>
          <w:sz w:val="22"/>
          <w:szCs w:val="22"/>
          <w:lang w:val="en-US" w:eastAsia="zh-CN"/>
        </w:rPr>
        <w:drawing>
          <wp:inline distT="0" distB="0" distL="114300" distR="114300">
            <wp:extent cx="5261610" cy="4509770"/>
            <wp:effectExtent l="0" t="0" r="15240" b="5080"/>
            <wp:docPr id="22" name="图片 22" descr="Supplementary Figure S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Supplementary Figure S22"/>
                    <pic:cNvPicPr>
                      <a:picLocks noChangeAspect="1"/>
                    </pic:cNvPicPr>
                  </pic:nvPicPr>
                  <pic:blipFill>
                    <a:blip r:embed="rId25"/>
                    <a:stretch>
                      <a:fillRect/>
                    </a:stretch>
                  </pic:blipFill>
                  <pic:spPr>
                    <a:xfrm>
                      <a:off x="0" y="0"/>
                      <a:ext cx="5261610" cy="4509770"/>
                    </a:xfrm>
                    <a:prstGeom prst="rect">
                      <a:avLst/>
                    </a:prstGeom>
                  </pic:spPr>
                </pic:pic>
              </a:graphicData>
            </a:graphic>
          </wp:inline>
        </w:drawing>
      </w:r>
    </w:p>
    <w:p>
      <w:pPr>
        <w:jc w:val="both"/>
        <w:rPr>
          <w:rFonts w:hint="default" w:ascii="Times New Roman" w:hAnsi="Times New Roman" w:cs="Times New Roman"/>
          <w:b w:val="0"/>
          <w:bCs w:val="0"/>
          <w:sz w:val="22"/>
          <w:szCs w:val="22"/>
          <w:lang w:val="en-US" w:eastAsia="zh-CN"/>
        </w:rPr>
      </w:pPr>
      <w:r>
        <w:rPr>
          <w:rFonts w:hint="default" w:ascii="Times New Roman" w:hAnsi="Times New Roman" w:cs="Times New Roman"/>
          <w:b/>
          <w:bCs/>
          <w:sz w:val="22"/>
          <w:szCs w:val="22"/>
          <w:lang w:val="en-US" w:eastAsia="zh-CN"/>
        </w:rPr>
        <w:t>Fig. S2</w:t>
      </w:r>
      <w:r>
        <w:rPr>
          <w:rFonts w:hint="eastAsia" w:ascii="Times New Roman" w:hAnsi="Times New Roman" w:cs="Times New Roman"/>
          <w:b/>
          <w:bCs/>
          <w:sz w:val="22"/>
          <w:szCs w:val="22"/>
          <w:lang w:val="en-US" w:eastAsia="zh-CN"/>
        </w:rPr>
        <w:t>2</w:t>
      </w:r>
      <w:r>
        <w:rPr>
          <w:rFonts w:hint="default" w:ascii="Times New Roman" w:hAnsi="Times New Roman" w:cs="Times New Roman"/>
          <w:b/>
          <w:bCs/>
          <w:sz w:val="22"/>
          <w:szCs w:val="22"/>
          <w:lang w:val="en-US" w:eastAsia="zh-CN"/>
        </w:rPr>
        <w:t>.</w:t>
      </w:r>
      <w:r>
        <w:rPr>
          <w:rFonts w:hint="default" w:ascii="Times New Roman" w:hAnsi="Times New Roman" w:cs="Times New Roman"/>
          <w:b w:val="0"/>
          <w:bCs w:val="0"/>
          <w:sz w:val="22"/>
          <w:szCs w:val="22"/>
          <w:lang w:val="en-US" w:eastAsia="zh-CN"/>
        </w:rPr>
        <w:t xml:space="preserve"> RCS analysis between CTI and CVD incidence (according to blood glucose status and marital status).</w:t>
      </w:r>
      <w:r>
        <w:rPr>
          <w:rFonts w:hint="eastAsia" w:ascii="Times New Roman" w:hAnsi="Times New Roman" w:cs="Times New Roman"/>
          <w:b w:val="0"/>
          <w:bCs w:val="0"/>
          <w:sz w:val="22"/>
          <w:szCs w:val="22"/>
          <w:lang w:val="en-US" w:eastAsia="zh-CN"/>
        </w:rPr>
        <w:t xml:space="preserve"> Adjusted for gender, age, residence, education level, smoking status, and drinking status, BMI, WC, SBP, DBP, TC, LDL, HDL, uric acid, hypertension, diabetes, dyslipidemia, liver diseases, kidney diseases, lung diseases, digestive diseases, hypertension drugs, diabetes drugs, dyslipidemia drugs, and geographical area were adjusted.</w:t>
      </w: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p>
      <w:pPr>
        <w:jc w:val="both"/>
        <w:rPr>
          <w:rFonts w:hint="default" w:ascii="Times New Roman" w:hAnsi="Times New Roman" w:cs="Times New Roman"/>
          <w:b w:val="0"/>
          <w:bCs w:val="0"/>
          <w:sz w:val="22"/>
          <w:szCs w:val="22"/>
          <w:lang w:val="en-US" w:eastAsia="zh-CN"/>
        </w:rPr>
      </w:pPr>
    </w:p>
    <w:sectPr>
      <w:pgSz w:w="11906" w:h="16838"/>
      <w:pgMar w:top="1440" w:right="1800" w:bottom="1440" w:left="180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951FEE"/>
    <w:rsid w:val="009F315E"/>
    <w:rsid w:val="011939EA"/>
    <w:rsid w:val="02EC30BD"/>
    <w:rsid w:val="031B5571"/>
    <w:rsid w:val="034234DB"/>
    <w:rsid w:val="067D1525"/>
    <w:rsid w:val="072239CB"/>
    <w:rsid w:val="07702E84"/>
    <w:rsid w:val="0862381E"/>
    <w:rsid w:val="08FE3527"/>
    <w:rsid w:val="09D165B1"/>
    <w:rsid w:val="09DE6D52"/>
    <w:rsid w:val="09F176D1"/>
    <w:rsid w:val="0A960E3D"/>
    <w:rsid w:val="0AC92CF4"/>
    <w:rsid w:val="0B75485F"/>
    <w:rsid w:val="0BD14D09"/>
    <w:rsid w:val="0C741652"/>
    <w:rsid w:val="0D16605B"/>
    <w:rsid w:val="0D346DCD"/>
    <w:rsid w:val="0D35077C"/>
    <w:rsid w:val="0EAC6E81"/>
    <w:rsid w:val="0F0559B6"/>
    <w:rsid w:val="0F6B368C"/>
    <w:rsid w:val="0F751969"/>
    <w:rsid w:val="0F9C6D73"/>
    <w:rsid w:val="1042126D"/>
    <w:rsid w:val="10637A6B"/>
    <w:rsid w:val="106C50B9"/>
    <w:rsid w:val="113874D2"/>
    <w:rsid w:val="11564301"/>
    <w:rsid w:val="11641DB7"/>
    <w:rsid w:val="1221200E"/>
    <w:rsid w:val="122F3B54"/>
    <w:rsid w:val="12B67FD5"/>
    <w:rsid w:val="12C66694"/>
    <w:rsid w:val="137D2B65"/>
    <w:rsid w:val="13C01611"/>
    <w:rsid w:val="14186D67"/>
    <w:rsid w:val="145C71FC"/>
    <w:rsid w:val="14C12FBF"/>
    <w:rsid w:val="165D7C2E"/>
    <w:rsid w:val="184A07A7"/>
    <w:rsid w:val="18951E25"/>
    <w:rsid w:val="19C4098B"/>
    <w:rsid w:val="1A4D5FB0"/>
    <w:rsid w:val="1A804DEF"/>
    <w:rsid w:val="1A9E0A2B"/>
    <w:rsid w:val="1B267FBB"/>
    <w:rsid w:val="1B82001A"/>
    <w:rsid w:val="1DB45A02"/>
    <w:rsid w:val="1DC35F95"/>
    <w:rsid w:val="1E2E4331"/>
    <w:rsid w:val="1E500317"/>
    <w:rsid w:val="1EB15386"/>
    <w:rsid w:val="21577120"/>
    <w:rsid w:val="22370D00"/>
    <w:rsid w:val="226442A0"/>
    <w:rsid w:val="231352C9"/>
    <w:rsid w:val="240A5C58"/>
    <w:rsid w:val="242E2942"/>
    <w:rsid w:val="260E7FC9"/>
    <w:rsid w:val="2631454B"/>
    <w:rsid w:val="26600825"/>
    <w:rsid w:val="266320C3"/>
    <w:rsid w:val="26E1582E"/>
    <w:rsid w:val="26E445C5"/>
    <w:rsid w:val="28E41320"/>
    <w:rsid w:val="29196A34"/>
    <w:rsid w:val="29DA009F"/>
    <w:rsid w:val="2A926A9E"/>
    <w:rsid w:val="2DC56527"/>
    <w:rsid w:val="2DF97C95"/>
    <w:rsid w:val="2E352713"/>
    <w:rsid w:val="30333BEE"/>
    <w:rsid w:val="30FD0CC5"/>
    <w:rsid w:val="310D15A9"/>
    <w:rsid w:val="31FC34DB"/>
    <w:rsid w:val="329D695D"/>
    <w:rsid w:val="32C50B14"/>
    <w:rsid w:val="32EC3F57"/>
    <w:rsid w:val="373C2CF8"/>
    <w:rsid w:val="37F67BB6"/>
    <w:rsid w:val="38DF4AC4"/>
    <w:rsid w:val="3B370FF0"/>
    <w:rsid w:val="3CD067E4"/>
    <w:rsid w:val="3CE37662"/>
    <w:rsid w:val="3CFB4ABD"/>
    <w:rsid w:val="3E2E2C17"/>
    <w:rsid w:val="3E814EB2"/>
    <w:rsid w:val="3F043EA7"/>
    <w:rsid w:val="40072262"/>
    <w:rsid w:val="419929E5"/>
    <w:rsid w:val="419D24D5"/>
    <w:rsid w:val="42E867A1"/>
    <w:rsid w:val="42F360EA"/>
    <w:rsid w:val="434205CF"/>
    <w:rsid w:val="435A7F52"/>
    <w:rsid w:val="43984B16"/>
    <w:rsid w:val="44DB193D"/>
    <w:rsid w:val="46552F58"/>
    <w:rsid w:val="46D71E45"/>
    <w:rsid w:val="473B2296"/>
    <w:rsid w:val="478125F8"/>
    <w:rsid w:val="4B990304"/>
    <w:rsid w:val="4BE475F6"/>
    <w:rsid w:val="4BF90C50"/>
    <w:rsid w:val="4C2056EA"/>
    <w:rsid w:val="4C2C4B82"/>
    <w:rsid w:val="4C6F5B41"/>
    <w:rsid w:val="4D2402AB"/>
    <w:rsid w:val="4DE95A68"/>
    <w:rsid w:val="4E917FD9"/>
    <w:rsid w:val="4E922C96"/>
    <w:rsid w:val="4EF70D4B"/>
    <w:rsid w:val="51E2048E"/>
    <w:rsid w:val="52353C6D"/>
    <w:rsid w:val="55214D74"/>
    <w:rsid w:val="56743D30"/>
    <w:rsid w:val="56E9417D"/>
    <w:rsid w:val="575D6537"/>
    <w:rsid w:val="580F66CB"/>
    <w:rsid w:val="58AC5FAD"/>
    <w:rsid w:val="5A407A4A"/>
    <w:rsid w:val="5C4D7BF9"/>
    <w:rsid w:val="5C935DC2"/>
    <w:rsid w:val="5E2A31A1"/>
    <w:rsid w:val="5ED17FEB"/>
    <w:rsid w:val="5F5D2E4C"/>
    <w:rsid w:val="62F47A78"/>
    <w:rsid w:val="63274F95"/>
    <w:rsid w:val="63663B34"/>
    <w:rsid w:val="63747EF2"/>
    <w:rsid w:val="63974B7F"/>
    <w:rsid w:val="644E193A"/>
    <w:rsid w:val="64923704"/>
    <w:rsid w:val="65163A99"/>
    <w:rsid w:val="65C23A09"/>
    <w:rsid w:val="662D35E6"/>
    <w:rsid w:val="663F6B85"/>
    <w:rsid w:val="666A79B6"/>
    <w:rsid w:val="69357388"/>
    <w:rsid w:val="697A2F79"/>
    <w:rsid w:val="69880806"/>
    <w:rsid w:val="6AFE2248"/>
    <w:rsid w:val="6B0235B8"/>
    <w:rsid w:val="6B3C600C"/>
    <w:rsid w:val="6C3A7D82"/>
    <w:rsid w:val="6C4E249B"/>
    <w:rsid w:val="6EE669BA"/>
    <w:rsid w:val="6F9879FA"/>
    <w:rsid w:val="6FC64483"/>
    <w:rsid w:val="70136DD6"/>
    <w:rsid w:val="70BD374B"/>
    <w:rsid w:val="72D2426E"/>
    <w:rsid w:val="743310EB"/>
    <w:rsid w:val="74ED45BF"/>
    <w:rsid w:val="754F679B"/>
    <w:rsid w:val="75875897"/>
    <w:rsid w:val="75FD0450"/>
    <w:rsid w:val="767D2C96"/>
    <w:rsid w:val="778B6ADB"/>
    <w:rsid w:val="77F43EF6"/>
    <w:rsid w:val="783E290A"/>
    <w:rsid w:val="783F0EE9"/>
    <w:rsid w:val="78540C34"/>
    <w:rsid w:val="793D7B1F"/>
    <w:rsid w:val="7AA01215"/>
    <w:rsid w:val="7B242EDF"/>
    <w:rsid w:val="7B990506"/>
    <w:rsid w:val="7D344D95"/>
    <w:rsid w:val="7D9319D9"/>
    <w:rsid w:val="7EAC05F7"/>
    <w:rsid w:val="7F383855"/>
    <w:rsid w:val="7FAC2A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6" Type="http://schemas.openxmlformats.org/officeDocument/2006/relationships/fontTable" Target="fontTable.xml"/><Relationship Id="rId25" Type="http://schemas.openxmlformats.org/officeDocument/2006/relationships/image" Target="media/image22.jpeg"/><Relationship Id="rId24" Type="http://schemas.openxmlformats.org/officeDocument/2006/relationships/image" Target="media/image21.jpeg"/><Relationship Id="rId23" Type="http://schemas.openxmlformats.org/officeDocument/2006/relationships/image" Target="media/image20.jpeg"/><Relationship Id="rId22" Type="http://schemas.openxmlformats.org/officeDocument/2006/relationships/image" Target="media/image19.jpeg"/><Relationship Id="rId21" Type="http://schemas.openxmlformats.org/officeDocument/2006/relationships/image" Target="media/image18.jpeg"/><Relationship Id="rId20" Type="http://schemas.openxmlformats.org/officeDocument/2006/relationships/image" Target="media/image17.jpeg"/><Relationship Id="rId2" Type="http://schemas.openxmlformats.org/officeDocument/2006/relationships/settings" Target="settings.xml"/><Relationship Id="rId19" Type="http://schemas.openxmlformats.org/officeDocument/2006/relationships/image" Target="media/image16.jpeg"/><Relationship Id="rId18" Type="http://schemas.openxmlformats.org/officeDocument/2006/relationships/image" Target="media/image15.jpe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39</Pages>
  <Words>245</Words>
  <Characters>1196</Characters>
  <Lines>0</Lines>
  <Paragraphs>0</Paragraphs>
  <TotalTime>18</TotalTime>
  <ScaleCrop>false</ScaleCrop>
  <LinksUpToDate>false</LinksUpToDate>
  <CharactersWithSpaces>1357</CharactersWithSpaces>
  <Application>WPS Office_11.8.2.11473_F1E327BC-269C-435d-A152-05C5408002CA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2025-09-12T01:35:00Z</dcterms:created>
  <dc:creator>Administrator</dc:creator>
  <cp:lastModifiedBy>Amor</cp:lastModifiedBy>
  <dcterms:modified xsi:type="dcterms:W3CDTF">2025-09-17T14:15:30Z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2052-11.8.2.11473</vt:lpwstr>
  </property>
  <property fmtid="{D5CDD505-2E9C-101B-9397-08002B2CF9AE}" pid="3" name="KSOTemplateDocerSaveRecord">
    <vt:lpwstr>eyJoZGlkIjoiMTcyMWExOGU2YmMzMDk5ZDc4NTUyNzBmMjIyNTU3YzMiLCJ1c2VySWQiOiIyODU1MTg4MzEifQ==</vt:lpwstr>
  </property>
  <property fmtid="{D5CDD505-2E9C-101B-9397-08002B2CF9AE}" pid="4" name="ICV">
    <vt:lpwstr>05E69538D9C445688EA73C2E2B4EBC1F_12</vt:lpwstr>
  </property>
</Properties>
</file>