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2C" w:rsidRDefault="00ED1BA5">
      <w:pPr>
        <w:spacing w:beforeLines="2000" w:before="6240"/>
        <w:jc w:val="center"/>
        <w:rPr>
          <w:rFonts w:ascii="Times New Roman" w:hAnsi="Times New Roman" w:cs="Times New Roman"/>
          <w:sz w:val="52"/>
          <w:szCs w:val="52"/>
        </w:rPr>
        <w:sectPr w:rsidR="00443E2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  <w:r>
        <w:rPr>
          <w:rFonts w:ascii="Times New Roman" w:hAnsi="Times New Roman" w:cs="Times New Roman" w:hint="eastAsia"/>
          <w:sz w:val="52"/>
          <w:szCs w:val="52"/>
        </w:rPr>
        <w:t>Additional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 w:hint="eastAsia"/>
          <w:sz w:val="52"/>
          <w:szCs w:val="52"/>
        </w:rPr>
        <w:t>File</w:t>
      </w:r>
      <w:r>
        <w:rPr>
          <w:rFonts w:ascii="Times New Roman" w:hAnsi="Times New Roman" w:cs="Times New Roman"/>
          <w:sz w:val="52"/>
          <w:szCs w:val="52"/>
        </w:rPr>
        <w:t>s</w:t>
      </w:r>
    </w:p>
    <w:sdt>
      <w:sdtPr>
        <w:rPr>
          <w:rFonts w:asciiTheme="minorHAnsi" w:eastAsiaTheme="minorEastAsia" w:hAnsiTheme="minorHAnsi" w:cs="Times New Roman"/>
          <w:color w:val="auto"/>
          <w:kern w:val="2"/>
          <w:sz w:val="22"/>
          <w:szCs w:val="22"/>
          <w:lang w:val="zh-CN"/>
        </w:rPr>
        <w:id w:val="-1792278815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:rsidR="00443E2C" w:rsidRDefault="00ED1BA5">
          <w:pPr>
            <w:pStyle w:val="TOC10"/>
            <w:spacing w:line="48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Additional files</w:t>
          </w:r>
        </w:p>
        <w:p w:rsidR="00443E2C" w:rsidRDefault="00ED1BA5">
          <w:pPr>
            <w:pStyle w:val="TOC1"/>
            <w:spacing w:line="360" w:lineRule="auto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Abbreviations</w:t>
          </w:r>
          <w:r>
            <w:rPr>
              <w:rFonts w:ascii="Times New Roman" w:hAnsi="Times New Roman" w:hint="eastAsia"/>
            </w:rPr>
            <w:t xml:space="preserve">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/>
            </w:rPr>
            <w:t>1</w:t>
          </w:r>
        </w:p>
        <w:p w:rsidR="00443E2C" w:rsidRDefault="00ED1BA5">
          <w:pPr>
            <w:pStyle w:val="TOC1"/>
            <w:spacing w:line="360" w:lineRule="auto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>Figure S1. The study flowchart</w:t>
          </w:r>
          <w:r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2</w:t>
          </w:r>
        </w:p>
        <w:p w:rsidR="00443E2C" w:rsidRDefault="00ED1BA5">
          <w:pPr>
            <w:pStyle w:val="TOC2"/>
            <w:spacing w:line="360" w:lineRule="auto"/>
            <w:ind w:left="1100" w:hangingChars="500" w:hanging="1100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>Figure S</w:t>
          </w:r>
          <w:r>
            <w:rPr>
              <w:rFonts w:ascii="Times New Roman" w:hAnsi="Times New Roman" w:hint="eastAsia"/>
            </w:rPr>
            <w:t>2</w:t>
          </w:r>
          <w:r>
            <w:rPr>
              <w:rFonts w:ascii="Times New Roman" w:hAnsi="Times New Roman" w:hint="eastAsia"/>
            </w:rPr>
            <w:t>.</w:t>
          </w:r>
          <w:r>
            <w:rPr>
              <w:rFonts w:ascii="Times New Roman" w:hAnsi="Times New Roman" w:hint="eastAsia"/>
            </w:rPr>
            <w:t xml:space="preserve"> </w:t>
          </w:r>
          <w:r>
            <w:rPr>
              <w:rFonts w:ascii="Times New Roman" w:hAnsi="Times New Roman" w:hint="eastAsia"/>
            </w:rPr>
            <w:t>Kaplan-Meier survival analysis of critically ill AF patients based on SHR and SOFA strata across multiple time points</w:t>
          </w:r>
          <w:r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3</w:t>
          </w:r>
        </w:p>
        <w:p w:rsidR="00443E2C" w:rsidRDefault="00ED1BA5">
          <w:pPr>
            <w:spacing w:line="360" w:lineRule="auto"/>
            <w:ind w:left="1100" w:hangingChars="500" w:hanging="110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 w:cs="Times New Roman" w:hint="eastAsia"/>
              <w:kern w:val="0"/>
              <w:sz w:val="22"/>
            </w:rPr>
            <w:t xml:space="preserve">Figure S3. Calibration curves of the nomogram for in-hospital, 30-day, and 1-year mortality prediction in critically ill </w:t>
          </w:r>
          <w:r>
            <w:rPr>
              <w:rFonts w:ascii="Times New Roman" w:hAnsi="Times New Roman" w:cs="Times New Roman" w:hint="eastAsia"/>
              <w:kern w:val="0"/>
              <w:sz w:val="22"/>
            </w:rPr>
            <w:t>AF</w:t>
          </w:r>
          <w:r>
            <w:rPr>
              <w:rFonts w:ascii="Times New Roman" w:hAnsi="Times New Roman" w:cs="Times New Roman" w:hint="eastAsia"/>
              <w:kern w:val="0"/>
              <w:sz w:val="22"/>
            </w:rPr>
            <w:t xml:space="preserve"> patients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4</w:t>
          </w:r>
        </w:p>
        <w:p w:rsidR="00443E2C" w:rsidRDefault="00ED1BA5">
          <w:pPr>
            <w:pStyle w:val="TOC1"/>
            <w:spacing w:line="360" w:lineRule="auto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 xml:space="preserve">Table </w:t>
          </w:r>
          <w:r>
            <w:rPr>
              <w:rFonts w:ascii="Times New Roman" w:hAnsi="Times New Roman" w:hint="eastAsia"/>
            </w:rPr>
            <w:t>S1. Subgroup analyses of cox proportional hazard models for in-hospital mortality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6</w:t>
          </w:r>
        </w:p>
        <w:p w:rsidR="00443E2C" w:rsidRDefault="00ED1BA5">
          <w:pPr>
            <w:pStyle w:val="TOC2"/>
            <w:spacing w:line="360" w:lineRule="auto"/>
            <w:ind w:left="1100" w:hangingChars="500" w:hanging="1100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 xml:space="preserve">Table </w:t>
          </w:r>
          <w:r>
            <w:rPr>
              <w:rFonts w:ascii="Times New Roman" w:hAnsi="Times New Roman" w:hint="eastAsia"/>
            </w:rPr>
            <w:t>S</w:t>
          </w:r>
          <w:r>
            <w:rPr>
              <w:rFonts w:ascii="Times New Roman" w:hAnsi="Times New Roman" w:hint="eastAsia"/>
            </w:rPr>
            <w:t>2</w:t>
          </w:r>
          <w:r>
            <w:rPr>
              <w:rFonts w:ascii="Times New Roman" w:hAnsi="Times New Roman" w:hint="eastAsia"/>
            </w:rPr>
            <w:t>.</w:t>
          </w:r>
          <w:r>
            <w:rPr>
              <w:rFonts w:ascii="Times New Roman" w:hAnsi="Times New Roman" w:hint="eastAsia"/>
            </w:rPr>
            <w:t xml:space="preserve"> </w:t>
          </w:r>
          <w:r>
            <w:rPr>
              <w:rFonts w:ascii="Times New Roman" w:hAnsi="Times New Roman" w:hint="eastAsia"/>
            </w:rPr>
            <w:t>Subgroup analyses of</w:t>
          </w:r>
          <w:r>
            <w:rPr>
              <w:rFonts w:ascii="Times New Roman" w:hAnsi="Times New Roman" w:hint="eastAsia"/>
            </w:rPr>
            <w:t xml:space="preserve"> cox proportional hazard models for 30-day mortality</w:t>
          </w:r>
          <w:r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7</w:t>
          </w:r>
        </w:p>
        <w:p w:rsidR="00443E2C" w:rsidRDefault="00ED1BA5">
          <w:pPr>
            <w:pStyle w:val="TOC2"/>
            <w:spacing w:line="360" w:lineRule="auto"/>
            <w:ind w:left="1100" w:hangingChars="500" w:hanging="1100"/>
            <w:rPr>
              <w:rFonts w:ascii="Times New Roman" w:hAnsi="Times New Roman"/>
            </w:rPr>
          </w:pPr>
          <w:r>
            <w:rPr>
              <w:rFonts w:ascii="Times New Roman" w:hAnsi="Times New Roman" w:hint="eastAsia"/>
            </w:rPr>
            <w:t xml:space="preserve">Table </w:t>
          </w:r>
          <w:r>
            <w:rPr>
              <w:rFonts w:ascii="Times New Roman" w:hAnsi="Times New Roman" w:hint="eastAsia"/>
            </w:rPr>
            <w:t>S</w:t>
          </w:r>
          <w:r>
            <w:rPr>
              <w:rFonts w:ascii="Times New Roman" w:hAnsi="Times New Roman" w:hint="eastAsia"/>
            </w:rPr>
            <w:t>3</w:t>
          </w:r>
          <w:r>
            <w:rPr>
              <w:rFonts w:ascii="Times New Roman" w:hAnsi="Times New Roman" w:hint="eastAsia"/>
            </w:rPr>
            <w:t>.</w:t>
          </w:r>
          <w:r>
            <w:rPr>
              <w:rFonts w:ascii="Times New Roman" w:hAnsi="Times New Roman" w:hint="eastAsia"/>
            </w:rPr>
            <w:t xml:space="preserve"> </w:t>
          </w:r>
          <w:r>
            <w:rPr>
              <w:rFonts w:ascii="Times New Roman" w:hAnsi="Times New Roman" w:hint="eastAsia"/>
            </w:rPr>
            <w:t>Subgroup analyses of cox proportional hazard models for 3</w:t>
          </w:r>
          <w:r>
            <w:rPr>
              <w:rFonts w:ascii="Times New Roman" w:hAnsi="Times New Roman" w:hint="eastAsia"/>
            </w:rPr>
            <w:t>65</w:t>
          </w:r>
          <w:r>
            <w:rPr>
              <w:rFonts w:ascii="Times New Roman" w:hAnsi="Times New Roman" w:hint="eastAsia"/>
            </w:rPr>
            <w:t>-day mortality</w:t>
          </w:r>
          <w:r>
            <w:rPr>
              <w:rFonts w:ascii="Times New Roman" w:hAnsi="Times New Roman"/>
            </w:rPr>
            <w:t xml:space="preserve"> </w:t>
          </w:r>
          <w:r>
            <w:rPr>
              <w:rFonts w:ascii="Times New Roman" w:hAnsi="Times New Roman"/>
            </w:rPr>
            <w:ptab w:relativeTo="margin" w:alignment="right" w:leader="dot"/>
          </w:r>
          <w:r>
            <w:rPr>
              <w:rFonts w:ascii="Times New Roman" w:hAnsi="Times New Roman" w:hint="eastAsia"/>
            </w:rPr>
            <w:t>8</w:t>
          </w:r>
        </w:p>
        <w:p w:rsidR="00443E2C" w:rsidRDefault="00ED1BA5">
          <w:pPr>
            <w:spacing w:line="360" w:lineRule="auto"/>
            <w:ind w:left="1100" w:hangingChars="500" w:hanging="1100"/>
            <w:jc w:val="left"/>
            <w:rPr>
              <w:rFonts w:ascii="Times New Roman" w:hAnsi="Times New Roman" w:cs="Times New Roman"/>
              <w:sz w:val="22"/>
              <w:szCs w:val="22"/>
              <w:lang w:val="zh-CN"/>
            </w:rPr>
          </w:pPr>
        </w:p>
      </w:sdtContent>
    </w:sdt>
    <w:p w:rsidR="00443E2C" w:rsidRDefault="00443E2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74151"/>
          <w:kern w:val="0"/>
          <w:sz w:val="22"/>
          <w:szCs w:val="20"/>
        </w:rPr>
        <w:sectPr w:rsidR="00443E2C">
          <w:footerReference w:type="default" r:id="rId7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6"/>
        <w:gridCol w:w="6626"/>
      </w:tblGrid>
      <w:tr w:rsidR="00443E2C">
        <w:tc>
          <w:tcPr>
            <w:tcW w:w="8522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74151"/>
                <w:kern w:val="0"/>
                <w:sz w:val="22"/>
                <w:szCs w:val="20"/>
              </w:rPr>
              <w:lastRenderedPageBreak/>
              <w:t>Abbreviations</w:t>
            </w:r>
          </w:p>
        </w:tc>
      </w:tr>
      <w:tr w:rsidR="00443E2C">
        <w:tc>
          <w:tcPr>
            <w:tcW w:w="18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AKI</w:t>
            </w:r>
          </w:p>
        </w:tc>
        <w:tc>
          <w:tcPr>
            <w:tcW w:w="66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Acute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idney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njury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AF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Atrial fibrillation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AMI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 xml:space="preserve">cute myocardial infarction 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AGEs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Advanced glycation end-roducts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ATP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Adenosine triphosphate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Confidence interval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FBG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Fasting blood glucose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Hazard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atio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ICU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Intensive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are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nit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IR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nsulin resistance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IQR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nterquartile range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</w:rPr>
              <w:t>MAE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Mean absolute error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MIMIC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Massachusetts </w:t>
            </w: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nstitute of </w:t>
            </w: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 xml:space="preserve">echnology 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 xml:space="preserve">omputational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hysiology </w:t>
            </w: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aboratory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RCS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estricted cubic splines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SHR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Stress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yperglycemia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atio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SOFA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Sequential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rgan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f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ailure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ssessment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SAPS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II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Simplified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cute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hysiology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core II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SHAP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Shapley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dditive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xplanations</w:t>
            </w:r>
          </w:p>
        </w:tc>
      </w:tr>
      <w:tr w:rsidR="00443E2C"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SIRS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43E2C" w:rsidRDefault="00ED1BA5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ystemic inflammatory response syndrome</w:t>
            </w:r>
          </w:p>
        </w:tc>
      </w:tr>
    </w:tbl>
    <w:p w:rsidR="00443E2C" w:rsidRDefault="00443E2C">
      <w:pPr>
        <w:jc w:val="left"/>
        <w:rPr>
          <w:rFonts w:ascii="Times New Roman" w:hAnsi="Times New Roman" w:cs="Times New Roman"/>
          <w:sz w:val="22"/>
          <w:szCs w:val="22"/>
        </w:rPr>
        <w:sectPr w:rsidR="00443E2C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443E2C" w:rsidRDefault="00ED1BA5">
      <w:pPr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lastRenderedPageBreak/>
        <w:t xml:space="preserve">Figure S1. </w:t>
      </w:r>
      <w:r>
        <w:rPr>
          <w:rFonts w:ascii="Times New Roman" w:hAnsi="Times New Roman" w:hint="eastAsia"/>
          <w:b/>
          <w:bCs/>
        </w:rPr>
        <w:t>The study flowchart</w:t>
      </w:r>
    </w:p>
    <w:p w:rsidR="00443E2C" w:rsidRDefault="00443E2C">
      <w:pPr>
        <w:jc w:val="left"/>
        <w:rPr>
          <w:rFonts w:ascii="Times New Roman" w:hAnsi="Times New Roman"/>
        </w:rPr>
      </w:pPr>
    </w:p>
    <w:p w:rsidR="00443E2C" w:rsidRDefault="00ED1BA5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noProof/>
          <w:lang w:val="en-IN" w:eastAsia="en-IN"/>
        </w:rPr>
        <w:drawing>
          <wp:inline distT="0" distB="0" distL="114300" distR="114300">
            <wp:extent cx="6059170" cy="5208270"/>
            <wp:effectExtent l="0" t="0" r="11430" b="11430"/>
            <wp:docPr id="5" name="图片 5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2C" w:rsidRDefault="00443E2C">
      <w:pPr>
        <w:jc w:val="left"/>
        <w:rPr>
          <w:rFonts w:ascii="Times New Roman" w:hAnsi="Times New Roman"/>
        </w:rPr>
        <w:sectPr w:rsidR="00443E2C">
          <w:pgSz w:w="11906" w:h="16838"/>
          <w:pgMar w:top="1440" w:right="1179" w:bottom="1440" w:left="1179" w:header="851" w:footer="992" w:gutter="0"/>
          <w:cols w:space="425"/>
          <w:docGrid w:type="lines" w:linePitch="312"/>
        </w:sectPr>
      </w:pPr>
    </w:p>
    <w:p w:rsidR="00443E2C" w:rsidRDefault="00ED1BA5">
      <w:pPr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lastRenderedPageBreak/>
        <w:t>Figure S2.</w:t>
      </w:r>
      <w:r>
        <w:rPr>
          <w:rFonts w:ascii="Times New Roman" w:hAnsi="Times New Roman" w:hint="eastAsia"/>
          <w:b/>
          <w:bCs/>
        </w:rPr>
        <w:t xml:space="preserve"> Kaplan-Meier survival analysis of critically ill AF patients based on SHR and SOFA strata across multiple time points</w:t>
      </w:r>
    </w:p>
    <w:p w:rsidR="00443E2C" w:rsidRDefault="00443E2C">
      <w:pPr>
        <w:jc w:val="left"/>
        <w:rPr>
          <w:rFonts w:ascii="Times New Roman" w:hAnsi="Times New Roman"/>
          <w:b/>
          <w:bCs/>
        </w:rPr>
      </w:pPr>
    </w:p>
    <w:p w:rsidR="00443E2C" w:rsidRDefault="00ED1BA5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noProof/>
          <w:lang w:val="en-IN" w:eastAsia="en-IN"/>
        </w:rPr>
        <w:drawing>
          <wp:inline distT="0" distB="0" distL="114300" distR="114300">
            <wp:extent cx="8399780" cy="3609975"/>
            <wp:effectExtent l="0" t="0" r="7620" b="952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9978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2C" w:rsidRDefault="00443E2C">
      <w:pPr>
        <w:jc w:val="left"/>
        <w:rPr>
          <w:rFonts w:ascii="Times New Roman" w:hAnsi="Times New Roman"/>
        </w:rPr>
      </w:pPr>
    </w:p>
    <w:p w:rsidR="00443E2C" w:rsidRDefault="00ED1BA5">
      <w:pPr>
        <w:jc w:val="left"/>
        <w:rPr>
          <w:rFonts w:ascii="Times New Roman" w:hAnsi="Times New Roman"/>
        </w:rPr>
        <w:sectPr w:rsidR="00443E2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hint="eastAsia"/>
        </w:rPr>
        <w:t>Kaplan-Meier survival curves</w:t>
      </w:r>
      <w:r>
        <w:rPr>
          <w:rFonts w:ascii="Times New Roman" w:hAnsi="Times New Roman"/>
        </w:rPr>
        <w:t xml:space="preserve"> illustrate the survival probabilities at in-hospital</w:t>
      </w:r>
      <w:r>
        <w:rPr>
          <w:rFonts w:ascii="Times New Roman" w:hAnsi="Times New Roman" w:hint="eastAsia"/>
        </w:rPr>
        <w:t xml:space="preserve"> (A)</w:t>
      </w:r>
      <w:r>
        <w:rPr>
          <w:rFonts w:ascii="Times New Roman" w:hAnsi="Times New Roman"/>
        </w:rPr>
        <w:t>, at 30 days</w:t>
      </w:r>
      <w:r>
        <w:rPr>
          <w:rFonts w:ascii="Times New Roman" w:hAnsi="Times New Roman" w:hint="eastAsia"/>
        </w:rPr>
        <w:t xml:space="preserve"> (B)</w:t>
      </w:r>
      <w:r>
        <w:rPr>
          <w:rFonts w:ascii="Times New Roman" w:hAnsi="Times New Roman"/>
        </w:rPr>
        <w:t xml:space="preserve">, and at </w:t>
      </w:r>
      <w:r>
        <w:rPr>
          <w:rFonts w:ascii="Times New Roman" w:hAnsi="Times New Roman"/>
        </w:rPr>
        <w:t>one year</w:t>
      </w:r>
      <w:r>
        <w:rPr>
          <w:rFonts w:ascii="Times New Roman" w:hAnsi="Times New Roman" w:hint="eastAsia"/>
        </w:rPr>
        <w:t xml:space="preserve"> (C)</w:t>
      </w:r>
      <w:r>
        <w:rPr>
          <w:rFonts w:ascii="Times New Roman" w:hAnsi="Times New Roman"/>
        </w:rPr>
        <w:t>, highlighting the differential mortality risks associated with varying levels of SHR and SOFA.</w:t>
      </w:r>
    </w:p>
    <w:p w:rsidR="00443E2C" w:rsidRDefault="00ED1BA5">
      <w:pPr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lastRenderedPageBreak/>
        <w:t>Figure S</w:t>
      </w:r>
      <w:r>
        <w:rPr>
          <w:rFonts w:ascii="Times New Roman" w:hAnsi="Times New Roman" w:hint="eastAsia"/>
          <w:b/>
          <w:bCs/>
        </w:rPr>
        <w:t>3</w:t>
      </w:r>
      <w:r>
        <w:rPr>
          <w:rFonts w:ascii="Times New Roman" w:hAnsi="Times New Roman" w:hint="eastAsia"/>
          <w:b/>
          <w:bCs/>
        </w:rPr>
        <w:t xml:space="preserve">. Calibration </w:t>
      </w:r>
      <w:r>
        <w:rPr>
          <w:rFonts w:ascii="Times New Roman" w:hAnsi="Times New Roman" w:hint="eastAsia"/>
          <w:b/>
          <w:bCs/>
        </w:rPr>
        <w:t>c</w:t>
      </w:r>
      <w:r>
        <w:rPr>
          <w:rFonts w:ascii="Times New Roman" w:hAnsi="Times New Roman" w:hint="eastAsia"/>
          <w:b/>
          <w:bCs/>
        </w:rPr>
        <w:t xml:space="preserve">urves of the </w:t>
      </w:r>
      <w:r>
        <w:rPr>
          <w:rFonts w:ascii="Times New Roman" w:hAnsi="Times New Roman" w:hint="eastAsia"/>
          <w:b/>
          <w:bCs/>
        </w:rPr>
        <w:t>n</w:t>
      </w:r>
      <w:r>
        <w:rPr>
          <w:rFonts w:ascii="Times New Roman" w:hAnsi="Times New Roman" w:hint="eastAsia"/>
          <w:b/>
          <w:bCs/>
        </w:rPr>
        <w:t xml:space="preserve">omogram for </w:t>
      </w:r>
      <w:r>
        <w:rPr>
          <w:rFonts w:ascii="Times New Roman" w:hAnsi="Times New Roman" w:hint="eastAsia"/>
          <w:b/>
          <w:bCs/>
        </w:rPr>
        <w:t>i</w:t>
      </w:r>
      <w:r>
        <w:rPr>
          <w:rFonts w:ascii="Times New Roman" w:hAnsi="Times New Roman" w:hint="eastAsia"/>
          <w:b/>
          <w:bCs/>
        </w:rPr>
        <w:t>n-</w:t>
      </w:r>
      <w:r>
        <w:rPr>
          <w:rFonts w:ascii="Times New Roman" w:hAnsi="Times New Roman" w:hint="eastAsia"/>
          <w:b/>
          <w:bCs/>
        </w:rPr>
        <w:t>h</w:t>
      </w:r>
      <w:r>
        <w:rPr>
          <w:rFonts w:ascii="Times New Roman" w:hAnsi="Times New Roman" w:hint="eastAsia"/>
          <w:b/>
          <w:bCs/>
        </w:rPr>
        <w:t>ospital, 30-</w:t>
      </w:r>
      <w:r>
        <w:rPr>
          <w:rFonts w:ascii="Times New Roman" w:hAnsi="Times New Roman" w:hint="eastAsia"/>
          <w:b/>
          <w:bCs/>
        </w:rPr>
        <w:t>d</w:t>
      </w:r>
      <w:r>
        <w:rPr>
          <w:rFonts w:ascii="Times New Roman" w:hAnsi="Times New Roman" w:hint="eastAsia"/>
          <w:b/>
          <w:bCs/>
        </w:rPr>
        <w:t>ay, and 1-</w:t>
      </w:r>
      <w:r>
        <w:rPr>
          <w:rFonts w:ascii="Times New Roman" w:hAnsi="Times New Roman" w:hint="eastAsia"/>
          <w:b/>
          <w:bCs/>
        </w:rPr>
        <w:t>y</w:t>
      </w:r>
      <w:r>
        <w:rPr>
          <w:rFonts w:ascii="Times New Roman" w:hAnsi="Times New Roman" w:hint="eastAsia"/>
          <w:b/>
          <w:bCs/>
        </w:rPr>
        <w:t xml:space="preserve">ear </w:t>
      </w:r>
      <w:r>
        <w:rPr>
          <w:rFonts w:ascii="Times New Roman" w:hAnsi="Times New Roman" w:hint="eastAsia"/>
          <w:b/>
          <w:bCs/>
        </w:rPr>
        <w:t>m</w:t>
      </w:r>
      <w:r>
        <w:rPr>
          <w:rFonts w:ascii="Times New Roman" w:hAnsi="Times New Roman" w:hint="eastAsia"/>
          <w:b/>
          <w:bCs/>
        </w:rPr>
        <w:t xml:space="preserve">ortality </w:t>
      </w:r>
      <w:r>
        <w:rPr>
          <w:rFonts w:ascii="Times New Roman" w:hAnsi="Times New Roman" w:hint="eastAsia"/>
          <w:b/>
          <w:bCs/>
        </w:rPr>
        <w:t>p</w:t>
      </w:r>
      <w:r>
        <w:rPr>
          <w:rFonts w:ascii="Times New Roman" w:hAnsi="Times New Roman" w:hint="eastAsia"/>
          <w:b/>
          <w:bCs/>
        </w:rPr>
        <w:t xml:space="preserve">rediction in </w:t>
      </w:r>
      <w:r>
        <w:rPr>
          <w:rFonts w:ascii="Times New Roman" w:hAnsi="Times New Roman" w:hint="eastAsia"/>
          <w:b/>
          <w:bCs/>
        </w:rPr>
        <w:t>c</w:t>
      </w:r>
      <w:r>
        <w:rPr>
          <w:rFonts w:ascii="Times New Roman" w:hAnsi="Times New Roman" w:hint="eastAsia"/>
          <w:b/>
          <w:bCs/>
        </w:rPr>
        <w:t xml:space="preserve">ritically </w:t>
      </w:r>
      <w:r>
        <w:rPr>
          <w:rFonts w:ascii="Times New Roman" w:hAnsi="Times New Roman" w:hint="eastAsia"/>
          <w:b/>
          <w:bCs/>
        </w:rPr>
        <w:t>i</w:t>
      </w:r>
      <w:r>
        <w:rPr>
          <w:rFonts w:ascii="Times New Roman" w:hAnsi="Times New Roman" w:hint="eastAsia"/>
          <w:b/>
          <w:bCs/>
        </w:rPr>
        <w:t xml:space="preserve">ll </w:t>
      </w:r>
      <w:r>
        <w:rPr>
          <w:rFonts w:ascii="Times New Roman" w:hAnsi="Times New Roman" w:hint="eastAsia"/>
          <w:b/>
          <w:bCs/>
        </w:rPr>
        <w:t>AF</w:t>
      </w:r>
      <w:r>
        <w:rPr>
          <w:rFonts w:ascii="Times New Roman" w:hAnsi="Times New Roman" w:hint="eastAsia"/>
          <w:b/>
          <w:bCs/>
        </w:rPr>
        <w:t xml:space="preserve"> </w:t>
      </w:r>
      <w:r>
        <w:rPr>
          <w:rFonts w:ascii="Times New Roman" w:hAnsi="Times New Roman" w:hint="eastAsia"/>
          <w:b/>
          <w:bCs/>
        </w:rPr>
        <w:t>p</w:t>
      </w:r>
      <w:r>
        <w:rPr>
          <w:rFonts w:ascii="Times New Roman" w:hAnsi="Times New Roman" w:hint="eastAsia"/>
          <w:b/>
          <w:bCs/>
        </w:rPr>
        <w:t>atients</w:t>
      </w:r>
    </w:p>
    <w:p w:rsidR="00443E2C" w:rsidRDefault="00443E2C">
      <w:pPr>
        <w:jc w:val="left"/>
        <w:rPr>
          <w:rFonts w:ascii="Times New Roman" w:hAnsi="Times New Roman"/>
          <w:b/>
          <w:bCs/>
        </w:rPr>
      </w:pPr>
    </w:p>
    <w:p w:rsidR="00443E2C" w:rsidRDefault="00ED1BA5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  <w:noProof/>
          <w:lang w:val="en-IN" w:eastAsia="en-IN"/>
        </w:rPr>
        <w:drawing>
          <wp:inline distT="0" distB="0" distL="114300" distR="114300">
            <wp:extent cx="8942705" cy="2066925"/>
            <wp:effectExtent l="0" t="0" r="10795" b="317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4270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2C" w:rsidRDefault="00443E2C">
      <w:pPr>
        <w:jc w:val="left"/>
        <w:rPr>
          <w:rFonts w:ascii="Times New Roman" w:hAnsi="Times New Roman"/>
        </w:rPr>
      </w:pPr>
    </w:p>
    <w:p w:rsidR="00443E2C" w:rsidRDefault="00ED1BA5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This compos</w:t>
      </w:r>
      <w:r>
        <w:rPr>
          <w:rFonts w:ascii="Times New Roman" w:hAnsi="Times New Roman" w:hint="eastAsia"/>
        </w:rPr>
        <w:t>ite figure displays calibration curves for the predicted probabilities of mortality at three distinct time intervals</w:t>
      </w:r>
      <w:r>
        <w:rPr>
          <w:rFonts w:ascii="Times New Roman" w:hAnsi="Times New Roman" w:hint="eastAsia"/>
        </w:rPr>
        <w:t>-</w:t>
      </w:r>
      <w:r>
        <w:rPr>
          <w:rFonts w:ascii="Times New Roman" w:hAnsi="Times New Roman" w:hint="eastAsia"/>
        </w:rPr>
        <w:t>hospitalization</w:t>
      </w:r>
      <w:r>
        <w:rPr>
          <w:rFonts w:ascii="Times New Roman" w:hAnsi="Times New Roman" w:hint="eastAsia"/>
        </w:rPr>
        <w:t xml:space="preserve"> (A)</w:t>
      </w:r>
      <w:r>
        <w:rPr>
          <w:rFonts w:ascii="Times New Roman" w:hAnsi="Times New Roman" w:hint="eastAsia"/>
        </w:rPr>
        <w:t>, 30 days</w:t>
      </w:r>
      <w:r>
        <w:rPr>
          <w:rFonts w:ascii="Times New Roman" w:hAnsi="Times New Roman" w:hint="eastAsia"/>
        </w:rPr>
        <w:t xml:space="preserve"> (B)</w:t>
      </w:r>
      <w:r>
        <w:rPr>
          <w:rFonts w:ascii="Times New Roman" w:hAnsi="Times New Roman" w:hint="eastAsia"/>
        </w:rPr>
        <w:t>, and one year</w:t>
      </w:r>
      <w:r>
        <w:rPr>
          <w:rFonts w:ascii="Times New Roman" w:hAnsi="Times New Roman" w:hint="eastAsia"/>
        </w:rPr>
        <w:t xml:space="preserve"> (C)-</w:t>
      </w:r>
      <w:r>
        <w:rPr>
          <w:rFonts w:ascii="Times New Roman" w:hAnsi="Times New Roman" w:hint="eastAsia"/>
        </w:rPr>
        <w:t>after admission for critically ill patients with atrial fibrillation. The black line rep</w:t>
      </w:r>
      <w:r>
        <w:rPr>
          <w:rFonts w:ascii="Times New Roman" w:hAnsi="Times New Roman" w:hint="eastAsia"/>
        </w:rPr>
        <w:t>resents observed probabilities, the grey line indicates the ideal calibration scenario, and the blue line shows the optimism-corrected probabilities based on 1000 bootstrap resamples</w:t>
      </w:r>
      <w:r>
        <w:rPr>
          <w:rFonts w:ascii="Times New Roman" w:hAnsi="Times New Roman" w:hint="eastAsia"/>
        </w:rPr>
        <w:t>.</w:t>
      </w:r>
    </w:p>
    <w:p w:rsidR="00443E2C" w:rsidRDefault="00443E2C">
      <w:pPr>
        <w:jc w:val="left"/>
        <w:rPr>
          <w:rFonts w:ascii="Times New Roman" w:hAnsi="Times New Roman"/>
        </w:rPr>
      </w:pPr>
    </w:p>
    <w:p w:rsidR="00443E2C" w:rsidRDefault="00443E2C">
      <w:pPr>
        <w:jc w:val="left"/>
        <w:rPr>
          <w:rFonts w:ascii="Times New Roman" w:hAnsi="Times New Roman"/>
        </w:rPr>
        <w:sectPr w:rsidR="00443E2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43E2C" w:rsidRDefault="00ED1BA5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DengXian" w:hAnsi="Times New Roman" w:cs="Times New Roman"/>
          <w:b/>
          <w:bCs/>
          <w:sz w:val="24"/>
          <w:lang w:bidi="ar"/>
        </w:rPr>
        <w:lastRenderedPageBreak/>
        <w:t xml:space="preserve">Supplementary Table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1</w:t>
      </w:r>
      <w:r>
        <w:rPr>
          <w:rFonts w:ascii="Times New Roman" w:hAnsi="Times New Roman" w:cs="Times New Roman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Subgroup analyses of </w:t>
      </w:r>
      <w:r>
        <w:rPr>
          <w:rFonts w:ascii="Times New Roman" w:hAnsi="Times New Roman" w:cs="Times New Roman" w:hint="eastAsia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ox </w:t>
      </w:r>
      <w:r>
        <w:rPr>
          <w:rFonts w:ascii="Times New Roman" w:hAnsi="Times New Roman" w:cs="Times New Roman"/>
          <w:b/>
          <w:bCs/>
          <w:sz w:val="22"/>
        </w:rPr>
        <w:t>proportional hazard models for in-hospital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>mortality</w:t>
      </w:r>
    </w:p>
    <w:tbl>
      <w:tblPr>
        <w:tblStyle w:val="TableGrid"/>
        <w:tblW w:w="9925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1395"/>
        <w:gridCol w:w="1960"/>
        <w:gridCol w:w="2220"/>
        <w:gridCol w:w="2140"/>
        <w:gridCol w:w="2210"/>
      </w:tblGrid>
      <w:tr w:rsidR="00443E2C">
        <w:tc>
          <w:tcPr>
            <w:tcW w:w="139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Group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Low SOFA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High SOFA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Low SOFA</w:t>
            </w:r>
          </w:p>
        </w:tc>
        <w:tc>
          <w:tcPr>
            <w:tcW w:w="2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High SOFA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Age </w:t>
            </w:r>
            <w:r>
              <w:rPr>
                <w:rFonts w:ascii="Calibri" w:hAnsi="Calibri" w:cs="Calibri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1.42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AMI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1.56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1.42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HF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1.33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1.99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AKI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1.74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1.89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Diabetes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2.45-4.32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2.21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443E2C" w:rsidRDefault="00ED1BA5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HR, hazard ratio;</w:t>
      </w:r>
    </w:p>
    <w:p w:rsidR="00443E2C" w:rsidRDefault="00ED1BA5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Model: Adjusted For Age; Gender; </w:t>
      </w:r>
      <w:r>
        <w:rPr>
          <w:rFonts w:ascii="Times New Roman" w:hAnsi="Times New Roman" w:cs="Times New Roman"/>
          <w:sz w:val="20"/>
          <w:szCs w:val="20"/>
        </w:rPr>
        <w:t>Heart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Respiratory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SAPSII</w:t>
      </w:r>
      <w:r>
        <w:rPr>
          <w:rFonts w:ascii="Times New Roman" w:hAnsi="Times New Roman" w:cs="Times New Roman" w:hint="eastAsia"/>
          <w:sz w:val="20"/>
          <w:szCs w:val="20"/>
        </w:rPr>
        <w:t>; SIRS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PT</w:t>
      </w:r>
      <w:r>
        <w:rPr>
          <w:rFonts w:ascii="Times New Roman" w:hAnsi="Times New Roman" w:cs="Times New Roman" w:hint="eastAsia"/>
          <w:sz w:val="20"/>
          <w:szCs w:val="20"/>
        </w:rPr>
        <w:t>; S</w:t>
      </w:r>
      <w:r>
        <w:rPr>
          <w:rFonts w:ascii="Times New Roman" w:hAnsi="Times New Roman" w:cs="Times New Roman" w:hint="eastAsia"/>
          <w:sz w:val="20"/>
          <w:szCs w:val="20"/>
        </w:rPr>
        <w:t>odium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Total Calcium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Potassium; </w:t>
      </w:r>
      <w:r>
        <w:rPr>
          <w:rFonts w:ascii="Times New Roman" w:hAnsi="Times New Roman" w:cs="Times New Roman"/>
          <w:sz w:val="20"/>
          <w:szCs w:val="20"/>
        </w:rPr>
        <w:t>Creatinine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PLT; WBC; </w:t>
      </w:r>
      <w:r>
        <w:rPr>
          <w:rFonts w:ascii="Times New Roman" w:hAnsi="Times New Roman" w:cs="Times New Roman"/>
          <w:sz w:val="20"/>
          <w:szCs w:val="20"/>
        </w:rPr>
        <w:t>Bicarbonate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Mean Blood Pressure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Congestive Heart Failure</w:t>
      </w:r>
      <w:r>
        <w:rPr>
          <w:rFonts w:ascii="Times New Roman" w:hAnsi="Times New Roman" w:cs="Times New Roman"/>
          <w:sz w:val="20"/>
          <w:szCs w:val="20"/>
        </w:rPr>
        <w:t xml:space="preserve">; Diabetes; </w:t>
      </w:r>
      <w:r>
        <w:rPr>
          <w:rFonts w:ascii="Times New Roman" w:hAnsi="Times New Roman" w:cs="Times New Roman" w:hint="eastAsia"/>
          <w:sz w:val="20"/>
          <w:szCs w:val="20"/>
        </w:rPr>
        <w:t xml:space="preserve">AKI; </w:t>
      </w:r>
      <w:r>
        <w:rPr>
          <w:rFonts w:ascii="Times New Roman" w:hAnsi="Times New Roman" w:cs="Times New Roman"/>
          <w:sz w:val="20"/>
          <w:szCs w:val="20"/>
        </w:rPr>
        <w:t>Invasive Ventilation, Insulin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Aspirin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Stati</w:t>
      </w:r>
      <w:r>
        <w:rPr>
          <w:rFonts w:ascii="Times New Roman" w:hAnsi="Times New Roman" w:cs="Times New Roman" w:hint="eastAsia"/>
          <w:sz w:val="20"/>
          <w:szCs w:val="20"/>
        </w:rPr>
        <w:t>n.</w:t>
      </w:r>
    </w:p>
    <w:p w:rsidR="00443E2C" w:rsidRDefault="00443E2C">
      <w:pPr>
        <w:sectPr w:rsidR="00443E2C">
          <w:pgSz w:w="11906" w:h="16838"/>
          <w:pgMar w:top="890" w:right="947" w:bottom="890" w:left="947" w:header="851" w:footer="992" w:gutter="0"/>
          <w:cols w:space="425"/>
          <w:docGrid w:type="lines" w:linePitch="312"/>
        </w:sectPr>
      </w:pPr>
    </w:p>
    <w:p w:rsidR="00443E2C" w:rsidRDefault="00ED1BA5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DengXian" w:hAnsi="Times New Roman" w:cs="Times New Roman"/>
          <w:b/>
          <w:bCs/>
          <w:sz w:val="24"/>
          <w:lang w:bidi="ar"/>
        </w:rPr>
        <w:lastRenderedPageBreak/>
        <w:t xml:space="preserve">Supplementary Table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2</w:t>
      </w:r>
      <w:r>
        <w:rPr>
          <w:rFonts w:ascii="Times New Roman" w:hAnsi="Times New Roman" w:cs="Times New Roman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Subgroup analyses of </w:t>
      </w:r>
      <w:r>
        <w:rPr>
          <w:rFonts w:ascii="Times New Roman" w:hAnsi="Times New Roman" w:cs="Times New Roman" w:hint="eastAsia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ox proportional hazard models for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30-day </w:t>
      </w:r>
      <w:r>
        <w:rPr>
          <w:rFonts w:ascii="Times New Roman" w:hAnsi="Times New Roman" w:cs="Times New Roman"/>
          <w:b/>
          <w:bCs/>
          <w:sz w:val="22"/>
        </w:rPr>
        <w:t>mortality</w:t>
      </w:r>
    </w:p>
    <w:tbl>
      <w:tblPr>
        <w:tblStyle w:val="TableGrid"/>
        <w:tblW w:w="9925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1395"/>
        <w:gridCol w:w="1960"/>
        <w:gridCol w:w="2220"/>
        <w:gridCol w:w="2140"/>
        <w:gridCol w:w="2210"/>
      </w:tblGrid>
      <w:tr w:rsidR="00443E2C">
        <w:tc>
          <w:tcPr>
            <w:tcW w:w="139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Group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Low SOFA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High SOFA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Low SOFA</w:t>
            </w:r>
          </w:p>
        </w:tc>
        <w:tc>
          <w:tcPr>
            <w:tcW w:w="2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High SOFA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Age </w:t>
            </w:r>
            <w:r>
              <w:rPr>
                <w:rFonts w:ascii="Calibri" w:hAnsi="Calibri" w:cs="Calibri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1.27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1.23-2.25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AMI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1.47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HF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1.11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1.57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AKI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1.36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1.52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Diabetes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1.08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2.43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1.92-3.06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1.68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443E2C" w:rsidRDefault="00ED1BA5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HR, hazard ratio;</w:t>
      </w:r>
    </w:p>
    <w:p w:rsidR="00443E2C" w:rsidRDefault="00ED1BA5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Model: Adjusted For Age; Gender; </w:t>
      </w:r>
      <w:r>
        <w:rPr>
          <w:rFonts w:ascii="Times New Roman" w:hAnsi="Times New Roman" w:cs="Times New Roman"/>
          <w:sz w:val="20"/>
          <w:szCs w:val="20"/>
        </w:rPr>
        <w:t>Heart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Respiratory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SAPSII</w:t>
      </w:r>
      <w:r>
        <w:rPr>
          <w:rFonts w:ascii="Times New Roman" w:hAnsi="Times New Roman" w:cs="Times New Roman" w:hint="eastAsia"/>
          <w:sz w:val="20"/>
          <w:szCs w:val="20"/>
        </w:rPr>
        <w:t>; SIRS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PT</w:t>
      </w:r>
      <w:r>
        <w:rPr>
          <w:rFonts w:ascii="Times New Roman" w:hAnsi="Times New Roman" w:cs="Times New Roman" w:hint="eastAsia"/>
          <w:sz w:val="20"/>
          <w:szCs w:val="20"/>
        </w:rPr>
        <w:t>; S</w:t>
      </w:r>
      <w:r>
        <w:rPr>
          <w:rFonts w:ascii="Times New Roman" w:hAnsi="Times New Roman" w:cs="Times New Roman" w:hint="eastAsia"/>
          <w:sz w:val="20"/>
          <w:szCs w:val="20"/>
        </w:rPr>
        <w:t>odium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Total Calcium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Potassium; </w:t>
      </w:r>
      <w:r>
        <w:rPr>
          <w:rFonts w:ascii="Times New Roman" w:hAnsi="Times New Roman" w:cs="Times New Roman"/>
          <w:sz w:val="20"/>
          <w:szCs w:val="20"/>
        </w:rPr>
        <w:t>Creatinine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PLT; WBC; </w:t>
      </w:r>
      <w:r>
        <w:rPr>
          <w:rFonts w:ascii="Times New Roman" w:hAnsi="Times New Roman" w:cs="Times New Roman"/>
          <w:sz w:val="20"/>
          <w:szCs w:val="20"/>
        </w:rPr>
        <w:t>Bicarbonate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Mean Blood Pressure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Congestive Heart Failure</w:t>
      </w:r>
      <w:r>
        <w:rPr>
          <w:rFonts w:ascii="Times New Roman" w:hAnsi="Times New Roman" w:cs="Times New Roman"/>
          <w:sz w:val="20"/>
          <w:szCs w:val="20"/>
        </w:rPr>
        <w:t xml:space="preserve">; Diabetes; </w:t>
      </w:r>
      <w:r>
        <w:rPr>
          <w:rFonts w:ascii="Times New Roman" w:hAnsi="Times New Roman" w:cs="Times New Roman" w:hint="eastAsia"/>
          <w:sz w:val="20"/>
          <w:szCs w:val="20"/>
        </w:rPr>
        <w:t xml:space="preserve">AKI; </w:t>
      </w:r>
      <w:r>
        <w:rPr>
          <w:rFonts w:ascii="Times New Roman" w:hAnsi="Times New Roman" w:cs="Times New Roman"/>
          <w:sz w:val="20"/>
          <w:szCs w:val="20"/>
        </w:rPr>
        <w:t>Invasive Ventilation, Insulin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Aspirin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Stati</w:t>
      </w:r>
      <w:r>
        <w:rPr>
          <w:rFonts w:ascii="Times New Roman" w:hAnsi="Times New Roman" w:cs="Times New Roman" w:hint="eastAsia"/>
          <w:sz w:val="20"/>
          <w:szCs w:val="20"/>
        </w:rPr>
        <w:t>n.</w:t>
      </w:r>
    </w:p>
    <w:p w:rsidR="00443E2C" w:rsidRDefault="00443E2C">
      <w:pPr>
        <w:sectPr w:rsidR="00443E2C">
          <w:pgSz w:w="11906" w:h="16838"/>
          <w:pgMar w:top="890" w:right="947" w:bottom="890" w:left="947" w:header="851" w:footer="992" w:gutter="0"/>
          <w:cols w:space="425"/>
          <w:docGrid w:type="lines" w:linePitch="312"/>
        </w:sectPr>
      </w:pPr>
    </w:p>
    <w:p w:rsidR="00443E2C" w:rsidRDefault="00ED1BA5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DengXian" w:hAnsi="Times New Roman" w:cs="Times New Roman"/>
          <w:b/>
          <w:bCs/>
          <w:sz w:val="24"/>
          <w:lang w:bidi="ar"/>
        </w:rPr>
        <w:lastRenderedPageBreak/>
        <w:t xml:space="preserve">Supplementary Table </w:t>
      </w:r>
      <w:r>
        <w:rPr>
          <w:rFonts w:ascii="Times New Roman" w:eastAsia="DengXian" w:hAnsi="Times New Roman" w:cs="Times New Roman" w:hint="eastAsia"/>
          <w:b/>
          <w:bCs/>
          <w:sz w:val="24"/>
          <w:lang w:bidi="ar"/>
        </w:rPr>
        <w:t>3</w:t>
      </w:r>
      <w:r>
        <w:rPr>
          <w:rFonts w:ascii="Times New Roman" w:hAnsi="Times New Roman" w:cs="Times New Roman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Subgroup analyses of </w:t>
      </w:r>
      <w:r>
        <w:rPr>
          <w:rFonts w:ascii="Times New Roman" w:hAnsi="Times New Roman" w:cs="Times New Roman" w:hint="eastAsia"/>
          <w:b/>
          <w:bCs/>
          <w:sz w:val="22"/>
        </w:rPr>
        <w:t>c</w:t>
      </w:r>
      <w:r>
        <w:rPr>
          <w:rFonts w:ascii="Times New Roman" w:hAnsi="Times New Roman" w:cs="Times New Roman"/>
          <w:b/>
          <w:bCs/>
          <w:sz w:val="22"/>
        </w:rPr>
        <w:t xml:space="preserve">ox proportional hazard models for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365-day </w:t>
      </w:r>
      <w:r>
        <w:rPr>
          <w:rFonts w:ascii="Times New Roman" w:hAnsi="Times New Roman" w:cs="Times New Roman"/>
          <w:b/>
          <w:bCs/>
          <w:sz w:val="22"/>
        </w:rPr>
        <w:t>mortality</w:t>
      </w:r>
    </w:p>
    <w:tbl>
      <w:tblPr>
        <w:tblStyle w:val="TableGrid"/>
        <w:tblW w:w="9925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1395"/>
        <w:gridCol w:w="1960"/>
        <w:gridCol w:w="2220"/>
        <w:gridCol w:w="2140"/>
        <w:gridCol w:w="2210"/>
      </w:tblGrid>
      <w:tr w:rsidR="00443E2C">
        <w:tc>
          <w:tcPr>
            <w:tcW w:w="139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Group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Low SOFA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Low SHR and High SOFA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Low SOFA</w:t>
            </w:r>
          </w:p>
        </w:tc>
        <w:tc>
          <w:tcPr>
            <w:tcW w:w="2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SHR and High SOFA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Age </w:t>
            </w:r>
            <w:r>
              <w:rPr>
                <w:rFonts w:ascii="Calibri" w:hAnsi="Calibri" w:cs="Calibri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200" w:firstLine="4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2.61-4.12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1.13-1.57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AMI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1.06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1.27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HF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1.14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1.23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AKI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1.11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1.48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4.85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Diabetes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443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0.99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43E2C"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NO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2.06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1.77-2.40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1.40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443E2C" w:rsidRDefault="00ED1B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3.35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443E2C" w:rsidRDefault="00ED1BA5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HR, hazard ratio;</w:t>
      </w:r>
    </w:p>
    <w:p w:rsidR="00443E2C" w:rsidRDefault="00ED1BA5">
      <w:pPr>
        <w:spacing w:beforeLines="50" w:before="156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Model: Adjusted For Age; Gender; </w:t>
      </w:r>
      <w:r>
        <w:rPr>
          <w:rFonts w:ascii="Times New Roman" w:hAnsi="Times New Roman" w:cs="Times New Roman"/>
          <w:sz w:val="20"/>
          <w:szCs w:val="20"/>
        </w:rPr>
        <w:t>Heart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Respiratory Rate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SAPSII</w:t>
      </w:r>
      <w:r>
        <w:rPr>
          <w:rFonts w:ascii="Times New Roman" w:hAnsi="Times New Roman" w:cs="Times New Roman" w:hint="eastAsia"/>
          <w:sz w:val="20"/>
          <w:szCs w:val="20"/>
        </w:rPr>
        <w:t>; SIRS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PT</w:t>
      </w:r>
      <w:r>
        <w:rPr>
          <w:rFonts w:ascii="Times New Roman" w:hAnsi="Times New Roman" w:cs="Times New Roman" w:hint="eastAsia"/>
          <w:sz w:val="20"/>
          <w:szCs w:val="20"/>
        </w:rPr>
        <w:t>; S</w:t>
      </w:r>
      <w:r>
        <w:rPr>
          <w:rFonts w:ascii="Times New Roman" w:hAnsi="Times New Roman" w:cs="Times New Roman" w:hint="eastAsia"/>
          <w:sz w:val="20"/>
          <w:szCs w:val="20"/>
        </w:rPr>
        <w:t>odium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Total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Calcium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Potassium; </w:t>
      </w:r>
      <w:r>
        <w:rPr>
          <w:rFonts w:ascii="Times New Roman" w:hAnsi="Times New Roman" w:cs="Times New Roman"/>
          <w:sz w:val="20"/>
          <w:szCs w:val="20"/>
        </w:rPr>
        <w:t>Creatinine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PLT; WBC; </w:t>
      </w:r>
      <w:r>
        <w:rPr>
          <w:rFonts w:ascii="Times New Roman" w:hAnsi="Times New Roman" w:cs="Times New Roman"/>
          <w:sz w:val="20"/>
          <w:szCs w:val="20"/>
        </w:rPr>
        <w:t>Bicarbonate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Mean Blood Pressure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Congestive Heart Failure</w:t>
      </w:r>
      <w:r>
        <w:rPr>
          <w:rFonts w:ascii="Times New Roman" w:hAnsi="Times New Roman" w:cs="Times New Roman"/>
          <w:sz w:val="20"/>
          <w:szCs w:val="20"/>
        </w:rPr>
        <w:t xml:space="preserve">; Diabetes; </w:t>
      </w:r>
      <w:r>
        <w:rPr>
          <w:rFonts w:ascii="Times New Roman" w:hAnsi="Times New Roman" w:cs="Times New Roman" w:hint="eastAsia"/>
          <w:sz w:val="20"/>
          <w:szCs w:val="20"/>
        </w:rPr>
        <w:t xml:space="preserve">AKI; </w:t>
      </w:r>
      <w:r>
        <w:rPr>
          <w:rFonts w:ascii="Times New Roman" w:hAnsi="Times New Roman" w:cs="Times New Roman"/>
          <w:sz w:val="20"/>
          <w:szCs w:val="20"/>
        </w:rPr>
        <w:t>Invasive Ventilation, Insulin</w:t>
      </w:r>
      <w:r>
        <w:rPr>
          <w:rFonts w:ascii="Times New Roman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Aspirin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Stati</w:t>
      </w:r>
      <w:r>
        <w:rPr>
          <w:rFonts w:ascii="Times New Roman" w:hAnsi="Times New Roman" w:cs="Times New Roman" w:hint="eastAsia"/>
          <w:sz w:val="20"/>
          <w:szCs w:val="20"/>
        </w:rPr>
        <w:t>n.</w:t>
      </w:r>
    </w:p>
    <w:p w:rsidR="00443E2C" w:rsidRDefault="00443E2C">
      <w:pPr>
        <w:jc w:val="left"/>
        <w:rPr>
          <w:rFonts w:ascii="Times New Roman" w:hAnsi="Times New Roman"/>
        </w:rPr>
      </w:pPr>
    </w:p>
    <w:sectPr w:rsidR="00443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D1BA5">
      <w:r>
        <w:separator/>
      </w:r>
    </w:p>
  </w:endnote>
  <w:endnote w:type="continuationSeparator" w:id="0">
    <w:p w:rsidR="00000000" w:rsidRDefault="00ED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E2C" w:rsidRDefault="00ED1BA5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3E2C" w:rsidRDefault="00ED1BA5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443E2C" w:rsidRDefault="00ED1BA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D1BA5">
      <w:r>
        <w:separator/>
      </w:r>
    </w:p>
  </w:footnote>
  <w:footnote w:type="continuationSeparator" w:id="0">
    <w:p w:rsidR="00000000" w:rsidRDefault="00ED1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FF761D"/>
    <w:rsid w:val="00443E2C"/>
    <w:rsid w:val="007D0F25"/>
    <w:rsid w:val="00E46AD2"/>
    <w:rsid w:val="00ED1BA5"/>
    <w:rsid w:val="01F01F8D"/>
    <w:rsid w:val="051D01F9"/>
    <w:rsid w:val="05B82AAB"/>
    <w:rsid w:val="06514C09"/>
    <w:rsid w:val="07852DBD"/>
    <w:rsid w:val="078F7797"/>
    <w:rsid w:val="09656CA2"/>
    <w:rsid w:val="0ADA2909"/>
    <w:rsid w:val="0CFF761D"/>
    <w:rsid w:val="0DC3019B"/>
    <w:rsid w:val="0E8C4A31"/>
    <w:rsid w:val="0E8D2557"/>
    <w:rsid w:val="15744470"/>
    <w:rsid w:val="159F2CCA"/>
    <w:rsid w:val="17BE2920"/>
    <w:rsid w:val="182A4EC1"/>
    <w:rsid w:val="1CE624CB"/>
    <w:rsid w:val="1F3A5E64"/>
    <w:rsid w:val="2096173F"/>
    <w:rsid w:val="20A200E4"/>
    <w:rsid w:val="234E1A6D"/>
    <w:rsid w:val="23F21382"/>
    <w:rsid w:val="247022A7"/>
    <w:rsid w:val="25B432C7"/>
    <w:rsid w:val="2A32072A"/>
    <w:rsid w:val="2B632B65"/>
    <w:rsid w:val="2BEC623C"/>
    <w:rsid w:val="2C3D6F12"/>
    <w:rsid w:val="2CA83FD0"/>
    <w:rsid w:val="30274161"/>
    <w:rsid w:val="30DB023F"/>
    <w:rsid w:val="311B77D4"/>
    <w:rsid w:val="337A0A4C"/>
    <w:rsid w:val="33D60378"/>
    <w:rsid w:val="36533F02"/>
    <w:rsid w:val="38A87E0A"/>
    <w:rsid w:val="3A5B5BB7"/>
    <w:rsid w:val="3BD7566A"/>
    <w:rsid w:val="431C1B20"/>
    <w:rsid w:val="486D24D6"/>
    <w:rsid w:val="4A0B01F8"/>
    <w:rsid w:val="5282655C"/>
    <w:rsid w:val="52A64F62"/>
    <w:rsid w:val="53CF48A7"/>
    <w:rsid w:val="540000E8"/>
    <w:rsid w:val="55D32512"/>
    <w:rsid w:val="596A6CE9"/>
    <w:rsid w:val="59AC7302"/>
    <w:rsid w:val="5BCA3A6F"/>
    <w:rsid w:val="5D467388"/>
    <w:rsid w:val="5F0626A1"/>
    <w:rsid w:val="5F3177B9"/>
    <w:rsid w:val="5FEF2AFC"/>
    <w:rsid w:val="64FF2967"/>
    <w:rsid w:val="653667D3"/>
    <w:rsid w:val="6C244496"/>
    <w:rsid w:val="6C464C5F"/>
    <w:rsid w:val="6C81461E"/>
    <w:rsid w:val="6CE8644B"/>
    <w:rsid w:val="6D0C2F80"/>
    <w:rsid w:val="6DC273D5"/>
    <w:rsid w:val="6E834836"/>
    <w:rsid w:val="71BE6D71"/>
    <w:rsid w:val="75BC2223"/>
    <w:rsid w:val="761422CC"/>
    <w:rsid w:val="76E23F0B"/>
    <w:rsid w:val="77D959A0"/>
    <w:rsid w:val="7A7237F8"/>
    <w:rsid w:val="7C54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DCD4F97-6300-4A12-A306-ACF25060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0">
    <w:name w:val="TOC 标题1"/>
    <w:basedOn w:val="Heading1"/>
    <w:next w:val="Normal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D53A0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915</Words>
  <Characters>5216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靳小葵</dc:creator>
  <cp:lastModifiedBy>Kayalmithra B</cp:lastModifiedBy>
  <cp:revision>2</cp:revision>
  <dcterms:created xsi:type="dcterms:W3CDTF">2025-10-11T01:14:00Z</dcterms:created>
  <dcterms:modified xsi:type="dcterms:W3CDTF">2025-10-11T01:14:00Z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5C587C949C354FAAA337F87F7A245A63_11</vt:lpwstr>
  </property>
  <property fmtid="{D5CDD505-2E9C-101B-9397-08002B2CF9AE}" pid="4" name="KSOTemplateDocerSaveRecord">
    <vt:lpwstr>eyJoZGlkIjoiZDczZGRjZjQ2Y2UzZDQyYmQwMTAxNzlmNGUwNTAyMGUiLCJ1c2VySWQiOiIyMjczMzI5NTEifQ==</vt:lpwstr>
  </property>
</Properties>
</file>