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A1D40" w14:textId="2A650101" w:rsidR="003B639B" w:rsidRDefault="00880DD1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 w:rsidRPr="00880DD1">
        <w:rPr>
          <w:rFonts w:ascii="Times New Roman" w:hAnsi="Times New Roman" w:cs="Times New Roman"/>
          <w:b/>
          <w:bCs/>
          <w:noProof/>
          <w:color w:val="000000" w:themeColor="text1"/>
          <w:lang w:val="en-IN" w:eastAsia="en-IN"/>
        </w:rPr>
        <w:drawing>
          <wp:inline distT="0" distB="0" distL="0" distR="0" wp14:anchorId="314292D7" wp14:editId="4AD0C469">
            <wp:extent cx="5260063" cy="3880249"/>
            <wp:effectExtent l="0" t="0" r="0" b="6350"/>
            <wp:docPr id="1" name="Picture 1" descr="H:\journals\Springer\SpACE\12933\2988\Stage200\Contents\PRE\Figures\revised_Figure.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journals\Springer\SpACE\12933\2988\Stage200\Contents\PRE\Figures\revised_Figure.S1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985" cy="3893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4095F" w14:textId="77777777" w:rsidR="003633D9" w:rsidRDefault="003633D9" w:rsidP="003633D9">
      <w:pPr>
        <w:widowControl w:val="0"/>
        <w:jc w:val="both"/>
        <w:rPr>
          <w:rFonts w:ascii="Times New Roman" w:hAnsi="Times New Roman" w:cs="Times New Roman"/>
          <w:color w:val="000000" w:themeColor="text1"/>
          <w:kern w:val="2"/>
        </w:rPr>
      </w:pPr>
      <w:r w:rsidRPr="00D334E3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S1. </w:t>
      </w:r>
      <w:r w:rsidRPr="00D334E3">
        <w:rPr>
          <w:rFonts w:ascii="Times New Roman" w:hAnsi="Times New Roman" w:cs="Times New Roman"/>
          <w:b/>
          <w:bCs/>
          <w:color w:val="000000" w:themeColor="text1"/>
          <w:kern w:val="2"/>
        </w:rPr>
        <w:t xml:space="preserve">Cross-validation (CV) accuracy distribution across different K-fold values for model optimization. </w:t>
      </w:r>
      <w:r w:rsidRPr="00D334E3">
        <w:rPr>
          <w:rFonts w:ascii="Times New Roman" w:hAnsi="Times New Roman" w:cs="Times New Roman"/>
          <w:color w:val="000000" w:themeColor="text1"/>
          <w:kern w:val="2"/>
        </w:rPr>
        <w:t>The model performance was evaluated using K-fold cross-validation (K = 4 to 10).</w:t>
      </w:r>
    </w:p>
    <w:p w14:paraId="09437F11" w14:textId="77777777" w:rsidR="003633D9" w:rsidRPr="00D334E3" w:rsidRDefault="003633D9" w:rsidP="003633D9">
      <w:pPr>
        <w:widowControl w:val="0"/>
        <w:jc w:val="both"/>
        <w:rPr>
          <w:rFonts w:ascii="Times New Roman" w:hAnsi="Times New Roman" w:cs="Times New Roman"/>
          <w:color w:val="000000" w:themeColor="text1"/>
          <w:kern w:val="2"/>
        </w:rPr>
      </w:pPr>
    </w:p>
    <w:p w14:paraId="2A1B4E51" w14:textId="287AEB13" w:rsidR="003633D9" w:rsidRPr="00D334E3" w:rsidRDefault="003633D9">
      <w:pPr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kern w:val="2"/>
        </w:rPr>
        <w:lastRenderedPageBreak/>
        <w:drawing>
          <wp:inline distT="0" distB="0" distL="0" distR="0" wp14:anchorId="0E990ED3" wp14:editId="1DC1BABA">
            <wp:extent cx="5278120" cy="5748655"/>
            <wp:effectExtent l="0" t="0" r="5080" b="4445"/>
            <wp:docPr id="1812478221" name="图片 1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2478221" name="图片 1" descr="图表&#10;&#10;描述已自动生成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034"/>
                    <a:stretch/>
                  </pic:blipFill>
                  <pic:spPr bwMode="auto">
                    <a:xfrm>
                      <a:off x="0" y="0"/>
                      <a:ext cx="5278120" cy="57486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50BF93" w14:textId="77777777" w:rsidR="003B639B" w:rsidRPr="00D334E3" w:rsidRDefault="001746D7">
      <w:pPr>
        <w:jc w:val="both"/>
        <w:rPr>
          <w:rFonts w:ascii="Times New Roman" w:hAnsi="Times New Roman" w:cs="Times New Roman"/>
          <w:b/>
          <w:bCs/>
          <w:color w:val="000000" w:themeColor="text1"/>
          <w:kern w:val="2"/>
        </w:rPr>
      </w:pPr>
      <w:r w:rsidRPr="00D334E3">
        <w:rPr>
          <w:rFonts w:ascii="Times New Roman" w:hAnsi="Times New Roman" w:cs="Times New Roman"/>
          <w:b/>
          <w:bCs/>
          <w:color w:val="000000" w:themeColor="text1"/>
        </w:rPr>
        <w:t>Supplementary Figure S2. Power analysis and sample-size justification for the proteomics subtype comparison. (A)</w:t>
      </w:r>
      <w:r w:rsidRPr="00D334E3">
        <w:rPr>
          <w:rFonts w:ascii="Times New Roman" w:hAnsi="Times New Roman" w:cs="Times New Roman"/>
          <w:color w:val="000000" w:themeColor="text1"/>
        </w:rPr>
        <w:t xml:space="preserve"> Histogram of Cohen’s d effect sizes for the 1,000 most variable proteins. The vertical dashed line marks the median (d ≈ 0.971); the dotted-dashed line marks the conventional “large effect” threshold (d = 0.8). The distribution indicates that most proteins show medium-to-large effects. </w:t>
      </w:r>
      <w:r w:rsidRPr="00D334E3">
        <w:rPr>
          <w:rFonts w:ascii="Times New Roman" w:hAnsi="Times New Roman" w:cs="Times New Roman"/>
          <w:b/>
          <w:bCs/>
          <w:color w:val="000000" w:themeColor="text1"/>
        </w:rPr>
        <w:t>(B)</w:t>
      </w:r>
      <w:r w:rsidRPr="00D334E3">
        <w:rPr>
          <w:rFonts w:ascii="Times New Roman" w:hAnsi="Times New Roman" w:cs="Times New Roman"/>
          <w:color w:val="000000" w:themeColor="text1"/>
        </w:rPr>
        <w:t xml:space="preserve"> Empirical cumulative distribution function (ECDF) of | d |. Horizontal dashed lines mark key percentiles. Approximately 60% of proteins have | d | ≥ 0.8 (large effect), and about 50% have | d | ≥ 0.97 (the median).</w:t>
      </w:r>
      <w:r w:rsidRPr="00D334E3">
        <w:rPr>
          <w:rFonts w:ascii="Times New Roman" w:hAnsi="Times New Roman" w:cs="Times New Roman"/>
          <w:b/>
          <w:bCs/>
          <w:color w:val="000000" w:themeColor="text1"/>
        </w:rPr>
        <w:t xml:space="preserve"> (C)</w:t>
      </w:r>
      <w:r w:rsidRPr="00D334E3">
        <w:rPr>
          <w:rFonts w:ascii="Times New Roman" w:hAnsi="Times New Roman" w:cs="Times New Roman"/>
          <w:color w:val="000000" w:themeColor="text1"/>
        </w:rPr>
        <w:t xml:space="preserve"> Effect size versus statistical power under the current sample sizes (n1=39, n2 =30; α=0.05; two-sided t -test). The vertical solid line marks the observed median effect size (d ≈ 0.97), corresponding to power ≈ 97.6%. The vertical dashed line marks d =0.8, corresponding to ~ 90% power. </w:t>
      </w:r>
      <w:r w:rsidRPr="00D334E3">
        <w:rPr>
          <w:rFonts w:ascii="Times New Roman" w:hAnsi="Times New Roman" w:cs="Times New Roman"/>
          <w:b/>
          <w:bCs/>
          <w:color w:val="000000" w:themeColor="text1"/>
        </w:rPr>
        <w:t>(D)</w:t>
      </w:r>
      <w:r w:rsidRPr="00D334E3">
        <w:rPr>
          <w:rFonts w:ascii="Times New Roman" w:hAnsi="Times New Roman" w:cs="Times New Roman"/>
          <w:color w:val="000000" w:themeColor="text1"/>
        </w:rPr>
        <w:t xml:space="preserve"> Distribution of the minimum total sample size required to achieve 80% power across proteins, maintaining the current allocation ratio (≈ 0.77). The vertical solid line marks our actual total sample size (n =69), which is substantially higher than the minimum required for </w:t>
      </w:r>
      <w:r w:rsidRPr="00D334E3">
        <w:rPr>
          <w:rFonts w:ascii="Times New Roman" w:hAnsi="Times New Roman" w:cs="Times New Roman"/>
          <w:color w:val="000000" w:themeColor="text1"/>
        </w:rPr>
        <w:lastRenderedPageBreak/>
        <w:t xml:space="preserve">most </w:t>
      </w:r>
      <w:proofErr w:type="spellStart"/>
      <w:r w:rsidRPr="00D334E3">
        <w:rPr>
          <w:rFonts w:ascii="Times New Roman" w:hAnsi="Times New Roman" w:cs="Times New Roman"/>
          <w:color w:val="000000" w:themeColor="text1"/>
        </w:rPr>
        <w:t>proteins.All</w:t>
      </w:r>
      <w:proofErr w:type="spellEnd"/>
      <w:r w:rsidRPr="00D334E3">
        <w:rPr>
          <w:rFonts w:ascii="Times New Roman" w:hAnsi="Times New Roman" w:cs="Times New Roman"/>
          <w:color w:val="000000" w:themeColor="text1"/>
        </w:rPr>
        <w:t xml:space="preserve"> calculations are based on the noncentral t distribution for the two-sample t -test (two-sided, α=0.05). Effect sizes were computed from expression data after log (1+ x) transformation and centering by subtracting the per-protein median. Data are presented as frequency distributions (</w:t>
      </w:r>
      <w:r w:rsidRPr="00D334E3">
        <w:rPr>
          <w:rFonts w:ascii="Times New Roman" w:hAnsi="Times New Roman" w:cs="Times New Roman"/>
          <w:b/>
          <w:bCs/>
          <w:color w:val="000000" w:themeColor="text1"/>
        </w:rPr>
        <w:t>A</w:t>
      </w:r>
      <w:r w:rsidRPr="00D334E3">
        <w:rPr>
          <w:rFonts w:ascii="Times New Roman" w:hAnsi="Times New Roman" w:cs="Times New Roman"/>
          <w:color w:val="000000" w:themeColor="text1"/>
        </w:rPr>
        <w:t xml:space="preserve">, </w:t>
      </w:r>
      <w:r w:rsidRPr="00D334E3">
        <w:rPr>
          <w:rFonts w:ascii="Times New Roman" w:hAnsi="Times New Roman" w:cs="Times New Roman"/>
          <w:b/>
          <w:bCs/>
          <w:color w:val="000000" w:themeColor="text1"/>
        </w:rPr>
        <w:t>D</w:t>
      </w:r>
      <w:r w:rsidRPr="00D334E3">
        <w:rPr>
          <w:rFonts w:ascii="Times New Roman" w:hAnsi="Times New Roman" w:cs="Times New Roman"/>
          <w:color w:val="000000" w:themeColor="text1"/>
        </w:rPr>
        <w:t>) or cumulative probabilities (</w:t>
      </w:r>
      <w:r w:rsidRPr="00D334E3">
        <w:rPr>
          <w:rFonts w:ascii="Times New Roman" w:hAnsi="Times New Roman" w:cs="Times New Roman"/>
          <w:b/>
          <w:bCs/>
          <w:color w:val="000000" w:themeColor="text1"/>
        </w:rPr>
        <w:t>B</w:t>
      </w:r>
      <w:r w:rsidRPr="00D334E3">
        <w:rPr>
          <w:rFonts w:ascii="Times New Roman" w:hAnsi="Times New Roman" w:cs="Times New Roman"/>
          <w:color w:val="000000" w:themeColor="text1"/>
        </w:rPr>
        <w:t xml:space="preserve">, </w:t>
      </w:r>
      <w:r w:rsidRPr="00D334E3">
        <w:rPr>
          <w:rFonts w:ascii="Times New Roman" w:hAnsi="Times New Roman" w:cs="Times New Roman"/>
          <w:b/>
          <w:bCs/>
          <w:color w:val="000000" w:themeColor="text1"/>
        </w:rPr>
        <w:t>C</w:t>
      </w:r>
      <w:r w:rsidRPr="00D334E3">
        <w:rPr>
          <w:rFonts w:ascii="Times New Roman" w:hAnsi="Times New Roman" w:cs="Times New Roman"/>
          <w:color w:val="000000" w:themeColor="text1"/>
        </w:rPr>
        <w:t>).</w:t>
      </w:r>
    </w:p>
    <w:p w14:paraId="1BD21B09" w14:textId="166B2BC5" w:rsidR="003B639B" w:rsidRDefault="003B639B">
      <w:pPr>
        <w:rPr>
          <w:rFonts w:ascii="Times New Roman" w:hAnsi="Times New Roman" w:cs="Times New Roman"/>
          <w:b/>
          <w:bCs/>
          <w:color w:val="000000" w:themeColor="text1"/>
          <w:kern w:val="2"/>
        </w:rPr>
      </w:pPr>
    </w:p>
    <w:p w14:paraId="7763ED76" w14:textId="7FA628FB" w:rsidR="003633D9" w:rsidRPr="003633D9" w:rsidRDefault="009C1532">
      <w:pPr>
        <w:rPr>
          <w:rFonts w:ascii="Times New Roman" w:hAnsi="Times New Roman" w:cs="Times New Roman"/>
          <w:b/>
          <w:bCs/>
          <w:color w:val="000000" w:themeColor="text1"/>
          <w:kern w:val="2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kern w:val="2"/>
        </w:rPr>
        <w:drawing>
          <wp:inline distT="0" distB="0" distL="0" distR="0" wp14:anchorId="247F277D" wp14:editId="23387CEF">
            <wp:extent cx="5278120" cy="2527935"/>
            <wp:effectExtent l="0" t="0" r="5080" b="0"/>
            <wp:docPr id="3323087" name="图片 5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3087" name="图片 5" descr="图表, 直方图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527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5081B" w14:textId="77777777" w:rsidR="003B639B" w:rsidRPr="00D334E3" w:rsidRDefault="001746D7">
      <w:pPr>
        <w:widowControl w:val="0"/>
        <w:jc w:val="both"/>
        <w:rPr>
          <w:rFonts w:ascii="Times New Roman" w:hAnsi="Times New Roman" w:cs="Times New Roman"/>
          <w:color w:val="000000" w:themeColor="text1"/>
          <w:kern w:val="2"/>
          <w:highlight w:val="yellow"/>
        </w:rPr>
      </w:pPr>
      <w:r w:rsidRPr="00D334E3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S3. </w:t>
      </w:r>
      <w:r w:rsidRPr="00D334E3">
        <w:rPr>
          <w:rFonts w:ascii="Times New Roman" w:hAnsi="Times New Roman" w:cs="Times New Roman"/>
          <w:b/>
          <w:bCs/>
          <w:color w:val="000000" w:themeColor="text1"/>
          <w:kern w:val="2"/>
        </w:rPr>
        <w:t>Feature selection and differential gene expression analysis between poor CCC and control groups.</w:t>
      </w:r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 </w:t>
      </w:r>
      <w:r w:rsidRPr="00D334E3">
        <w:rPr>
          <w:rFonts w:ascii="Times New Roman" w:hAnsi="Times New Roman" w:cs="Times New Roman"/>
          <w:b/>
          <w:bCs/>
          <w:color w:val="000000" w:themeColor="text1"/>
          <w:kern w:val="2"/>
        </w:rPr>
        <w:t>(</w:t>
      </w:r>
      <w:r w:rsidRPr="00D334E3">
        <w:rPr>
          <w:rFonts w:ascii="Times New Roman" w:hAnsi="Times New Roman" w:cs="Times New Roman" w:hint="eastAsia"/>
          <w:b/>
          <w:bCs/>
          <w:color w:val="000000" w:themeColor="text1"/>
          <w:kern w:val="2"/>
        </w:rPr>
        <w:t>A</w:t>
      </w:r>
      <w:r w:rsidRPr="00D334E3">
        <w:rPr>
          <w:rFonts w:ascii="Times New Roman" w:hAnsi="Times New Roman" w:cs="Times New Roman"/>
          <w:b/>
          <w:bCs/>
          <w:color w:val="000000" w:themeColor="text1"/>
          <w:kern w:val="2"/>
        </w:rPr>
        <w:t>)</w:t>
      </w:r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 Volcano plot of differentially expressed genes (DEGs) between poor CCC and control groups. Each dot represents a gene, plotted by log2 fold change (x-axis) and -log10 false discovery rate (FDR, y-axis).</w:t>
      </w:r>
      <w:r w:rsidRPr="00D334E3">
        <w:rPr>
          <w:rFonts w:ascii="Times New Roman" w:hAnsi="Times New Roman" w:cs="Times New Roman" w:hint="eastAsia"/>
          <w:color w:val="000000" w:themeColor="text1"/>
          <w:kern w:val="2"/>
        </w:rPr>
        <w:t xml:space="preserve"> </w:t>
      </w:r>
      <w:r w:rsidRPr="00D334E3">
        <w:rPr>
          <w:rFonts w:ascii="Times New Roman" w:hAnsi="Times New Roman" w:cs="Times New Roman"/>
          <w:b/>
          <w:bCs/>
          <w:color w:val="000000" w:themeColor="text1"/>
          <w:kern w:val="2"/>
        </w:rPr>
        <w:t>(</w:t>
      </w:r>
      <w:r w:rsidRPr="00D334E3">
        <w:rPr>
          <w:rFonts w:ascii="Times New Roman" w:hAnsi="Times New Roman" w:cs="Times New Roman" w:hint="eastAsia"/>
          <w:b/>
          <w:bCs/>
          <w:color w:val="000000" w:themeColor="text1"/>
          <w:kern w:val="2"/>
        </w:rPr>
        <w:t>B</w:t>
      </w:r>
      <w:r w:rsidRPr="00D334E3">
        <w:rPr>
          <w:rFonts w:ascii="Times New Roman" w:hAnsi="Times New Roman" w:cs="Times New Roman"/>
          <w:b/>
          <w:bCs/>
          <w:color w:val="000000" w:themeColor="text1"/>
          <w:kern w:val="2"/>
        </w:rPr>
        <w:t>)</w:t>
      </w:r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 Variance explained by principal components in dimensionality reduction analysis. The bar plot displays the percentage of explained variance for the top 10 principal components. poor CCC: poor c</w:t>
      </w:r>
      <w:r w:rsidRPr="00D334E3">
        <w:rPr>
          <w:rFonts w:ascii="Times New Roman" w:hAnsi="Times New Roman" w:cs="Times New Roman" w:hint="eastAsia"/>
          <w:color w:val="000000" w:themeColor="text1"/>
          <w:kern w:val="2"/>
        </w:rPr>
        <w:t>oronary collateral circulation</w:t>
      </w:r>
      <w:r w:rsidRPr="00D334E3">
        <w:rPr>
          <w:rFonts w:ascii="Times New Roman" w:hAnsi="Times New Roman" w:cs="Times New Roman"/>
          <w:color w:val="000000" w:themeColor="text1"/>
          <w:kern w:val="2"/>
        </w:rPr>
        <w:t>, control: good c</w:t>
      </w:r>
      <w:r w:rsidRPr="00D334E3">
        <w:rPr>
          <w:rFonts w:ascii="Times New Roman" w:hAnsi="Times New Roman" w:cs="Times New Roman" w:hint="eastAsia"/>
          <w:color w:val="000000" w:themeColor="text1"/>
          <w:kern w:val="2"/>
        </w:rPr>
        <w:t>oronary collateral circulation</w:t>
      </w:r>
      <w:r w:rsidRPr="00D334E3">
        <w:rPr>
          <w:rFonts w:ascii="Times New Roman" w:hAnsi="Times New Roman" w:cs="Times New Roman"/>
          <w:color w:val="000000" w:themeColor="text1"/>
          <w:kern w:val="2"/>
        </w:rPr>
        <w:t>.</w:t>
      </w:r>
    </w:p>
    <w:p w14:paraId="33509397" w14:textId="5BC4B1B9" w:rsidR="003B639B" w:rsidRDefault="003B639B">
      <w:pPr>
        <w:rPr>
          <w:rFonts w:ascii="Times New Roman" w:hAnsi="Times New Roman" w:cs="Times New Roman"/>
          <w:b/>
          <w:bCs/>
          <w:color w:val="000000" w:themeColor="text1"/>
          <w:kern w:val="2"/>
        </w:rPr>
      </w:pPr>
    </w:p>
    <w:p w14:paraId="7FA74140" w14:textId="1B24C830" w:rsidR="003633D9" w:rsidRPr="00D334E3" w:rsidRDefault="003633D9">
      <w:pPr>
        <w:rPr>
          <w:rFonts w:ascii="Times New Roman" w:hAnsi="Times New Roman" w:cs="Times New Roman"/>
          <w:b/>
          <w:bCs/>
          <w:color w:val="000000" w:themeColor="text1"/>
          <w:kern w:val="2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  <w:kern w:val="2"/>
        </w:rPr>
        <w:lastRenderedPageBreak/>
        <w:drawing>
          <wp:inline distT="0" distB="0" distL="0" distR="0" wp14:anchorId="4218DAAC" wp14:editId="09DA068B">
            <wp:extent cx="5278120" cy="7460615"/>
            <wp:effectExtent l="0" t="0" r="5080" b="0"/>
            <wp:docPr id="1499384320" name="图片 4" descr="图形用户界面, 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384320" name="图片 4" descr="图形用户界面, 图表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746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01A3D7" w14:textId="77777777" w:rsidR="003B639B" w:rsidRPr="00D334E3" w:rsidRDefault="001746D7">
      <w:pPr>
        <w:widowControl w:val="0"/>
        <w:jc w:val="both"/>
        <w:rPr>
          <w:rFonts w:ascii="Times New Roman" w:hAnsi="Times New Roman" w:cs="Times New Roman"/>
          <w:color w:val="000000" w:themeColor="text1"/>
          <w:kern w:val="2"/>
        </w:rPr>
      </w:pPr>
      <w:r w:rsidRPr="00D334E3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S4. </w:t>
      </w:r>
      <w:r w:rsidRPr="00D334E3">
        <w:rPr>
          <w:rFonts w:ascii="Times New Roman" w:hAnsi="Times New Roman" w:cs="Times New Roman"/>
          <w:b/>
          <w:bCs/>
          <w:color w:val="000000" w:themeColor="text1"/>
          <w:kern w:val="2"/>
        </w:rPr>
        <w:t>Machine learning-based classification of CDVR and ITMD patients using clinical and hematological features.</w:t>
      </w:r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 </w:t>
      </w:r>
      <w:r w:rsidRPr="00D334E3">
        <w:rPr>
          <w:rFonts w:ascii="Times New Roman" w:hAnsi="Times New Roman" w:cs="Times New Roman"/>
          <w:b/>
          <w:bCs/>
          <w:color w:val="000000" w:themeColor="text1"/>
          <w:kern w:val="2"/>
        </w:rPr>
        <w:t>(A)</w:t>
      </w:r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 Performance comparison of eight machine learning algorithms for CDVR and ITMD classification. Multiple metrics including cross-validation accuracy (</w:t>
      </w:r>
      <w:proofErr w:type="spellStart"/>
      <w:r w:rsidRPr="00D334E3">
        <w:rPr>
          <w:rFonts w:ascii="Times New Roman" w:hAnsi="Times New Roman" w:cs="Times New Roman"/>
          <w:color w:val="000000" w:themeColor="text1"/>
          <w:kern w:val="2"/>
        </w:rPr>
        <w:t>CV_accuracy</w:t>
      </w:r>
      <w:proofErr w:type="spellEnd"/>
      <w:r w:rsidRPr="00D334E3">
        <w:rPr>
          <w:rFonts w:ascii="Times New Roman" w:hAnsi="Times New Roman" w:cs="Times New Roman"/>
          <w:color w:val="000000" w:themeColor="text1"/>
          <w:kern w:val="2"/>
        </w:rPr>
        <w:t>), training accuracy (</w:t>
      </w:r>
      <w:proofErr w:type="spellStart"/>
      <w:r w:rsidRPr="00D334E3">
        <w:rPr>
          <w:rFonts w:ascii="Times New Roman" w:hAnsi="Times New Roman" w:cs="Times New Roman"/>
          <w:color w:val="000000" w:themeColor="text1"/>
          <w:kern w:val="2"/>
        </w:rPr>
        <w:t>Train_Accuracy</w:t>
      </w:r>
      <w:proofErr w:type="spellEnd"/>
      <w:r w:rsidRPr="00D334E3">
        <w:rPr>
          <w:rFonts w:ascii="Times New Roman" w:hAnsi="Times New Roman" w:cs="Times New Roman"/>
          <w:color w:val="000000" w:themeColor="text1"/>
          <w:kern w:val="2"/>
        </w:rPr>
        <w:t>), testing accuracy (</w:t>
      </w:r>
      <w:proofErr w:type="spellStart"/>
      <w:r w:rsidRPr="00D334E3">
        <w:rPr>
          <w:rFonts w:ascii="Times New Roman" w:hAnsi="Times New Roman" w:cs="Times New Roman"/>
          <w:color w:val="000000" w:themeColor="text1"/>
          <w:kern w:val="2"/>
        </w:rPr>
        <w:t>Test_Accuracy</w:t>
      </w:r>
      <w:proofErr w:type="spellEnd"/>
      <w:r w:rsidRPr="00D334E3">
        <w:rPr>
          <w:rFonts w:ascii="Times New Roman" w:hAnsi="Times New Roman" w:cs="Times New Roman"/>
          <w:color w:val="000000" w:themeColor="text1"/>
          <w:kern w:val="2"/>
        </w:rPr>
        <w:t>), precision (</w:t>
      </w:r>
      <w:proofErr w:type="spellStart"/>
      <w:r w:rsidRPr="00D334E3">
        <w:rPr>
          <w:rFonts w:ascii="Times New Roman" w:hAnsi="Times New Roman" w:cs="Times New Roman"/>
          <w:color w:val="000000" w:themeColor="text1"/>
          <w:kern w:val="2"/>
        </w:rPr>
        <w:t>Test_Precision</w:t>
      </w:r>
      <w:proofErr w:type="spellEnd"/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), recall </w:t>
      </w:r>
      <w:r w:rsidRPr="00D334E3">
        <w:rPr>
          <w:rFonts w:ascii="Times New Roman" w:hAnsi="Times New Roman" w:cs="Times New Roman"/>
          <w:color w:val="000000" w:themeColor="text1"/>
          <w:kern w:val="2"/>
        </w:rPr>
        <w:lastRenderedPageBreak/>
        <w:t>(</w:t>
      </w:r>
      <w:proofErr w:type="spellStart"/>
      <w:r w:rsidRPr="00D334E3">
        <w:rPr>
          <w:rFonts w:ascii="Times New Roman" w:hAnsi="Times New Roman" w:cs="Times New Roman"/>
          <w:color w:val="000000" w:themeColor="text1"/>
          <w:kern w:val="2"/>
        </w:rPr>
        <w:t>Test_Recall</w:t>
      </w:r>
      <w:proofErr w:type="spellEnd"/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), and F1 score (Test_F1) were evaluated. </w:t>
      </w:r>
      <w:r w:rsidRPr="00D334E3">
        <w:rPr>
          <w:rFonts w:ascii="Times New Roman" w:hAnsi="Times New Roman" w:cs="Times New Roman"/>
          <w:b/>
          <w:bCs/>
          <w:color w:val="000000" w:themeColor="text1"/>
          <w:kern w:val="2"/>
        </w:rPr>
        <w:t>(B)</w:t>
      </w:r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 SHAP (</w:t>
      </w:r>
      <w:proofErr w:type="spellStart"/>
      <w:r w:rsidRPr="00D334E3">
        <w:rPr>
          <w:rFonts w:ascii="Times New Roman" w:hAnsi="Times New Roman" w:cs="Times New Roman"/>
          <w:color w:val="000000" w:themeColor="text1"/>
          <w:kern w:val="2"/>
        </w:rPr>
        <w:t>SHapley</w:t>
      </w:r>
      <w:proofErr w:type="spellEnd"/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 Additive </w:t>
      </w:r>
      <w:proofErr w:type="spellStart"/>
      <w:r w:rsidRPr="00D334E3">
        <w:rPr>
          <w:rFonts w:ascii="Times New Roman" w:hAnsi="Times New Roman" w:cs="Times New Roman"/>
          <w:color w:val="000000" w:themeColor="text1"/>
          <w:kern w:val="2"/>
        </w:rPr>
        <w:t>exPlanations</w:t>
      </w:r>
      <w:proofErr w:type="spellEnd"/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) summary plot showing the impact of top features on the </w:t>
      </w:r>
      <w:proofErr w:type="spellStart"/>
      <w:r w:rsidRPr="00D334E3">
        <w:rPr>
          <w:rFonts w:ascii="Times New Roman" w:hAnsi="Times New Roman" w:cs="Times New Roman"/>
          <w:color w:val="000000" w:themeColor="text1"/>
          <w:kern w:val="2"/>
        </w:rPr>
        <w:t>XGBoost</w:t>
      </w:r>
      <w:proofErr w:type="spellEnd"/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 model output. </w:t>
      </w:r>
      <w:r w:rsidRPr="00D334E3">
        <w:rPr>
          <w:rFonts w:ascii="Times New Roman" w:hAnsi="Times New Roman" w:cs="Times New Roman"/>
          <w:b/>
          <w:bCs/>
          <w:color w:val="000000" w:themeColor="text1"/>
          <w:kern w:val="2"/>
        </w:rPr>
        <w:t xml:space="preserve">(C) </w:t>
      </w:r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Receiver operating characteristic (ROC) curve of the </w:t>
      </w:r>
      <w:proofErr w:type="spellStart"/>
      <w:r w:rsidRPr="00D334E3">
        <w:rPr>
          <w:rFonts w:ascii="Times New Roman" w:hAnsi="Times New Roman" w:cs="Times New Roman"/>
          <w:color w:val="000000" w:themeColor="text1"/>
          <w:kern w:val="2"/>
        </w:rPr>
        <w:t>XGBoost</w:t>
      </w:r>
      <w:proofErr w:type="spellEnd"/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 classifier. </w:t>
      </w:r>
      <w:r w:rsidRPr="00D334E3">
        <w:rPr>
          <w:rFonts w:ascii="Times New Roman" w:hAnsi="Times New Roman" w:cs="Times New Roman"/>
          <w:b/>
          <w:bCs/>
          <w:color w:val="000000" w:themeColor="text1"/>
          <w:kern w:val="2"/>
        </w:rPr>
        <w:t>(D)</w:t>
      </w:r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 Confusion matrix of the </w:t>
      </w:r>
      <w:proofErr w:type="spellStart"/>
      <w:r w:rsidRPr="00D334E3">
        <w:rPr>
          <w:rFonts w:ascii="Times New Roman" w:hAnsi="Times New Roman" w:cs="Times New Roman"/>
          <w:color w:val="000000" w:themeColor="text1"/>
          <w:kern w:val="2"/>
        </w:rPr>
        <w:t>XGBoost</w:t>
      </w:r>
      <w:proofErr w:type="spellEnd"/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 model on the test set. </w:t>
      </w:r>
    </w:p>
    <w:p w14:paraId="13D2733E" w14:textId="62C710BD" w:rsidR="003633D9" w:rsidRDefault="003633D9">
      <w:pPr>
        <w:widowControl w:val="0"/>
        <w:jc w:val="both"/>
        <w:rPr>
          <w:rFonts w:ascii="Times New Roman" w:hAnsi="Times New Roman" w:cs="Times New Roman"/>
          <w:color w:val="000000" w:themeColor="text1"/>
          <w:kern w:val="2"/>
        </w:rPr>
      </w:pPr>
    </w:p>
    <w:p w14:paraId="1D804F7D" w14:textId="648FB1D3" w:rsidR="009C1532" w:rsidRPr="00D334E3" w:rsidRDefault="009C1532">
      <w:pPr>
        <w:widowControl w:val="0"/>
        <w:jc w:val="both"/>
        <w:rPr>
          <w:rFonts w:ascii="Times New Roman" w:hAnsi="Times New Roman" w:cs="Times New Roman"/>
          <w:color w:val="000000" w:themeColor="text1"/>
          <w:kern w:val="2"/>
        </w:rPr>
      </w:pPr>
      <w:r w:rsidRPr="00454CFC">
        <w:rPr>
          <w:rFonts w:ascii="Times New Roman" w:hAnsi="Times New Roman" w:cs="Times New Roman"/>
          <w:noProof/>
          <w:color w:val="000000" w:themeColor="text1"/>
          <w:kern w:val="2"/>
          <w:lang w:val="en-IN" w:eastAsia="en-IN"/>
        </w:rPr>
        <w:drawing>
          <wp:inline distT="0" distB="0" distL="0" distR="0" wp14:anchorId="77A5E9E7" wp14:editId="37547C9E">
            <wp:extent cx="5278120" cy="1639570"/>
            <wp:effectExtent l="0" t="0" r="5080" b="0"/>
            <wp:docPr id="5" name="Picture 5" descr="H:\journals\Springer\SpACE\12933\2988\Stage200\Contents\PRE\Figures\revised_Figure.S5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journals\Springer\SpACE\12933\2988\Stage200\Contents\PRE\Figures\revised_Figure.S5.ti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163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77774" w14:textId="3F3D8B5F" w:rsidR="00454CFC" w:rsidRPr="00D334E3" w:rsidRDefault="001746D7">
      <w:pPr>
        <w:widowControl w:val="0"/>
        <w:jc w:val="both"/>
        <w:rPr>
          <w:rFonts w:ascii="Times New Roman" w:hAnsi="Times New Roman" w:cs="Times New Roman"/>
          <w:color w:val="000000" w:themeColor="text1"/>
          <w:kern w:val="2"/>
        </w:rPr>
      </w:pPr>
      <w:r w:rsidRPr="00D334E3">
        <w:rPr>
          <w:rFonts w:ascii="Times New Roman" w:hAnsi="Times New Roman" w:cs="Times New Roman"/>
          <w:b/>
          <w:bCs/>
          <w:color w:val="000000" w:themeColor="text1"/>
        </w:rPr>
        <w:t xml:space="preserve">Supplementary Figure S5. </w:t>
      </w:r>
      <w:r w:rsidRPr="00D334E3">
        <w:rPr>
          <w:rFonts w:ascii="Times New Roman" w:hAnsi="Times New Roman" w:cs="Times New Roman"/>
          <w:b/>
          <w:bCs/>
          <w:color w:val="000000" w:themeColor="text1"/>
          <w:kern w:val="2"/>
        </w:rPr>
        <w:t xml:space="preserve">Univariate Cox regression forest plots of MACE event of </w:t>
      </w:r>
      <w:r w:rsidRPr="00D334E3">
        <w:rPr>
          <w:rFonts w:ascii="Times New Roman" w:hAnsi="Times New Roman" w:cs="Times New Roman" w:hint="eastAsia"/>
          <w:b/>
          <w:bCs/>
          <w:color w:val="000000" w:themeColor="text1"/>
          <w:kern w:val="2"/>
        </w:rPr>
        <w:t>CDVR, and ITMD subtypes.</w:t>
      </w:r>
      <w:r w:rsidRPr="00D334E3">
        <w:rPr>
          <w:rFonts w:ascii="Times New Roman" w:hAnsi="Times New Roman" w:cs="Times New Roman"/>
          <w:color w:val="000000" w:themeColor="text1"/>
          <w:kern w:val="2"/>
        </w:rPr>
        <w:t xml:space="preserve"> CDVR: Driven Vascular Remodeling CDVR subtype, ITMD: Immuno-Thrombotic Myocardial Dysfunction subtype.</w:t>
      </w:r>
    </w:p>
    <w:sectPr w:rsidR="00454CFC" w:rsidRPr="00D334E3" w:rsidSect="0097213C">
      <w:pgSz w:w="11906" w:h="16838"/>
      <w:pgMar w:top="1440" w:right="1797" w:bottom="1440" w:left="1797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5798774"/>
    <w:multiLevelType w:val="singleLevel"/>
    <w:tmpl w:val="B579877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76CF346A"/>
    <w:multiLevelType w:val="multilevel"/>
    <w:tmpl w:val="76CF346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  <w:rPr>
        <w:rFonts w:ascii="Times New Roman" w:hAnsi="Times New Roman" w:cs="Times New Roman" w:hint="default"/>
      </w:rPr>
    </w:lvl>
  </w:abstractNum>
  <w:num w:numId="1" w16cid:durableId="916550857">
    <w:abstractNumId w:val="0"/>
  </w:num>
  <w:num w:numId="2" w16cid:durableId="21401457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2"/>
  <w:displayVerticalDrawingGridEvery w:val="2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宋体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a2dfes2sa5f0f8epf0axszx05s2tppxzrzv9&quot;&gt;guo&lt;record-ids&gt;&lt;item&gt;1&lt;/item&gt;&lt;item&gt;2&lt;/item&gt;&lt;item&gt;3&lt;/item&gt;&lt;item&gt;4&lt;/item&gt;&lt;item&gt;5&lt;/item&gt;&lt;item&gt;6&lt;/item&gt;&lt;item&gt;7&lt;/item&gt;&lt;item&gt;8&lt;/item&gt;&lt;item&gt;10&lt;/item&gt;&lt;item&gt;11&lt;/item&gt;&lt;item&gt;13&lt;/item&gt;&lt;item&gt;14&lt;/item&gt;&lt;item&gt;15&lt;/item&gt;&lt;item&gt;16&lt;/item&gt;&lt;item&gt;17&lt;/item&gt;&lt;item&gt;18&lt;/item&gt;&lt;item&gt;19&lt;/item&gt;&lt;item&gt;20&lt;/item&gt;&lt;item&gt;21&lt;/item&gt;&lt;item&gt;23&lt;/item&gt;&lt;item&gt;24&lt;/item&gt;&lt;item&gt;25&lt;/item&gt;&lt;item&gt;26&lt;/item&gt;&lt;item&gt;28&lt;/item&gt;&lt;item&gt;29&lt;/item&gt;&lt;item&gt;30&lt;/item&gt;&lt;item&gt;31&lt;/item&gt;&lt;item&gt;32&lt;/item&gt;&lt;item&gt;33&lt;/item&gt;&lt;item&gt;34&lt;/item&gt;&lt;item&gt;35&lt;/item&gt;&lt;item&gt;36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73&lt;/item&gt;&lt;item&gt;74&lt;/item&gt;&lt;item&gt;75&lt;/item&gt;&lt;item&gt;76&lt;/item&gt;&lt;item&gt;77&lt;/item&gt;&lt;item&gt;78&lt;/item&gt;&lt;item&gt;79&lt;/item&gt;&lt;item&gt;80&lt;/item&gt;&lt;item&gt;81&lt;/item&gt;&lt;item&gt;82&lt;/item&gt;&lt;item&gt;83&lt;/item&gt;&lt;item&gt;84&lt;/item&gt;&lt;item&gt;85&lt;/item&gt;&lt;item&gt;86&lt;/item&gt;&lt;item&gt;87&lt;/item&gt;&lt;item&gt;88&lt;/item&gt;&lt;item&gt;89&lt;/item&gt;&lt;item&gt;90&lt;/item&gt;&lt;item&gt;91&lt;/item&gt;&lt;item&gt;92&lt;/item&gt;&lt;item&gt;93&lt;/item&gt;&lt;item&gt;94&lt;/item&gt;&lt;item&gt;95&lt;/item&gt;&lt;item&gt;96&lt;/item&gt;&lt;item&gt;97&lt;/item&gt;&lt;item&gt;98&lt;/item&gt;&lt;item&gt;99&lt;/item&gt;&lt;item&gt;100&lt;/item&gt;&lt;item&gt;101&lt;/item&gt;&lt;/record-ids&gt;&lt;/item&gt;&lt;/Libraries&gt;"/>
    <w:docVar w:name="EN.UseJSCitationFormat" w:val="False"/>
  </w:docVars>
  <w:rsids>
    <w:rsidRoot w:val="00B05E9B"/>
    <w:rsid w:val="83DF08C8"/>
    <w:rsid w:val="8BF5EA3A"/>
    <w:rsid w:val="9BAD85F5"/>
    <w:rsid w:val="9FDF052C"/>
    <w:rsid w:val="ABB616D3"/>
    <w:rsid w:val="ABFC5828"/>
    <w:rsid w:val="ABFF6059"/>
    <w:rsid w:val="B25B3B3B"/>
    <w:rsid w:val="B2F73E79"/>
    <w:rsid w:val="B37F677A"/>
    <w:rsid w:val="B7FC3FF4"/>
    <w:rsid w:val="B7FF8A1D"/>
    <w:rsid w:val="B9EFC85E"/>
    <w:rsid w:val="BA5F67D8"/>
    <w:rsid w:val="BAD7535F"/>
    <w:rsid w:val="BB57EB91"/>
    <w:rsid w:val="BBEBAA7C"/>
    <w:rsid w:val="BCFEE65C"/>
    <w:rsid w:val="BD9FCEFA"/>
    <w:rsid w:val="BEFFDFB4"/>
    <w:rsid w:val="BF3F6A34"/>
    <w:rsid w:val="BF73823A"/>
    <w:rsid w:val="BF73950D"/>
    <w:rsid w:val="BF7D6F6A"/>
    <w:rsid w:val="BFAD7F0F"/>
    <w:rsid w:val="BFB51A70"/>
    <w:rsid w:val="BFB7A30D"/>
    <w:rsid w:val="BFF7C38E"/>
    <w:rsid w:val="BFF7D7D8"/>
    <w:rsid w:val="BFFB977D"/>
    <w:rsid w:val="BFFF133B"/>
    <w:rsid w:val="C9FEF4BC"/>
    <w:rsid w:val="CDBF1C62"/>
    <w:rsid w:val="CEA3F5AB"/>
    <w:rsid w:val="CF7D79E1"/>
    <w:rsid w:val="CFB7F3D7"/>
    <w:rsid w:val="CFFBAA3E"/>
    <w:rsid w:val="D3BECCD4"/>
    <w:rsid w:val="D3FF04A8"/>
    <w:rsid w:val="D7FF1487"/>
    <w:rsid w:val="D9FF3386"/>
    <w:rsid w:val="DB97E59D"/>
    <w:rsid w:val="DBEFFE13"/>
    <w:rsid w:val="DDE9B4C8"/>
    <w:rsid w:val="DF7B01B7"/>
    <w:rsid w:val="E7E79B78"/>
    <w:rsid w:val="E8CEAA17"/>
    <w:rsid w:val="EA719209"/>
    <w:rsid w:val="EA9E4D5C"/>
    <w:rsid w:val="EB17A27D"/>
    <w:rsid w:val="ECAFC8FA"/>
    <w:rsid w:val="ECFB84D1"/>
    <w:rsid w:val="EDFECD03"/>
    <w:rsid w:val="EDFF8E6D"/>
    <w:rsid w:val="EDFFDE16"/>
    <w:rsid w:val="EE5D749F"/>
    <w:rsid w:val="EEB31F10"/>
    <w:rsid w:val="EF75603B"/>
    <w:rsid w:val="EF7DD236"/>
    <w:rsid w:val="EF9BBE8B"/>
    <w:rsid w:val="EF9E936B"/>
    <w:rsid w:val="EFDF6DE5"/>
    <w:rsid w:val="EFFF4985"/>
    <w:rsid w:val="F05F7B2D"/>
    <w:rsid w:val="F2FB0D34"/>
    <w:rsid w:val="F3F7C82C"/>
    <w:rsid w:val="F57D008A"/>
    <w:rsid w:val="F57EE01A"/>
    <w:rsid w:val="F5B58E37"/>
    <w:rsid w:val="F5BFDE80"/>
    <w:rsid w:val="F6F8EF0F"/>
    <w:rsid w:val="F6FFBB13"/>
    <w:rsid w:val="F7529B93"/>
    <w:rsid w:val="F795F005"/>
    <w:rsid w:val="F7FF4DAA"/>
    <w:rsid w:val="F7FFCE5A"/>
    <w:rsid w:val="F8F797C3"/>
    <w:rsid w:val="F99F8C57"/>
    <w:rsid w:val="F9D3B8F5"/>
    <w:rsid w:val="F9D99D5A"/>
    <w:rsid w:val="F9E5E66B"/>
    <w:rsid w:val="F9FFCBD7"/>
    <w:rsid w:val="FA3DDBB1"/>
    <w:rsid w:val="FADCBA50"/>
    <w:rsid w:val="FB1F7D4F"/>
    <w:rsid w:val="FB5FB012"/>
    <w:rsid w:val="FB7BCFAF"/>
    <w:rsid w:val="FB9FCABF"/>
    <w:rsid w:val="FBBEB97C"/>
    <w:rsid w:val="FBFB742F"/>
    <w:rsid w:val="FD6F73B1"/>
    <w:rsid w:val="FD9F00CA"/>
    <w:rsid w:val="FDE7FE94"/>
    <w:rsid w:val="FE7F4060"/>
    <w:rsid w:val="FEB3BCC8"/>
    <w:rsid w:val="FEB5F1E4"/>
    <w:rsid w:val="FED324DB"/>
    <w:rsid w:val="FEF27834"/>
    <w:rsid w:val="FEFD7C41"/>
    <w:rsid w:val="FF4FBC81"/>
    <w:rsid w:val="FF5F07BC"/>
    <w:rsid w:val="FFAE8569"/>
    <w:rsid w:val="FFCDA9EB"/>
    <w:rsid w:val="FFD384B2"/>
    <w:rsid w:val="FFDAA3F3"/>
    <w:rsid w:val="FFDB0646"/>
    <w:rsid w:val="FFEFAEE7"/>
    <w:rsid w:val="FFF75D2B"/>
    <w:rsid w:val="FFF7A545"/>
    <w:rsid w:val="FFFB9723"/>
    <w:rsid w:val="FFFD0907"/>
    <w:rsid w:val="FFFD1F82"/>
    <w:rsid w:val="00005C0E"/>
    <w:rsid w:val="00013CC1"/>
    <w:rsid w:val="0001663A"/>
    <w:rsid w:val="000202DC"/>
    <w:rsid w:val="00043322"/>
    <w:rsid w:val="00043FC0"/>
    <w:rsid w:val="000449A1"/>
    <w:rsid w:val="0004796E"/>
    <w:rsid w:val="00053D3D"/>
    <w:rsid w:val="000571AE"/>
    <w:rsid w:val="000622C6"/>
    <w:rsid w:val="00065DF7"/>
    <w:rsid w:val="000711F8"/>
    <w:rsid w:val="00073560"/>
    <w:rsid w:val="000A1248"/>
    <w:rsid w:val="000C57F2"/>
    <w:rsid w:val="000C79DE"/>
    <w:rsid w:val="000E2964"/>
    <w:rsid w:val="000E5573"/>
    <w:rsid w:val="000F0A6C"/>
    <w:rsid w:val="000F5385"/>
    <w:rsid w:val="000F6843"/>
    <w:rsid w:val="000F79C7"/>
    <w:rsid w:val="001065CC"/>
    <w:rsid w:val="001107FC"/>
    <w:rsid w:val="001177E8"/>
    <w:rsid w:val="001256A6"/>
    <w:rsid w:val="00126EEF"/>
    <w:rsid w:val="001327B8"/>
    <w:rsid w:val="00137FB1"/>
    <w:rsid w:val="00140A0D"/>
    <w:rsid w:val="00146104"/>
    <w:rsid w:val="001524C0"/>
    <w:rsid w:val="00152C2F"/>
    <w:rsid w:val="001641A1"/>
    <w:rsid w:val="00172746"/>
    <w:rsid w:val="001746D7"/>
    <w:rsid w:val="001756D5"/>
    <w:rsid w:val="001776B0"/>
    <w:rsid w:val="00177E6A"/>
    <w:rsid w:val="00180661"/>
    <w:rsid w:val="00181F51"/>
    <w:rsid w:val="00185435"/>
    <w:rsid w:val="00186697"/>
    <w:rsid w:val="00196D03"/>
    <w:rsid w:val="001973E6"/>
    <w:rsid w:val="00197FC8"/>
    <w:rsid w:val="001A1382"/>
    <w:rsid w:val="001A197C"/>
    <w:rsid w:val="001B2302"/>
    <w:rsid w:val="001B3155"/>
    <w:rsid w:val="001B43A4"/>
    <w:rsid w:val="001B5DF2"/>
    <w:rsid w:val="001C187B"/>
    <w:rsid w:val="001C2AC9"/>
    <w:rsid w:val="001C495F"/>
    <w:rsid w:val="001C6B4E"/>
    <w:rsid w:val="001C7030"/>
    <w:rsid w:val="00201FD6"/>
    <w:rsid w:val="002056BD"/>
    <w:rsid w:val="002104DF"/>
    <w:rsid w:val="00214709"/>
    <w:rsid w:val="0022030E"/>
    <w:rsid w:val="0022160F"/>
    <w:rsid w:val="00221CF5"/>
    <w:rsid w:val="00227A5A"/>
    <w:rsid w:val="00236151"/>
    <w:rsid w:val="00240461"/>
    <w:rsid w:val="002505FA"/>
    <w:rsid w:val="00254DE7"/>
    <w:rsid w:val="00256D80"/>
    <w:rsid w:val="0025732B"/>
    <w:rsid w:val="0025791B"/>
    <w:rsid w:val="00263C71"/>
    <w:rsid w:val="00270727"/>
    <w:rsid w:val="00271F14"/>
    <w:rsid w:val="00275CA6"/>
    <w:rsid w:val="00282D0E"/>
    <w:rsid w:val="0028447B"/>
    <w:rsid w:val="002853CD"/>
    <w:rsid w:val="00292257"/>
    <w:rsid w:val="00297705"/>
    <w:rsid w:val="002A7D50"/>
    <w:rsid w:val="002B1744"/>
    <w:rsid w:val="002C1F15"/>
    <w:rsid w:val="002C2B68"/>
    <w:rsid w:val="002C45F2"/>
    <w:rsid w:val="002D2844"/>
    <w:rsid w:val="002D39B8"/>
    <w:rsid w:val="002F05DB"/>
    <w:rsid w:val="002F6731"/>
    <w:rsid w:val="002F7B4F"/>
    <w:rsid w:val="00304693"/>
    <w:rsid w:val="00310BFC"/>
    <w:rsid w:val="003118F8"/>
    <w:rsid w:val="00326AFE"/>
    <w:rsid w:val="00333D83"/>
    <w:rsid w:val="0034105E"/>
    <w:rsid w:val="00344AE8"/>
    <w:rsid w:val="00344CB0"/>
    <w:rsid w:val="00345734"/>
    <w:rsid w:val="003476FE"/>
    <w:rsid w:val="00351E58"/>
    <w:rsid w:val="00352801"/>
    <w:rsid w:val="003633D9"/>
    <w:rsid w:val="00365728"/>
    <w:rsid w:val="003705B6"/>
    <w:rsid w:val="00376084"/>
    <w:rsid w:val="00376B3E"/>
    <w:rsid w:val="00376DDC"/>
    <w:rsid w:val="003773F3"/>
    <w:rsid w:val="00377D8B"/>
    <w:rsid w:val="00383F05"/>
    <w:rsid w:val="00385413"/>
    <w:rsid w:val="003905D1"/>
    <w:rsid w:val="00395E56"/>
    <w:rsid w:val="003A149D"/>
    <w:rsid w:val="003A3398"/>
    <w:rsid w:val="003A54BF"/>
    <w:rsid w:val="003B639B"/>
    <w:rsid w:val="003B7561"/>
    <w:rsid w:val="003C2C12"/>
    <w:rsid w:val="003C533A"/>
    <w:rsid w:val="003C7714"/>
    <w:rsid w:val="003D10A0"/>
    <w:rsid w:val="003D3CE1"/>
    <w:rsid w:val="003D7DE3"/>
    <w:rsid w:val="003E29D6"/>
    <w:rsid w:val="003E30C3"/>
    <w:rsid w:val="003F336E"/>
    <w:rsid w:val="00401D39"/>
    <w:rsid w:val="0040583F"/>
    <w:rsid w:val="00405F59"/>
    <w:rsid w:val="004109AD"/>
    <w:rsid w:val="00411243"/>
    <w:rsid w:val="00422B89"/>
    <w:rsid w:val="00434449"/>
    <w:rsid w:val="004359AF"/>
    <w:rsid w:val="00440899"/>
    <w:rsid w:val="004436CD"/>
    <w:rsid w:val="00454CFC"/>
    <w:rsid w:val="004642B2"/>
    <w:rsid w:val="0046564C"/>
    <w:rsid w:val="00466AEF"/>
    <w:rsid w:val="00472A1B"/>
    <w:rsid w:val="00480061"/>
    <w:rsid w:val="00483617"/>
    <w:rsid w:val="00485881"/>
    <w:rsid w:val="004A1F72"/>
    <w:rsid w:val="004A5880"/>
    <w:rsid w:val="004A5E84"/>
    <w:rsid w:val="004B5CCA"/>
    <w:rsid w:val="004B5D85"/>
    <w:rsid w:val="004D2457"/>
    <w:rsid w:val="004D2AC0"/>
    <w:rsid w:val="004D3E58"/>
    <w:rsid w:val="004D4D5D"/>
    <w:rsid w:val="004E67BF"/>
    <w:rsid w:val="004F4E4A"/>
    <w:rsid w:val="004F5E07"/>
    <w:rsid w:val="0050148D"/>
    <w:rsid w:val="0050330F"/>
    <w:rsid w:val="00513689"/>
    <w:rsid w:val="005175D0"/>
    <w:rsid w:val="00523211"/>
    <w:rsid w:val="00524B13"/>
    <w:rsid w:val="00527620"/>
    <w:rsid w:val="00532849"/>
    <w:rsid w:val="005403D9"/>
    <w:rsid w:val="00545E67"/>
    <w:rsid w:val="00546C6E"/>
    <w:rsid w:val="00560842"/>
    <w:rsid w:val="005619F4"/>
    <w:rsid w:val="00565325"/>
    <w:rsid w:val="00577457"/>
    <w:rsid w:val="00585636"/>
    <w:rsid w:val="00594AE8"/>
    <w:rsid w:val="005C58C2"/>
    <w:rsid w:val="005D282C"/>
    <w:rsid w:val="005D619D"/>
    <w:rsid w:val="005F3DFA"/>
    <w:rsid w:val="005F7DB1"/>
    <w:rsid w:val="00611758"/>
    <w:rsid w:val="00612120"/>
    <w:rsid w:val="006173BB"/>
    <w:rsid w:val="00620D2A"/>
    <w:rsid w:val="00623779"/>
    <w:rsid w:val="00625A57"/>
    <w:rsid w:val="00626DB3"/>
    <w:rsid w:val="00627DCA"/>
    <w:rsid w:val="006337FE"/>
    <w:rsid w:val="00636DE8"/>
    <w:rsid w:val="00643E10"/>
    <w:rsid w:val="00646CE9"/>
    <w:rsid w:val="00651B69"/>
    <w:rsid w:val="006602C6"/>
    <w:rsid w:val="006713EC"/>
    <w:rsid w:val="00684DFB"/>
    <w:rsid w:val="00690A72"/>
    <w:rsid w:val="0069205F"/>
    <w:rsid w:val="00694408"/>
    <w:rsid w:val="00696806"/>
    <w:rsid w:val="006A00DB"/>
    <w:rsid w:val="006B306C"/>
    <w:rsid w:val="006B5CFA"/>
    <w:rsid w:val="006D430F"/>
    <w:rsid w:val="006E334B"/>
    <w:rsid w:val="006F4362"/>
    <w:rsid w:val="00700008"/>
    <w:rsid w:val="00700AB9"/>
    <w:rsid w:val="00701DBC"/>
    <w:rsid w:val="00704510"/>
    <w:rsid w:val="00704E09"/>
    <w:rsid w:val="00705755"/>
    <w:rsid w:val="00727D6E"/>
    <w:rsid w:val="00735846"/>
    <w:rsid w:val="007409C7"/>
    <w:rsid w:val="00744E88"/>
    <w:rsid w:val="00756502"/>
    <w:rsid w:val="00776129"/>
    <w:rsid w:val="00776A63"/>
    <w:rsid w:val="0078464E"/>
    <w:rsid w:val="007853D4"/>
    <w:rsid w:val="00792108"/>
    <w:rsid w:val="00792EE3"/>
    <w:rsid w:val="007937FC"/>
    <w:rsid w:val="00793B9C"/>
    <w:rsid w:val="007A2B9E"/>
    <w:rsid w:val="007B182F"/>
    <w:rsid w:val="007B349D"/>
    <w:rsid w:val="007C0893"/>
    <w:rsid w:val="007C727E"/>
    <w:rsid w:val="007D1961"/>
    <w:rsid w:val="007D5B86"/>
    <w:rsid w:val="007E4E54"/>
    <w:rsid w:val="007E74D3"/>
    <w:rsid w:val="007F38BF"/>
    <w:rsid w:val="008035A5"/>
    <w:rsid w:val="008057E7"/>
    <w:rsid w:val="008062A8"/>
    <w:rsid w:val="00822163"/>
    <w:rsid w:val="0083081D"/>
    <w:rsid w:val="00830922"/>
    <w:rsid w:val="00841805"/>
    <w:rsid w:val="00842FCF"/>
    <w:rsid w:val="00844932"/>
    <w:rsid w:val="00853A18"/>
    <w:rsid w:val="00857274"/>
    <w:rsid w:val="0086046D"/>
    <w:rsid w:val="00861D73"/>
    <w:rsid w:val="00861FE1"/>
    <w:rsid w:val="0086337B"/>
    <w:rsid w:val="00875B9F"/>
    <w:rsid w:val="00880DD1"/>
    <w:rsid w:val="008838F1"/>
    <w:rsid w:val="00885C95"/>
    <w:rsid w:val="00891C2E"/>
    <w:rsid w:val="008A6542"/>
    <w:rsid w:val="008C2C2F"/>
    <w:rsid w:val="008C6ADF"/>
    <w:rsid w:val="008C799C"/>
    <w:rsid w:val="008C7EBC"/>
    <w:rsid w:val="008D0CB5"/>
    <w:rsid w:val="008D0F15"/>
    <w:rsid w:val="008D5A09"/>
    <w:rsid w:val="008D5D10"/>
    <w:rsid w:val="008E0907"/>
    <w:rsid w:val="008E1D03"/>
    <w:rsid w:val="008F265D"/>
    <w:rsid w:val="00901395"/>
    <w:rsid w:val="00901D9A"/>
    <w:rsid w:val="009242B1"/>
    <w:rsid w:val="0093177C"/>
    <w:rsid w:val="00935E23"/>
    <w:rsid w:val="00954781"/>
    <w:rsid w:val="00955E6D"/>
    <w:rsid w:val="00962F9D"/>
    <w:rsid w:val="0097213C"/>
    <w:rsid w:val="0097288A"/>
    <w:rsid w:val="009918CD"/>
    <w:rsid w:val="009925AC"/>
    <w:rsid w:val="00997B1E"/>
    <w:rsid w:val="009A00AE"/>
    <w:rsid w:val="009A1345"/>
    <w:rsid w:val="009B3F9E"/>
    <w:rsid w:val="009B61A2"/>
    <w:rsid w:val="009C1532"/>
    <w:rsid w:val="009C18C9"/>
    <w:rsid w:val="009C3324"/>
    <w:rsid w:val="009C3E95"/>
    <w:rsid w:val="009D4E47"/>
    <w:rsid w:val="009E3618"/>
    <w:rsid w:val="009F22E2"/>
    <w:rsid w:val="009F2335"/>
    <w:rsid w:val="009F2A0F"/>
    <w:rsid w:val="009F7951"/>
    <w:rsid w:val="00A0004E"/>
    <w:rsid w:val="00A00574"/>
    <w:rsid w:val="00A04CE8"/>
    <w:rsid w:val="00A15BE5"/>
    <w:rsid w:val="00A2461E"/>
    <w:rsid w:val="00A3228B"/>
    <w:rsid w:val="00A3630B"/>
    <w:rsid w:val="00A40BCD"/>
    <w:rsid w:val="00A41CF9"/>
    <w:rsid w:val="00A42D32"/>
    <w:rsid w:val="00A47691"/>
    <w:rsid w:val="00A51F45"/>
    <w:rsid w:val="00A534FD"/>
    <w:rsid w:val="00A605EF"/>
    <w:rsid w:val="00A60CCC"/>
    <w:rsid w:val="00A61A84"/>
    <w:rsid w:val="00A61BCF"/>
    <w:rsid w:val="00A72918"/>
    <w:rsid w:val="00A73C10"/>
    <w:rsid w:val="00A7490D"/>
    <w:rsid w:val="00A811C1"/>
    <w:rsid w:val="00A829E2"/>
    <w:rsid w:val="00A923D3"/>
    <w:rsid w:val="00A93E86"/>
    <w:rsid w:val="00A968B9"/>
    <w:rsid w:val="00A96B86"/>
    <w:rsid w:val="00A96EC0"/>
    <w:rsid w:val="00AA2C7E"/>
    <w:rsid w:val="00AA7A06"/>
    <w:rsid w:val="00AB1B38"/>
    <w:rsid w:val="00AB5F39"/>
    <w:rsid w:val="00AC2AE0"/>
    <w:rsid w:val="00AC5DC6"/>
    <w:rsid w:val="00AD0C49"/>
    <w:rsid w:val="00AD48E6"/>
    <w:rsid w:val="00AD78EC"/>
    <w:rsid w:val="00AE5EFF"/>
    <w:rsid w:val="00AF3D4A"/>
    <w:rsid w:val="00AF6114"/>
    <w:rsid w:val="00AF67FB"/>
    <w:rsid w:val="00B05E9B"/>
    <w:rsid w:val="00B06D34"/>
    <w:rsid w:val="00B114F4"/>
    <w:rsid w:val="00B12809"/>
    <w:rsid w:val="00B13B28"/>
    <w:rsid w:val="00B24982"/>
    <w:rsid w:val="00B259E1"/>
    <w:rsid w:val="00B461D7"/>
    <w:rsid w:val="00B5046E"/>
    <w:rsid w:val="00B625FD"/>
    <w:rsid w:val="00B63A26"/>
    <w:rsid w:val="00B653D9"/>
    <w:rsid w:val="00B676D2"/>
    <w:rsid w:val="00B7636D"/>
    <w:rsid w:val="00BA031F"/>
    <w:rsid w:val="00BA16A6"/>
    <w:rsid w:val="00BA2769"/>
    <w:rsid w:val="00BA2FED"/>
    <w:rsid w:val="00BB021F"/>
    <w:rsid w:val="00BB7886"/>
    <w:rsid w:val="00BC269E"/>
    <w:rsid w:val="00BC29A0"/>
    <w:rsid w:val="00BD0135"/>
    <w:rsid w:val="00BE7C27"/>
    <w:rsid w:val="00BF56FF"/>
    <w:rsid w:val="00C002FE"/>
    <w:rsid w:val="00C02E8B"/>
    <w:rsid w:val="00C03AE8"/>
    <w:rsid w:val="00C16016"/>
    <w:rsid w:val="00C17776"/>
    <w:rsid w:val="00C17DBD"/>
    <w:rsid w:val="00C26B08"/>
    <w:rsid w:val="00C309F5"/>
    <w:rsid w:val="00C32C7A"/>
    <w:rsid w:val="00C33424"/>
    <w:rsid w:val="00C3621B"/>
    <w:rsid w:val="00C420DC"/>
    <w:rsid w:val="00C431D3"/>
    <w:rsid w:val="00C56FF0"/>
    <w:rsid w:val="00C6337A"/>
    <w:rsid w:val="00C63A0F"/>
    <w:rsid w:val="00C6717C"/>
    <w:rsid w:val="00C710C6"/>
    <w:rsid w:val="00C75D9C"/>
    <w:rsid w:val="00C93103"/>
    <w:rsid w:val="00C94799"/>
    <w:rsid w:val="00CA334D"/>
    <w:rsid w:val="00CA68E9"/>
    <w:rsid w:val="00CC13E0"/>
    <w:rsid w:val="00CC4BB5"/>
    <w:rsid w:val="00CD5522"/>
    <w:rsid w:val="00CD6913"/>
    <w:rsid w:val="00CE01CC"/>
    <w:rsid w:val="00CE6558"/>
    <w:rsid w:val="00D0383A"/>
    <w:rsid w:val="00D10D91"/>
    <w:rsid w:val="00D20BC3"/>
    <w:rsid w:val="00D20F52"/>
    <w:rsid w:val="00D223CA"/>
    <w:rsid w:val="00D228FE"/>
    <w:rsid w:val="00D27131"/>
    <w:rsid w:val="00D334E3"/>
    <w:rsid w:val="00D35F77"/>
    <w:rsid w:val="00D37125"/>
    <w:rsid w:val="00D377D1"/>
    <w:rsid w:val="00D47139"/>
    <w:rsid w:val="00D47DDA"/>
    <w:rsid w:val="00D53767"/>
    <w:rsid w:val="00D55A17"/>
    <w:rsid w:val="00D57CF7"/>
    <w:rsid w:val="00D67B12"/>
    <w:rsid w:val="00D74C64"/>
    <w:rsid w:val="00D843D1"/>
    <w:rsid w:val="00D9056A"/>
    <w:rsid w:val="00D94E5E"/>
    <w:rsid w:val="00D9600E"/>
    <w:rsid w:val="00D97CEB"/>
    <w:rsid w:val="00DA43EF"/>
    <w:rsid w:val="00DA4C64"/>
    <w:rsid w:val="00DA51C9"/>
    <w:rsid w:val="00DB07C4"/>
    <w:rsid w:val="00DB24AC"/>
    <w:rsid w:val="00DB3FE1"/>
    <w:rsid w:val="00DC0E2D"/>
    <w:rsid w:val="00DC5443"/>
    <w:rsid w:val="00DD3AEC"/>
    <w:rsid w:val="00DE0749"/>
    <w:rsid w:val="00DE1D72"/>
    <w:rsid w:val="00E01982"/>
    <w:rsid w:val="00E052CD"/>
    <w:rsid w:val="00E153A2"/>
    <w:rsid w:val="00E20A1A"/>
    <w:rsid w:val="00E4179E"/>
    <w:rsid w:val="00E53A23"/>
    <w:rsid w:val="00E568CC"/>
    <w:rsid w:val="00E63537"/>
    <w:rsid w:val="00E71A0F"/>
    <w:rsid w:val="00E810E7"/>
    <w:rsid w:val="00E921AE"/>
    <w:rsid w:val="00E9599F"/>
    <w:rsid w:val="00EA0201"/>
    <w:rsid w:val="00EA33E3"/>
    <w:rsid w:val="00EA3A6A"/>
    <w:rsid w:val="00EB15EB"/>
    <w:rsid w:val="00EB4390"/>
    <w:rsid w:val="00EC4311"/>
    <w:rsid w:val="00ED5E3B"/>
    <w:rsid w:val="00EE0419"/>
    <w:rsid w:val="00EE1204"/>
    <w:rsid w:val="00EE16DF"/>
    <w:rsid w:val="00EF591F"/>
    <w:rsid w:val="00EF6C64"/>
    <w:rsid w:val="00F01CDE"/>
    <w:rsid w:val="00F10C81"/>
    <w:rsid w:val="00F319BF"/>
    <w:rsid w:val="00F36075"/>
    <w:rsid w:val="00F5082A"/>
    <w:rsid w:val="00F52FB9"/>
    <w:rsid w:val="00F55F64"/>
    <w:rsid w:val="00F56C61"/>
    <w:rsid w:val="00F61ABE"/>
    <w:rsid w:val="00F65DAE"/>
    <w:rsid w:val="00F65EDD"/>
    <w:rsid w:val="00F905F5"/>
    <w:rsid w:val="00F92347"/>
    <w:rsid w:val="00F924ED"/>
    <w:rsid w:val="00F94AF3"/>
    <w:rsid w:val="00FA79CA"/>
    <w:rsid w:val="00FB212A"/>
    <w:rsid w:val="00FB3475"/>
    <w:rsid w:val="00FB73FF"/>
    <w:rsid w:val="00FC1FA6"/>
    <w:rsid w:val="00FC2AF9"/>
    <w:rsid w:val="00FC333D"/>
    <w:rsid w:val="00FC6B19"/>
    <w:rsid w:val="00FD2A71"/>
    <w:rsid w:val="00FD6EBF"/>
    <w:rsid w:val="00FD7B5C"/>
    <w:rsid w:val="00FF202F"/>
    <w:rsid w:val="062F259D"/>
    <w:rsid w:val="07FF5F52"/>
    <w:rsid w:val="080752BC"/>
    <w:rsid w:val="09280982"/>
    <w:rsid w:val="0BFFEC33"/>
    <w:rsid w:val="0D5C127A"/>
    <w:rsid w:val="15BF4301"/>
    <w:rsid w:val="17DB127E"/>
    <w:rsid w:val="17F72484"/>
    <w:rsid w:val="18552337"/>
    <w:rsid w:val="19ED040E"/>
    <w:rsid w:val="1BBF2431"/>
    <w:rsid w:val="1DAE85EB"/>
    <w:rsid w:val="1ECFBABE"/>
    <w:rsid w:val="1FCF353C"/>
    <w:rsid w:val="1FE7E719"/>
    <w:rsid w:val="23D51B02"/>
    <w:rsid w:val="24A24B56"/>
    <w:rsid w:val="26BE773F"/>
    <w:rsid w:val="284E1E04"/>
    <w:rsid w:val="2A135C1B"/>
    <w:rsid w:val="2BF7B842"/>
    <w:rsid w:val="2DA5AF80"/>
    <w:rsid w:val="2EEEB9E0"/>
    <w:rsid w:val="2FBF0AFC"/>
    <w:rsid w:val="2FEBAD89"/>
    <w:rsid w:val="2FEF7E4A"/>
    <w:rsid w:val="333FE3BB"/>
    <w:rsid w:val="336DBD65"/>
    <w:rsid w:val="3395CFB7"/>
    <w:rsid w:val="34FCCBC9"/>
    <w:rsid w:val="363D5763"/>
    <w:rsid w:val="36AB4187"/>
    <w:rsid w:val="36FFCFD7"/>
    <w:rsid w:val="39BFB6B9"/>
    <w:rsid w:val="3AACA361"/>
    <w:rsid w:val="3ADE8993"/>
    <w:rsid w:val="3BFB2A41"/>
    <w:rsid w:val="3CDCA09B"/>
    <w:rsid w:val="3CE25D41"/>
    <w:rsid w:val="3D674168"/>
    <w:rsid w:val="3E1CCBE1"/>
    <w:rsid w:val="3E326FCB"/>
    <w:rsid w:val="3E6F3EDD"/>
    <w:rsid w:val="3F1622E2"/>
    <w:rsid w:val="3F45752E"/>
    <w:rsid w:val="3F6FB92D"/>
    <w:rsid w:val="3F8F5BCA"/>
    <w:rsid w:val="3FDD5FAC"/>
    <w:rsid w:val="3FF9A936"/>
    <w:rsid w:val="3FFBD0EC"/>
    <w:rsid w:val="3FFF132D"/>
    <w:rsid w:val="43E80076"/>
    <w:rsid w:val="45540DF3"/>
    <w:rsid w:val="4889467C"/>
    <w:rsid w:val="4B7F49FA"/>
    <w:rsid w:val="4BFD5F1B"/>
    <w:rsid w:val="4D1FBA32"/>
    <w:rsid w:val="4EFC48B0"/>
    <w:rsid w:val="4FEEE4FB"/>
    <w:rsid w:val="55AC4F51"/>
    <w:rsid w:val="57ED5ED2"/>
    <w:rsid w:val="583E38EF"/>
    <w:rsid w:val="59DE8784"/>
    <w:rsid w:val="5BFFEC9D"/>
    <w:rsid w:val="5DB6FA84"/>
    <w:rsid w:val="5DBD7787"/>
    <w:rsid w:val="5EDA12D1"/>
    <w:rsid w:val="5EFB6ABE"/>
    <w:rsid w:val="5EFDFD91"/>
    <w:rsid w:val="5F1A654F"/>
    <w:rsid w:val="5F5730AA"/>
    <w:rsid w:val="5F6E30D1"/>
    <w:rsid w:val="5FE603E6"/>
    <w:rsid w:val="5FF9FC2D"/>
    <w:rsid w:val="5FFD9052"/>
    <w:rsid w:val="633FF0C1"/>
    <w:rsid w:val="63DFC29D"/>
    <w:rsid w:val="65B3F8EF"/>
    <w:rsid w:val="65FE55E5"/>
    <w:rsid w:val="66F11118"/>
    <w:rsid w:val="66FF2B91"/>
    <w:rsid w:val="677FBF8B"/>
    <w:rsid w:val="67BF97E0"/>
    <w:rsid w:val="67F448FB"/>
    <w:rsid w:val="67F96AEE"/>
    <w:rsid w:val="6ADD363B"/>
    <w:rsid w:val="6B659EBE"/>
    <w:rsid w:val="6B7F39AB"/>
    <w:rsid w:val="6B9CFB05"/>
    <w:rsid w:val="6BD7202C"/>
    <w:rsid w:val="6BDFAFC0"/>
    <w:rsid w:val="6BF91B25"/>
    <w:rsid w:val="6C1D7BEB"/>
    <w:rsid w:val="6DEFD16F"/>
    <w:rsid w:val="6EB35859"/>
    <w:rsid w:val="6EB79DC6"/>
    <w:rsid w:val="6ED0842E"/>
    <w:rsid w:val="6EFFD02D"/>
    <w:rsid w:val="6FB566E8"/>
    <w:rsid w:val="6FC61D2B"/>
    <w:rsid w:val="6FEEFDEE"/>
    <w:rsid w:val="6FFA2FD4"/>
    <w:rsid w:val="6FFE0AD0"/>
    <w:rsid w:val="71EF17CF"/>
    <w:rsid w:val="737F7965"/>
    <w:rsid w:val="73BDBBC3"/>
    <w:rsid w:val="73F4267E"/>
    <w:rsid w:val="73FF7C75"/>
    <w:rsid w:val="75ED3481"/>
    <w:rsid w:val="76BBFCEC"/>
    <w:rsid w:val="77B31485"/>
    <w:rsid w:val="77BED9C4"/>
    <w:rsid w:val="77BF355B"/>
    <w:rsid w:val="77DA6AFD"/>
    <w:rsid w:val="77DE40A2"/>
    <w:rsid w:val="77DE8CDA"/>
    <w:rsid w:val="77E607B2"/>
    <w:rsid w:val="77F829C8"/>
    <w:rsid w:val="77FC59AC"/>
    <w:rsid w:val="79425135"/>
    <w:rsid w:val="79B6B878"/>
    <w:rsid w:val="79FF2BD7"/>
    <w:rsid w:val="7A9F147E"/>
    <w:rsid w:val="7ABF6E22"/>
    <w:rsid w:val="7BBF783E"/>
    <w:rsid w:val="7BEDA128"/>
    <w:rsid w:val="7BF715A2"/>
    <w:rsid w:val="7BFF23A9"/>
    <w:rsid w:val="7CBBFED4"/>
    <w:rsid w:val="7D7E01B2"/>
    <w:rsid w:val="7D7FCC9C"/>
    <w:rsid w:val="7DBE3B88"/>
    <w:rsid w:val="7DEBE605"/>
    <w:rsid w:val="7DFE3097"/>
    <w:rsid w:val="7E7BCB42"/>
    <w:rsid w:val="7ED71371"/>
    <w:rsid w:val="7EE3774D"/>
    <w:rsid w:val="7EF6ACF6"/>
    <w:rsid w:val="7EFE1775"/>
    <w:rsid w:val="7EFFD51C"/>
    <w:rsid w:val="7F67611E"/>
    <w:rsid w:val="7F8914C8"/>
    <w:rsid w:val="7F9EFCF5"/>
    <w:rsid w:val="7FC73F6D"/>
    <w:rsid w:val="7FD6E93C"/>
    <w:rsid w:val="7FDA7C4C"/>
    <w:rsid w:val="7FDFF665"/>
    <w:rsid w:val="7FEF7A68"/>
    <w:rsid w:val="7FF44C1C"/>
    <w:rsid w:val="7FF77E7D"/>
    <w:rsid w:val="7FFAB3B4"/>
    <w:rsid w:val="7FFB99F8"/>
    <w:rsid w:val="7FFF2436"/>
    <w:rsid w:val="7FFF8B5C"/>
    <w:rsid w:val="7FFF9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93B63"/>
  <w15:docId w15:val="{39F9C1AC-EBF7-174D-BCD9-60EDCCAA2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 Unicode MS" w:eastAsia="Arial Unicode MS" w:hAnsi="宋体" w:cs="宋体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</w:style>
  <w:style w:type="paragraph" w:styleId="a4">
    <w:name w:val="Subtitle"/>
    <w:basedOn w:val="a"/>
    <w:next w:val="a"/>
    <w:link w:val="a5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6">
    <w:name w:val="Normal (Web)"/>
    <w:basedOn w:val="a"/>
    <w:uiPriority w:val="99"/>
    <w:semiHidden/>
    <w:unhideWhenUsed/>
    <w:rPr>
      <w:rFonts w:ascii="Times New Roman" w:hAnsi="Times New Roman" w:cs="Times New Roman"/>
    </w:rPr>
  </w:style>
  <w:style w:type="paragraph" w:styleId="a7">
    <w:name w:val="Title"/>
    <w:basedOn w:val="a"/>
    <w:next w:val="a"/>
    <w:link w:val="a8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9">
    <w:name w:val="Strong"/>
    <w:basedOn w:val="a0"/>
    <w:uiPriority w:val="22"/>
    <w:qFormat/>
    <w:rPr>
      <w:b/>
    </w:rPr>
  </w:style>
  <w:style w:type="character" w:styleId="aa">
    <w:name w:val="line number"/>
    <w:basedOn w:val="a0"/>
    <w:uiPriority w:val="99"/>
    <w:semiHidden/>
    <w:unhideWhenUsed/>
  </w:style>
  <w:style w:type="character" w:styleId="ab">
    <w:name w:val="Hyperlink"/>
    <w:basedOn w:val="a0"/>
    <w:uiPriority w:val="99"/>
    <w:unhideWhenUsed/>
    <w:qFormat/>
    <w:rPr>
      <w:color w:val="467886" w:themeColor="hyperlink"/>
      <w:u w:val="single"/>
    </w:rPr>
  </w:style>
  <w:style w:type="character" w:styleId="ac">
    <w:name w:val="annotation reference"/>
    <w:basedOn w:val="a0"/>
    <w:uiPriority w:val="99"/>
    <w:semiHidden/>
    <w:unhideWhenUsed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8">
    <w:name w:val="标题 字符"/>
    <w:basedOn w:val="a0"/>
    <w:link w:val="a7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副标题 字符"/>
    <w:basedOn w:val="a0"/>
    <w:link w:val="a4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d">
    <w:name w:val="Quote"/>
    <w:basedOn w:val="a"/>
    <w:next w:val="a"/>
    <w:link w:val="ae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e">
    <w:name w:val="引用 字符"/>
    <w:basedOn w:val="a0"/>
    <w:link w:val="ad"/>
    <w:uiPriority w:val="29"/>
    <w:qFormat/>
    <w:rPr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f0">
    <w:name w:val="Intense Quote"/>
    <w:basedOn w:val="a"/>
    <w:next w:val="a"/>
    <w:link w:val="af1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1">
    <w:name w:val="明显引用 字符"/>
    <w:basedOn w:val="a0"/>
    <w:link w:val="af0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customStyle="1" w:styleId="13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pPr>
      <w:jc w:val="center"/>
    </w:pPr>
    <w:rPr>
      <w:rFonts w:ascii="宋体" w:eastAsia="宋体"/>
    </w:rPr>
  </w:style>
  <w:style w:type="character" w:customStyle="1" w:styleId="EndNoteBibliographyTitle0">
    <w:name w:val="EndNote Bibliography Title 字符"/>
    <w:basedOn w:val="a0"/>
    <w:link w:val="EndNoteBibliographyTitle"/>
    <w:rPr>
      <w:rFonts w:ascii="宋体" w:hAnsi="宋体" w:cs="宋体"/>
      <w:sz w:val="24"/>
      <w:szCs w:val="24"/>
    </w:rPr>
  </w:style>
  <w:style w:type="paragraph" w:customStyle="1" w:styleId="EndNoteBibliography">
    <w:name w:val="EndNote Bibliography"/>
    <w:basedOn w:val="a"/>
    <w:link w:val="EndNoteBibliography0"/>
    <w:pPr>
      <w:jc w:val="both"/>
    </w:pPr>
    <w:rPr>
      <w:rFonts w:ascii="宋体" w:eastAsia="宋体"/>
    </w:rPr>
  </w:style>
  <w:style w:type="character" w:customStyle="1" w:styleId="EndNoteBibliography0">
    <w:name w:val="EndNote Bibliography 字符"/>
    <w:basedOn w:val="a0"/>
    <w:link w:val="EndNoteBibliography"/>
    <w:rPr>
      <w:rFonts w:ascii="宋体" w:hAnsi="宋体" w:cs="宋体"/>
      <w:sz w:val="24"/>
      <w:szCs w:val="24"/>
    </w:rPr>
  </w:style>
  <w:style w:type="character" w:customStyle="1" w:styleId="21">
    <w:name w:val="未处理的提及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1">
    <w:name w:val="未处理的提及3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41">
    <w:name w:val="未处理的提及4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51">
    <w:name w:val="未处理的提及5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61">
    <w:name w:val="未处理的提及6"/>
    <w:basedOn w:val="a0"/>
    <w:uiPriority w:val="99"/>
    <w:semiHidden/>
    <w:unhideWhenUsed/>
    <w:rsid w:val="003854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936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7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83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1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9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7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8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1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0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6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4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styles" Target="style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tiff"/><Relationship Id="rId4" Type="http://schemas.openxmlformats.org/officeDocument/2006/relationships/settings" Target="setting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A5CB29-C203-4294-A32C-830897898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5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聪 董</dc:creator>
  <cp:lastModifiedBy>聪 董</cp:lastModifiedBy>
  <cp:revision>106</cp:revision>
  <cp:lastPrinted>2025-10-11T10:35:00Z</cp:lastPrinted>
  <dcterms:created xsi:type="dcterms:W3CDTF">2025-10-11T16:15:00Z</dcterms:created>
  <dcterms:modified xsi:type="dcterms:W3CDTF">2025-10-28T07:47:00Z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eyJoZGlkIjoiZjBkMjMzZTRkYzAxMGM4OWFhODgxZGExYzYzNTI1ZWQiLCJ1c2VySWQiOiIzMDc1ODY2NzgifQ==</vt:lpwstr>
  </property>
  <property fmtid="{D5CDD505-2E9C-101B-9397-08002B2CF9AE}" pid="3" name="KSOProductBuildVer">
    <vt:lpwstr>2052-6.13.2.8918</vt:lpwstr>
  </property>
  <property fmtid="{D5CDD505-2E9C-101B-9397-08002B2CF9AE}" pid="4" name="ICV">
    <vt:lpwstr>D21BB57EF3EDAD73012DEA68C0816C1A_43</vt:lpwstr>
  </property>
</Properties>
</file>