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47626F">
      <w:pPr>
        <w:pStyle w:val="2"/>
        <w:keepNext w:val="0"/>
        <w:keepLines w:val="0"/>
        <w:widowControl/>
        <w:suppressLineNumbers w:val="0"/>
        <w:spacing w:after="0" w:afterAutospacing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Supplementary material</w:t>
      </w:r>
    </w:p>
    <w:p w14:paraId="33DF6278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jc w:val="left"/>
        <w:rPr>
          <w:rFonts w:hint="default" w:ascii="Times New Roman" w:hAnsi="Times New Roman" w:cs="Times New Roman"/>
        </w:rPr>
      </w:pPr>
      <w:r>
        <w:rPr>
          <w:rStyle w:val="7"/>
          <w:rFonts w:hint="default" w:ascii="Times New Roman" w:hAnsi="Times New Roman" w:cs="Times New Roman"/>
        </w:rPr>
        <w:t>Supplementary Table S1.</w:t>
      </w:r>
      <w:r>
        <w:rPr>
          <w:rFonts w:hint="default" w:ascii="Times New Roman" w:hAnsi="Times New Roman" w:cs="Times New Roman"/>
        </w:rPr>
        <w:t xml:space="preserve"> Pattern of missingness across model covariates</w:t>
      </w:r>
    </w:p>
    <w:p w14:paraId="6C3DCE20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jc w:val="left"/>
        <w:rPr>
          <w:rFonts w:hint="default" w:ascii="Times New Roman" w:hAnsi="Times New Roman" w:cs="Times New Roman"/>
        </w:rPr>
      </w:pPr>
      <w:r>
        <w:rPr>
          <w:rStyle w:val="7"/>
          <w:rFonts w:hint="default" w:ascii="Times New Roman" w:hAnsi="Times New Roman" w:cs="Times New Roman"/>
        </w:rPr>
        <w:t>Supplementary Table S2.</w:t>
      </w:r>
      <w:r>
        <w:rPr>
          <w:rFonts w:hint="default" w:ascii="Times New Roman" w:hAnsi="Times New Roman" w:cs="Times New Roman"/>
        </w:rPr>
        <w:t xml:space="preserve"> Baseline characteristics of included participants versus those excluded for missing covariates</w:t>
      </w:r>
    </w:p>
    <w:p w14:paraId="6C970A2E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jc w:val="left"/>
        <w:rPr>
          <w:rFonts w:hint="default" w:ascii="Times New Roman" w:hAnsi="Times New Roman" w:cs="Times New Roman"/>
        </w:rPr>
      </w:pPr>
      <w:r>
        <w:rPr>
          <w:rStyle w:val="7"/>
          <w:rFonts w:hint="default" w:ascii="Times New Roman" w:hAnsi="Times New Roman" w:cs="Times New Roman"/>
        </w:rPr>
        <w:t>Supplementary Table S3.</w:t>
      </w:r>
      <w:r>
        <w:rPr>
          <w:rFonts w:hint="default" w:ascii="Times New Roman" w:hAnsi="Times New Roman" w:cs="Times New Roman"/>
        </w:rPr>
        <w:t xml:space="preserve"> Unit conversion factors used in the calculation of TyG, MLI, and TyG–MLI</w:t>
      </w:r>
    </w:p>
    <w:p w14:paraId="30766D16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jc w:val="left"/>
        <w:rPr>
          <w:rFonts w:hint="default" w:ascii="Times New Roman" w:hAnsi="Times New Roman" w:cs="Times New Roman"/>
        </w:rPr>
      </w:pPr>
      <w:r>
        <w:rPr>
          <w:rStyle w:val="7"/>
          <w:rFonts w:hint="default" w:ascii="Times New Roman" w:hAnsi="Times New Roman" w:cs="Times New Roman"/>
        </w:rPr>
        <w:t>Supplementary Table S4.</w:t>
      </w:r>
      <w:r>
        <w:rPr>
          <w:rFonts w:hint="default" w:ascii="Times New Roman" w:hAnsi="Times New Roman" w:cs="Times New Roman"/>
        </w:rPr>
        <w:t xml:space="preserve"> Definitions of cardiovascular outcomes in the UK Biobank</w:t>
      </w:r>
    </w:p>
    <w:p w14:paraId="78AC6EB1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jc w:val="left"/>
        <w:rPr>
          <w:rFonts w:hint="default" w:ascii="Times New Roman" w:hAnsi="Times New Roman" w:cs="Times New Roman"/>
        </w:rPr>
      </w:pPr>
      <w:r>
        <w:rPr>
          <w:rStyle w:val="7"/>
          <w:rFonts w:hint="default" w:ascii="Times New Roman" w:hAnsi="Times New Roman" w:cs="Times New Roman"/>
        </w:rPr>
        <w:t>Supplementary Table S5.</w:t>
      </w:r>
      <w:r>
        <w:rPr>
          <w:rFonts w:hint="default" w:ascii="Times New Roman" w:hAnsi="Times New Roman" w:cs="Times New Roman"/>
        </w:rPr>
        <w:t xml:space="preserve"> PREVENT equations for 10-year CVD risk in the UK Biobank</w:t>
      </w:r>
    </w:p>
    <w:p w14:paraId="5512FC8C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jc w:val="left"/>
        <w:rPr>
          <w:rFonts w:hint="default" w:ascii="Times New Roman" w:hAnsi="Times New Roman" w:cs="Times New Roman"/>
        </w:rPr>
      </w:pPr>
      <w:r>
        <w:rPr>
          <w:rStyle w:val="7"/>
          <w:rFonts w:hint="default" w:ascii="Times New Roman" w:hAnsi="Times New Roman" w:cs="Times New Roman"/>
        </w:rPr>
        <w:t>Supplementary Table S6.</w:t>
      </w:r>
      <w:r>
        <w:rPr>
          <w:rFonts w:hint="default" w:ascii="Times New Roman" w:hAnsi="Times New Roman" w:cs="Times New Roman"/>
        </w:rPr>
        <w:t xml:space="preserve"> Incidence of cardiovascular outcomes according to quartiles of TyG–MLI</w:t>
      </w:r>
    </w:p>
    <w:p w14:paraId="098104E2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jc w:val="left"/>
        <w:rPr>
          <w:rFonts w:hint="default" w:ascii="Times New Roman" w:hAnsi="Times New Roman" w:cs="Times New Roman"/>
        </w:rPr>
      </w:pPr>
      <w:r>
        <w:rPr>
          <w:rStyle w:val="7"/>
          <w:rFonts w:hint="default" w:ascii="Times New Roman" w:hAnsi="Times New Roman" w:cs="Times New Roman"/>
        </w:rPr>
        <w:t>Supplementary Table S7.</w:t>
      </w:r>
      <w:r>
        <w:rPr>
          <w:rFonts w:hint="default" w:ascii="Times New Roman" w:hAnsi="Times New Roman" w:cs="Times New Roman"/>
        </w:rPr>
        <w:t xml:space="preserve"> Joint associations of TyG and MLI with incident CVD</w:t>
      </w:r>
    </w:p>
    <w:p w14:paraId="0342209A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jc w:val="left"/>
        <w:rPr>
          <w:rFonts w:hint="default" w:ascii="Times New Roman" w:hAnsi="Times New Roman" w:cs="Times New Roman"/>
        </w:rPr>
      </w:pPr>
      <w:r>
        <w:rPr>
          <w:rStyle w:val="7"/>
          <w:rFonts w:hint="default" w:ascii="Times New Roman" w:hAnsi="Times New Roman" w:cs="Times New Roman"/>
        </w:rPr>
        <w:t>Supplementary Table S8.</w:t>
      </w:r>
      <w:r>
        <w:rPr>
          <w:rFonts w:hint="default" w:ascii="Times New Roman" w:hAnsi="Times New Roman" w:cs="Times New Roman"/>
        </w:rPr>
        <w:t xml:space="preserve"> Discriminative ability of the TyG index and TyG–MLI for incident CVD in the overall cohort and across BMI categories</w:t>
      </w:r>
    </w:p>
    <w:p w14:paraId="518390CF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jc w:val="left"/>
        <w:rPr>
          <w:rFonts w:hint="default" w:ascii="Times New Roman" w:hAnsi="Times New Roman" w:cs="Times New Roman"/>
        </w:rPr>
      </w:pPr>
      <w:r>
        <w:rPr>
          <w:rStyle w:val="7"/>
          <w:rFonts w:hint="default" w:ascii="Times New Roman" w:hAnsi="Times New Roman" w:cs="Times New Roman"/>
        </w:rPr>
        <w:t>Supplementary Table S9.</w:t>
      </w:r>
      <w:r>
        <w:rPr>
          <w:rFonts w:hint="default" w:ascii="Times New Roman" w:hAnsi="Times New Roman" w:cs="Times New Roman"/>
        </w:rPr>
        <w:t xml:space="preserve"> Association of TyG–MLI with incident CVD in competing risk analysis</w:t>
      </w:r>
    </w:p>
    <w:p w14:paraId="1712250C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jc w:val="left"/>
        <w:rPr>
          <w:rFonts w:hint="default" w:ascii="Times New Roman" w:hAnsi="Times New Roman" w:cs="Times New Roman"/>
        </w:rPr>
      </w:pPr>
      <w:r>
        <w:rPr>
          <w:rStyle w:val="7"/>
          <w:rFonts w:hint="default" w:ascii="Times New Roman" w:hAnsi="Times New Roman" w:cs="Times New Roman"/>
        </w:rPr>
        <w:t>Supplementary Table S10.</w:t>
      </w:r>
      <w:r>
        <w:rPr>
          <w:rFonts w:hint="default" w:ascii="Times New Roman" w:hAnsi="Times New Roman" w:cs="Times New Roman"/>
        </w:rPr>
        <w:t xml:space="preserve"> Association of TyG–MLI with incident CVD in 2-year landmark analysis</w:t>
      </w:r>
    </w:p>
    <w:p w14:paraId="1692E2C8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jc w:val="left"/>
        <w:rPr>
          <w:rFonts w:hint="default" w:ascii="Times New Roman" w:hAnsi="Times New Roman" w:cs="Times New Roman"/>
        </w:rPr>
      </w:pPr>
      <w:r>
        <w:rPr>
          <w:rStyle w:val="7"/>
          <w:rFonts w:hint="default" w:ascii="Times New Roman" w:hAnsi="Times New Roman" w:cs="Times New Roman"/>
        </w:rPr>
        <w:t>Supplementary Table S11.</w:t>
      </w:r>
      <w:r>
        <w:rPr>
          <w:rFonts w:hint="default" w:ascii="Times New Roman" w:hAnsi="Times New Roman" w:cs="Times New Roman"/>
        </w:rPr>
        <w:t xml:space="preserve"> Association of TyG–MLI with incident CVD: sensitivity analysis with multiple imputation</w:t>
      </w:r>
    </w:p>
    <w:p w14:paraId="05FA932A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jc w:val="left"/>
        <w:rPr>
          <w:rFonts w:hint="default" w:ascii="Times New Roman" w:hAnsi="Times New Roman" w:cs="Times New Roman"/>
        </w:rPr>
      </w:pPr>
      <w:r>
        <w:rPr>
          <w:rStyle w:val="7"/>
          <w:rFonts w:hint="default" w:ascii="Times New Roman" w:hAnsi="Times New Roman" w:cs="Times New Roman"/>
        </w:rPr>
        <w:t>Supplementary Table S12.</w:t>
      </w:r>
      <w:r>
        <w:rPr>
          <w:rFonts w:hint="default" w:ascii="Times New Roman" w:hAnsi="Times New Roman" w:cs="Times New Roman"/>
        </w:rPr>
        <w:t xml:space="preserve"> Association of TyG–MLI with incident CVD (additionally adjusted for eGFR)</w:t>
      </w:r>
    </w:p>
    <w:p w14:paraId="56B6F9D2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jc w:val="left"/>
        <w:rPr>
          <w:rFonts w:hint="default" w:ascii="Times New Roman" w:hAnsi="Times New Roman" w:cs="Times New Roman"/>
        </w:rPr>
      </w:pPr>
      <w:r>
        <w:rPr>
          <w:rStyle w:val="7"/>
          <w:rFonts w:hint="default" w:ascii="Times New Roman" w:hAnsi="Times New Roman" w:cs="Times New Roman"/>
        </w:rPr>
        <w:t>Supplementary Table S13.</w:t>
      </w:r>
      <w:r>
        <w:rPr>
          <w:rFonts w:hint="default" w:ascii="Times New Roman" w:hAnsi="Times New Roman" w:cs="Times New Roman"/>
        </w:rPr>
        <w:t xml:space="preserve"> Association of TyG–MLI with incident CVD (additionally adjusted for statin use)</w:t>
      </w:r>
    </w:p>
    <w:p w14:paraId="55E357DF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jc w:val="left"/>
        <w:rPr>
          <w:rFonts w:hint="default" w:ascii="Times New Roman" w:hAnsi="Times New Roman" w:cs="Times New Roman"/>
        </w:rPr>
      </w:pPr>
      <w:r>
        <w:rPr>
          <w:rStyle w:val="7"/>
          <w:rFonts w:hint="default" w:ascii="Times New Roman" w:hAnsi="Times New Roman" w:cs="Times New Roman"/>
        </w:rPr>
        <w:t>Supplementary Table S14.</w:t>
      </w:r>
      <w:r>
        <w:rPr>
          <w:rFonts w:hint="default" w:ascii="Times New Roman" w:hAnsi="Times New Roman" w:cs="Times New Roman"/>
        </w:rPr>
        <w:t xml:space="preserve"> Associations of Height-Adjusted TyG–MLI With Incident CVD</w:t>
      </w:r>
    </w:p>
    <w:p w14:paraId="26B446F1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jc w:val="left"/>
        <w:rPr>
          <w:rFonts w:hint="default" w:ascii="Times New Roman" w:hAnsi="Times New Roman" w:eastAsia="宋体" w:cs="Times New Roman"/>
          <w:b/>
          <w:bCs/>
          <w:i w:val="0"/>
          <w:iCs w:val="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Supplementary Table S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15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.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kern w:val="0"/>
          <w:sz w:val="24"/>
          <w:szCs w:val="24"/>
          <w:lang w:val="en-US" w:eastAsia="zh-CN" w:bidi="ar"/>
        </w:rPr>
        <w:t>Associations of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kern w:val="0"/>
          <w:sz w:val="24"/>
          <w:szCs w:val="24"/>
          <w:lang w:val="en-US" w:eastAsia="zh-CN" w:bidi="ar"/>
        </w:rPr>
        <w:t xml:space="preserve">TyG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kern w:val="0"/>
          <w:sz w:val="24"/>
          <w:szCs w:val="24"/>
          <w:lang w:val="en-US" w:eastAsia="zh-CN" w:bidi="ar"/>
        </w:rPr>
        <w:t xml:space="preserve">index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kern w:val="0"/>
          <w:sz w:val="24"/>
          <w:szCs w:val="24"/>
          <w:lang w:val="en-US" w:eastAsia="zh-CN" w:bidi="ar"/>
        </w:rPr>
        <w:t>and TyG–MLI with CVD stratified by BMI</w:t>
      </w:r>
    </w:p>
    <w:p w14:paraId="4BB46B87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jc w:val="left"/>
        <w:rPr>
          <w:rFonts w:hint="default" w:ascii="Times New Roman" w:hAnsi="Times New Roman" w:cs="Times New Roman"/>
        </w:rPr>
      </w:pPr>
      <w:r>
        <w:rPr>
          <w:rStyle w:val="7"/>
          <w:rFonts w:hint="default" w:ascii="Times New Roman" w:hAnsi="Times New Roman" w:cs="Times New Roman"/>
        </w:rPr>
        <w:t>Supplementary Table S1</w:t>
      </w:r>
      <w:r>
        <w:rPr>
          <w:rStyle w:val="7"/>
          <w:rFonts w:hint="eastAsia" w:ascii="Times New Roman" w:hAnsi="Times New Roman" w:cs="Times New Roman"/>
          <w:lang w:val="en-US" w:eastAsia="zh-CN"/>
        </w:rPr>
        <w:t>6</w:t>
      </w:r>
      <w:r>
        <w:rPr>
          <w:rStyle w:val="7"/>
          <w:rFonts w:hint="default" w:ascii="Times New Roman" w:hAnsi="Times New Roman" w:cs="Times New Roman"/>
        </w:rPr>
        <w:t>.</w:t>
      </w:r>
      <w:r>
        <w:rPr>
          <w:rFonts w:hint="default" w:ascii="Times New Roman" w:hAnsi="Times New Roman" w:cs="Times New Roman"/>
        </w:rPr>
        <w:t xml:space="preserve"> Region-stratified associations of TyG–MLI with incident CVD</w:t>
      </w:r>
    </w:p>
    <w:p w14:paraId="0DC324DA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jc w:val="left"/>
        <w:rPr>
          <w:rFonts w:hint="default" w:ascii="Times New Roman" w:hAnsi="Times New Roman" w:cs="Times New Roman"/>
        </w:rPr>
      </w:pPr>
      <w:r>
        <w:rPr>
          <w:rStyle w:val="7"/>
          <w:rFonts w:hint="default" w:ascii="Times New Roman" w:hAnsi="Times New Roman" w:cs="Times New Roman"/>
        </w:rPr>
        <w:t>Supplementary Figure S1.</w:t>
      </w:r>
      <w:r>
        <w:rPr>
          <w:rFonts w:hint="default" w:ascii="Times New Roman" w:hAnsi="Times New Roman" w:cs="Times New Roman"/>
        </w:rPr>
        <w:t xml:space="preserve"> Scaled Schoenfeld residuals for TyG–MLI</w:t>
      </w:r>
    </w:p>
    <w:p w14:paraId="32773ED0">
      <w:pPr>
        <w:keepNext w:val="0"/>
        <w:keepLines w:val="0"/>
        <w:widowControl/>
        <w:numPr>
          <w:ilvl w:val="0"/>
          <w:numId w:val="0"/>
        </w:numPr>
        <w:suppressLineNumbers w:val="0"/>
        <w:spacing w:beforeAutospacing="0" w:after="0" w:afterAutospacing="1"/>
      </w:pPr>
    </w:p>
    <w:p w14:paraId="3033565D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Supplementary Table S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1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. Pattern of missingness across model covariates</w:t>
      </w:r>
    </w:p>
    <w:p w14:paraId="5EF02B5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</w:pPr>
    </w:p>
    <w:tbl>
      <w:tblPr>
        <w:tblStyle w:val="4"/>
        <w:tblW w:w="4998" w:type="pct"/>
        <w:tblInd w:w="0" w:type="dxa"/>
        <w:tblBorders>
          <w:top w:val="single" w:color="000000" w:themeColor="text1" w:sz="8" w:space="0"/>
          <w:left w:val="none" w:color="auto" w:sz="0" w:space="0"/>
          <w:bottom w:val="single" w:color="000000" w:themeColor="text1" w:sz="8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30"/>
        <w:gridCol w:w="2604"/>
        <w:gridCol w:w="2604"/>
      </w:tblGrid>
      <w:tr w14:paraId="47A811B1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180" w:type="pct"/>
            <w:tcBorders>
              <w:bottom w:val="single" w:color="000000" w:themeColor="text1" w:sz="8" w:space="0"/>
            </w:tcBorders>
            <w:shd w:val="clear" w:color="auto" w:fill="auto"/>
            <w:vAlign w:val="center"/>
          </w:tcPr>
          <w:p w14:paraId="4DE2C9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Covariate</w:t>
            </w:r>
          </w:p>
        </w:tc>
        <w:tc>
          <w:tcPr>
            <w:tcW w:w="1409" w:type="pct"/>
            <w:tcBorders>
              <w:bottom w:val="single" w:color="000000" w:themeColor="text1" w:sz="8" w:space="0"/>
            </w:tcBorders>
            <w:shd w:val="clear" w:color="auto" w:fill="auto"/>
            <w:vAlign w:val="center"/>
          </w:tcPr>
          <w:p w14:paraId="5E0EF9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Missing (n)</w:t>
            </w:r>
          </w:p>
        </w:tc>
        <w:tc>
          <w:tcPr>
            <w:tcW w:w="1409" w:type="pct"/>
            <w:tcBorders>
              <w:bottom w:val="single" w:color="000000" w:themeColor="text1" w:sz="8" w:space="0"/>
            </w:tcBorders>
            <w:shd w:val="clear" w:color="auto" w:fill="auto"/>
            <w:vAlign w:val="center"/>
          </w:tcPr>
          <w:p w14:paraId="708022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Missing (%)</w:t>
            </w:r>
          </w:p>
        </w:tc>
      </w:tr>
      <w:tr w14:paraId="28DC7F7D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180" w:type="pct"/>
            <w:tcBorders>
              <w:top w:val="single" w:color="000000" w:themeColor="text1" w:sz="8" w:space="0"/>
              <w:tl2br w:val="nil"/>
              <w:tr2bl w:val="nil"/>
            </w:tcBorders>
            <w:shd w:val="clear" w:color="auto" w:fill="auto"/>
            <w:vAlign w:val="center"/>
          </w:tcPr>
          <w:p w14:paraId="77DCF6B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Age</w:t>
            </w:r>
          </w:p>
        </w:tc>
        <w:tc>
          <w:tcPr>
            <w:tcW w:w="1409" w:type="pct"/>
            <w:tcBorders>
              <w:top w:val="single" w:color="000000" w:themeColor="text1" w:sz="8" w:space="0"/>
              <w:tl2br w:val="nil"/>
              <w:tr2bl w:val="nil"/>
            </w:tcBorders>
            <w:shd w:val="clear" w:color="auto" w:fill="auto"/>
            <w:vAlign w:val="center"/>
          </w:tcPr>
          <w:p w14:paraId="512066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162</w:t>
            </w:r>
          </w:p>
        </w:tc>
        <w:tc>
          <w:tcPr>
            <w:tcW w:w="1409" w:type="pct"/>
            <w:tcBorders>
              <w:top w:val="single" w:color="000000" w:themeColor="text1" w:sz="8" w:space="0"/>
              <w:tl2br w:val="nil"/>
              <w:tr2bl w:val="nil"/>
            </w:tcBorders>
            <w:shd w:val="clear" w:color="auto" w:fill="auto"/>
            <w:vAlign w:val="center"/>
          </w:tcPr>
          <w:p w14:paraId="173787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0.03%</w:t>
            </w:r>
          </w:p>
        </w:tc>
      </w:tr>
      <w:tr w14:paraId="6BB60BE9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1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C4BD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Sex</w:t>
            </w:r>
          </w:p>
        </w:tc>
        <w:tc>
          <w:tcPr>
            <w:tcW w:w="14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4012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162</w:t>
            </w:r>
          </w:p>
        </w:tc>
        <w:tc>
          <w:tcPr>
            <w:tcW w:w="14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74F3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0.03%</w:t>
            </w:r>
          </w:p>
        </w:tc>
      </w:tr>
      <w:tr w14:paraId="0EE8471C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1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2C37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Ethnicity</w:t>
            </w:r>
          </w:p>
        </w:tc>
        <w:tc>
          <w:tcPr>
            <w:tcW w:w="14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334F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2,775</w:t>
            </w:r>
          </w:p>
        </w:tc>
        <w:tc>
          <w:tcPr>
            <w:tcW w:w="14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E152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0.55%</w:t>
            </w:r>
          </w:p>
        </w:tc>
      </w:tr>
      <w:tr w14:paraId="31032357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1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2215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Education</w:t>
            </w:r>
          </w:p>
        </w:tc>
        <w:tc>
          <w:tcPr>
            <w:tcW w:w="14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4AE7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10,122</w:t>
            </w:r>
          </w:p>
        </w:tc>
        <w:tc>
          <w:tcPr>
            <w:tcW w:w="14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32A6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2.02%</w:t>
            </w:r>
          </w:p>
        </w:tc>
      </w:tr>
      <w:tr w14:paraId="3417F578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1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8423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Townsend deprivation index</w:t>
            </w:r>
          </w:p>
        </w:tc>
        <w:tc>
          <w:tcPr>
            <w:tcW w:w="14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1092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624</w:t>
            </w:r>
          </w:p>
        </w:tc>
        <w:tc>
          <w:tcPr>
            <w:tcW w:w="14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1644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0.12%</w:t>
            </w:r>
          </w:p>
        </w:tc>
      </w:tr>
      <w:tr w14:paraId="6D69EA1B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1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F079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Smoking status</w:t>
            </w:r>
          </w:p>
        </w:tc>
        <w:tc>
          <w:tcPr>
            <w:tcW w:w="14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1EF4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2,948</w:t>
            </w:r>
          </w:p>
        </w:tc>
        <w:tc>
          <w:tcPr>
            <w:tcW w:w="14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28A9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0.59%</w:t>
            </w:r>
          </w:p>
        </w:tc>
      </w:tr>
      <w:tr w14:paraId="046D62AB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1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E18E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Alcohol intake</w:t>
            </w:r>
          </w:p>
        </w:tc>
        <w:tc>
          <w:tcPr>
            <w:tcW w:w="14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13AD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1,500</w:t>
            </w:r>
          </w:p>
        </w:tc>
        <w:tc>
          <w:tcPr>
            <w:tcW w:w="14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5FD3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0.30%</w:t>
            </w:r>
          </w:p>
        </w:tc>
      </w:tr>
      <w:tr w14:paraId="77FBAC27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1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CF9C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Dietary score</w:t>
            </w:r>
          </w:p>
        </w:tc>
        <w:tc>
          <w:tcPr>
            <w:tcW w:w="14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2270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35,306</w:t>
            </w:r>
          </w:p>
        </w:tc>
        <w:tc>
          <w:tcPr>
            <w:tcW w:w="14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7C4C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7.03%</w:t>
            </w:r>
          </w:p>
        </w:tc>
      </w:tr>
      <w:tr w14:paraId="570CAF5A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1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4A0F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14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59C1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4,211</w:t>
            </w:r>
          </w:p>
        </w:tc>
        <w:tc>
          <w:tcPr>
            <w:tcW w:w="14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23E9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0.84%</w:t>
            </w:r>
          </w:p>
        </w:tc>
      </w:tr>
      <w:tr w14:paraId="17ADAEF1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1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1A3D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Physical activity</w:t>
            </w:r>
          </w:p>
        </w:tc>
        <w:tc>
          <w:tcPr>
            <w:tcW w:w="14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8D95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117,265</w:t>
            </w:r>
          </w:p>
        </w:tc>
        <w:tc>
          <w:tcPr>
            <w:tcW w:w="14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277D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23.40%</w:t>
            </w:r>
          </w:p>
        </w:tc>
      </w:tr>
      <w:tr w14:paraId="11A125E6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1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1DEF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14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123A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34,025</w:t>
            </w:r>
          </w:p>
        </w:tc>
        <w:tc>
          <w:tcPr>
            <w:tcW w:w="14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0499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6.78%</w:t>
            </w:r>
          </w:p>
        </w:tc>
      </w:tr>
      <w:tr w14:paraId="763F00F7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1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F735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Diabetes</w:t>
            </w:r>
          </w:p>
        </w:tc>
        <w:tc>
          <w:tcPr>
            <w:tcW w:w="14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D643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9,140</w:t>
            </w:r>
          </w:p>
        </w:tc>
        <w:tc>
          <w:tcPr>
            <w:tcW w:w="14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609E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1.82%</w:t>
            </w:r>
          </w:p>
        </w:tc>
      </w:tr>
      <w:tr w14:paraId="194D1F0C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1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4F6E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ow-density lipoprotein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cholesterol</w:t>
            </w:r>
          </w:p>
        </w:tc>
        <w:tc>
          <w:tcPr>
            <w:tcW w:w="14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ED0A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33,767</w:t>
            </w:r>
          </w:p>
        </w:tc>
        <w:tc>
          <w:tcPr>
            <w:tcW w:w="14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CDAF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6.72%</w:t>
            </w:r>
          </w:p>
        </w:tc>
      </w:tr>
    </w:tbl>
    <w:p w14:paraId="3AD75421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both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4F6AAF9C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both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Supplementary Table S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2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. Baseline characteristics of included participants versus those excluded for missing covariates</w:t>
      </w:r>
    </w:p>
    <w:p w14:paraId="33D25B4B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both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</w:pPr>
    </w:p>
    <w:tbl>
      <w:tblPr>
        <w:tblStyle w:val="4"/>
        <w:tblW w:w="4994" w:type="pct"/>
        <w:tblInd w:w="0" w:type="dxa"/>
        <w:tblBorders>
          <w:top w:val="single" w:color="000000" w:themeColor="text1" w:sz="8" w:space="0"/>
          <w:left w:val="none" w:color="auto" w:sz="0" w:space="0"/>
          <w:bottom w:val="single" w:color="000000" w:themeColor="text1" w:sz="8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39"/>
        <w:gridCol w:w="1989"/>
        <w:gridCol w:w="1989"/>
        <w:gridCol w:w="914"/>
      </w:tblGrid>
      <w:tr w14:paraId="0FE77945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349" w:type="pct"/>
            <w:tcBorders>
              <w:bottom w:val="single" w:color="000000" w:themeColor="text1" w:sz="8" w:space="0"/>
            </w:tcBorders>
            <w:shd w:val="clear" w:color="auto" w:fill="auto"/>
            <w:vAlign w:val="top"/>
          </w:tcPr>
          <w:p w14:paraId="16191CF5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Variable</w:t>
            </w:r>
          </w:p>
        </w:tc>
        <w:tc>
          <w:tcPr>
            <w:tcW w:w="1077" w:type="pct"/>
            <w:tcBorders>
              <w:bottom w:val="single" w:color="000000" w:themeColor="text1" w:sz="8" w:space="0"/>
            </w:tcBorders>
            <w:shd w:val="clear" w:color="auto" w:fill="auto"/>
            <w:vAlign w:val="top"/>
          </w:tcPr>
          <w:p w14:paraId="7507F1DC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Excluded (n=125,278)</w:t>
            </w:r>
          </w:p>
        </w:tc>
        <w:tc>
          <w:tcPr>
            <w:tcW w:w="1077" w:type="pct"/>
            <w:tcBorders>
              <w:bottom w:val="single" w:color="000000" w:themeColor="text1" w:sz="8" w:space="0"/>
            </w:tcBorders>
            <w:shd w:val="clear" w:color="auto" w:fill="auto"/>
            <w:vAlign w:val="top"/>
          </w:tcPr>
          <w:p w14:paraId="4C86A203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Included (n=277,418)</w:t>
            </w:r>
          </w:p>
        </w:tc>
        <w:tc>
          <w:tcPr>
            <w:tcW w:w="495" w:type="pct"/>
            <w:tcBorders>
              <w:bottom w:val="single" w:color="000000" w:themeColor="text1" w:sz="8" w:space="0"/>
            </w:tcBorders>
            <w:shd w:val="clear" w:color="auto" w:fill="auto"/>
            <w:vAlign w:val="top"/>
          </w:tcPr>
          <w:p w14:paraId="0A4A1158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Style w:val="9"/>
                <w:rFonts w:hint="default" w:ascii="Times New Roman" w:hAnsi="Times New Roman" w:cs="Times New Roman"/>
                <w:sz w:val="16"/>
                <w:szCs w:val="16"/>
                <w:lang w:val="en-US" w:eastAsia="zh-CN" w:bidi="ar"/>
              </w:rPr>
              <w:t xml:space="preserve"> value</w:t>
            </w:r>
          </w:p>
        </w:tc>
      </w:tr>
      <w:tr w14:paraId="216FCEF1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349" w:type="pct"/>
            <w:tcBorders>
              <w:top w:val="single" w:color="000000" w:themeColor="text1" w:sz="8" w:space="0"/>
              <w:tl2br w:val="nil"/>
              <w:tr2bl w:val="nil"/>
            </w:tcBorders>
            <w:shd w:val="clear" w:color="auto" w:fill="auto"/>
            <w:vAlign w:val="top"/>
          </w:tcPr>
          <w:p w14:paraId="722738D0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Age, years</w:t>
            </w:r>
          </w:p>
        </w:tc>
        <w:tc>
          <w:tcPr>
            <w:tcW w:w="1077" w:type="pct"/>
            <w:tcBorders>
              <w:top w:val="single" w:color="000000" w:themeColor="text1" w:sz="8" w:space="0"/>
              <w:tl2br w:val="nil"/>
              <w:tr2bl w:val="nil"/>
            </w:tcBorders>
            <w:shd w:val="clear" w:color="auto" w:fill="auto"/>
            <w:vAlign w:val="top"/>
          </w:tcPr>
          <w:p w14:paraId="200A03C2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56.79 (8.08)</w:t>
            </w:r>
          </w:p>
        </w:tc>
        <w:tc>
          <w:tcPr>
            <w:tcW w:w="1077" w:type="pct"/>
            <w:tcBorders>
              <w:top w:val="single" w:color="000000" w:themeColor="text1" w:sz="8" w:space="0"/>
              <w:tl2br w:val="nil"/>
              <w:tr2bl w:val="nil"/>
            </w:tcBorders>
            <w:shd w:val="clear" w:color="auto" w:fill="auto"/>
            <w:vAlign w:val="top"/>
          </w:tcPr>
          <w:p w14:paraId="6BB9FB3D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56.01 (8.08)</w:t>
            </w:r>
          </w:p>
        </w:tc>
        <w:tc>
          <w:tcPr>
            <w:tcW w:w="495" w:type="pct"/>
            <w:tcBorders>
              <w:top w:val="single" w:color="000000" w:themeColor="text1" w:sz="8" w:space="0"/>
              <w:tl2br w:val="nil"/>
              <w:tr2bl w:val="nil"/>
            </w:tcBorders>
            <w:shd w:val="clear" w:color="auto" w:fill="auto"/>
            <w:vAlign w:val="top"/>
          </w:tcPr>
          <w:p w14:paraId="0ABFB630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3BC45BE3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349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3B3DAC69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Sex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26FE34BB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66842866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19D709CF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16488C01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349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579DA9D1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Female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03B85A68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19AAEC2F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36B343F8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75DA7F6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349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4810BA7A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Male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6CD4C2C2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2C7E90AB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3C5468F8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4F308F5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349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11CCA0A5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Ethnicity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0916B069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5FF1A0BC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609D0103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6C1F96DA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349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5765B3EB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White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18DD9D98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7186FD79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93.3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1A2EE73D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A0519FE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349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5D318F0B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Non-White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19358A2E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6772D4FB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293DE82D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8D21D43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349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79FB2684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Education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28F6F4DB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0DCA10B5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45D0E18C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5C0BA124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349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3ABD0F8D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High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154016A3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6668E215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45D77564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DD66985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349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37672317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Intermediate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6A29C764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7473416F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0F8AE362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8186DA1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349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71EC4CA7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Low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3AF71228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28BF04E5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1F61ED24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E892BA9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349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21EEB356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Townsend deprivation index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236A44CD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−1.86 [−3.51, 1.13]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6B50E54F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−2.30 [−3.72, 0.14]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5864B136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6CD9CC14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349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00297EDA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Smoking status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5537CCBC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584DA464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4C02F01F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1746451B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349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6CC69C9D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Never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77D51A68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1BB83329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49A1921A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314D8B0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349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5820AA13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Previous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7CACA68E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4EAECF74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488408DC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AA02CDD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349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7F690700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Current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640E1A8B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78580FE5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08E3DFDC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5166D5B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349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1FBF8785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Alcohol intake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24185588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2F184475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26B2A062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31B411C6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349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10D1857D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&lt;3 times/week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09EB77EB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6CA84631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0E787B7C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4E842AD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349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5838B356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≥3 times/week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107C24D8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59D6DFF7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5A36076C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14BA5D0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349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0489C16B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Never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27307C28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17601B12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2AE74813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4C78E9E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349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570E6043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Diet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risk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score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2BB1D06C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5.51 (1.52)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0423E85C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5.44 (1.52)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1D1B6D2C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10AED1A8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349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0BD79B49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160A548F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2D00A964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0A10E6B5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533BF00E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349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1FCBC47F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&lt;6 h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33FFC37B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0A3EBA20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789F615A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6F264DE4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349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4F9D7AC0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&gt;9 h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1E29557A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3E3AFC79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6BBFDEE9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0F5A9918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349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48CCF900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6–9 h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3422A787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52FFF22B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3EE999C2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9BEFDA5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349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0CB2D567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Meets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hysical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ctivity recommendations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230D60AB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55%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79227DFB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55%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15E4C245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0.888</w:t>
            </w:r>
          </w:p>
        </w:tc>
      </w:tr>
      <w:tr w14:paraId="71DA17D6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349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3E0D4131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ody mass index, kg/m²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696305D9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26.90 [24.20, 30.19]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76B36901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26.54 [24.02, 29.59]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5B44E5B9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2A2F2FBA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349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1B7854F2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aist circumference, cm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3DD20536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89.99 (13.49)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3F10B400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89.86 (13.23)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3F89AB2D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0.003</w:t>
            </w:r>
          </w:p>
        </w:tc>
      </w:tr>
      <w:tr w14:paraId="53AD058B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349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05E0837D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riglycerides, mmol/L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7B56B593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1.49 [1.05, 2.15]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6E140843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1.47 [1.03, 2.13]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29A75A2C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233237B9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2349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4327C098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asting plasma glucose, mmol/L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70785679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4.93 [4.60, 5.32]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723BC0AA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4.92 [4.60, 5.29]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487A05FD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7C4E29F4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349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65D02B01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ow-density lipoprotein cholesterol, mmol/L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1DC7B764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3.62 (0.87)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58C84C18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3.59 (0.85)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4E7C1961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710686B5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349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49621BDE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Creatinine, µmol/L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337E1404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68.7 [60.2, 79.1]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0E3441EE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70.6 [61.6, 80.9]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40AF4E8F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25473696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349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5D253C32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Cystatin C, mg/L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2077163E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0.89 [0.81, 0.99]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56C16B08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0.88 [0.80, 0.97]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192C467D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3A275400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349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49E7A1E7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riglyceride–glucose index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572BDA2D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8.72 (0.56)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6B52C18A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8.70 (0.56)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1C563EFB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5541CD61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349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5D8176E3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uscle-loss index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421CAB82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1.17 (0.22)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6A92C4A6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1.12 (0.20)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4227AA15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643874FA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349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7210A0C6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riglyceride–glucose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muscle-loss index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76A84C3F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9.93 [8.71, 11.38]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70A9C308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9.53 [8.41, 10.87]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12CDC154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201F1550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349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2DFF53F0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40325173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4F6FD0FD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59F0EE17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6E326382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349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1A25FA10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Diabetes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6BAF9DEF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0E8E341F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35C7311D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</w:tbl>
    <w:p w14:paraId="2EB25572">
      <w:pPr>
        <w:rPr>
          <w:rFonts w:hint="default"/>
        </w:rPr>
      </w:pPr>
    </w:p>
    <w:p w14:paraId="5574F759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S3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.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Unit conversion factors used in the calculation of TyG, MLI, and TyG–MLI</w:t>
      </w:r>
    </w:p>
    <w:p w14:paraId="7A6BD8D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center"/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</w:pPr>
    </w:p>
    <w:tbl>
      <w:tblPr>
        <w:tblStyle w:val="4"/>
        <w:tblpPr w:leftFromText="180" w:rightFromText="180" w:vertAnchor="page" w:horzAnchor="page" w:tblpX="1440" w:tblpY="7435"/>
        <w:tblOverlap w:val="never"/>
        <w:tblW w:w="4996" w:type="pct"/>
        <w:tblInd w:w="0" w:type="dxa"/>
        <w:tblBorders>
          <w:top w:val="single" w:color="000000" w:themeColor="text1" w:sz="8" w:space="0"/>
          <w:left w:val="none" w:color="auto" w:sz="0" w:space="0"/>
          <w:bottom w:val="single" w:color="000000" w:themeColor="text1" w:sz="8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4"/>
        <w:gridCol w:w="907"/>
        <w:gridCol w:w="1975"/>
        <w:gridCol w:w="1826"/>
        <w:gridCol w:w="2103"/>
      </w:tblGrid>
      <w:tr w14:paraId="54F88E4C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312" w:type="pct"/>
            <w:tcBorders>
              <w:bottom w:val="single" w:color="000000" w:themeColor="text1" w:sz="8" w:space="0"/>
            </w:tcBorders>
            <w:shd w:val="clear" w:color="auto" w:fill="auto"/>
            <w:vAlign w:val="center"/>
          </w:tcPr>
          <w:p w14:paraId="32B0BC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Measurement</w:t>
            </w:r>
          </w:p>
        </w:tc>
        <w:tc>
          <w:tcPr>
            <w:tcW w:w="491" w:type="pct"/>
            <w:tcBorders>
              <w:bottom w:val="single" w:color="000000" w:themeColor="text1" w:sz="8" w:space="0"/>
            </w:tcBorders>
            <w:shd w:val="clear" w:color="auto" w:fill="auto"/>
            <w:vAlign w:val="center"/>
          </w:tcPr>
          <w:p w14:paraId="40B9CC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SI Unit</w:t>
            </w:r>
          </w:p>
        </w:tc>
        <w:tc>
          <w:tcPr>
            <w:tcW w:w="1069" w:type="pct"/>
            <w:tcBorders>
              <w:bottom w:val="single" w:color="000000" w:themeColor="text1" w:sz="8" w:space="0"/>
            </w:tcBorders>
            <w:shd w:val="clear" w:color="auto" w:fill="auto"/>
            <w:vAlign w:val="center"/>
          </w:tcPr>
          <w:p w14:paraId="552E9E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Unit Used in Formula</w:t>
            </w:r>
          </w:p>
        </w:tc>
        <w:tc>
          <w:tcPr>
            <w:tcW w:w="988" w:type="pct"/>
            <w:tcBorders>
              <w:bottom w:val="single" w:color="000000" w:themeColor="text1" w:sz="8" w:space="0"/>
            </w:tcBorders>
            <w:shd w:val="clear" w:color="auto" w:fill="auto"/>
            <w:vAlign w:val="center"/>
          </w:tcPr>
          <w:p w14:paraId="0029BE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Conversion Factor</w:t>
            </w:r>
          </w:p>
        </w:tc>
        <w:tc>
          <w:tcPr>
            <w:tcW w:w="1138" w:type="pct"/>
            <w:tcBorders>
              <w:bottom w:val="single" w:color="000000" w:themeColor="text1" w:sz="8" w:space="0"/>
            </w:tcBorders>
            <w:shd w:val="clear" w:color="auto" w:fill="auto"/>
            <w:vAlign w:val="center"/>
          </w:tcPr>
          <w:p w14:paraId="0C270E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Notes</w:t>
            </w:r>
          </w:p>
        </w:tc>
      </w:tr>
      <w:tr w14:paraId="331D0DD9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312" w:type="pct"/>
            <w:tcBorders>
              <w:top w:val="single" w:color="000000" w:themeColor="text1" w:sz="8" w:space="0"/>
              <w:tl2br w:val="nil"/>
              <w:tr2bl w:val="nil"/>
            </w:tcBorders>
            <w:shd w:val="clear" w:color="auto" w:fill="auto"/>
            <w:vAlign w:val="center"/>
          </w:tcPr>
          <w:p w14:paraId="224CEB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Triglycerides (TG)</w:t>
            </w:r>
          </w:p>
        </w:tc>
        <w:tc>
          <w:tcPr>
            <w:tcW w:w="491" w:type="pct"/>
            <w:tcBorders>
              <w:top w:val="single" w:color="000000" w:themeColor="text1" w:sz="8" w:space="0"/>
              <w:tl2br w:val="nil"/>
              <w:tr2bl w:val="nil"/>
            </w:tcBorders>
            <w:shd w:val="clear" w:color="auto" w:fill="auto"/>
            <w:vAlign w:val="center"/>
          </w:tcPr>
          <w:p w14:paraId="7EBD63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mmol/L</w:t>
            </w:r>
          </w:p>
        </w:tc>
        <w:tc>
          <w:tcPr>
            <w:tcW w:w="1069" w:type="pct"/>
            <w:tcBorders>
              <w:top w:val="single" w:color="000000" w:themeColor="text1" w:sz="8" w:space="0"/>
              <w:tl2br w:val="nil"/>
              <w:tr2bl w:val="nil"/>
            </w:tcBorders>
            <w:shd w:val="clear" w:color="auto" w:fill="auto"/>
            <w:vAlign w:val="center"/>
          </w:tcPr>
          <w:p w14:paraId="0F0B96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mg/dL</w:t>
            </w:r>
          </w:p>
        </w:tc>
        <w:tc>
          <w:tcPr>
            <w:tcW w:w="988" w:type="pct"/>
            <w:tcBorders>
              <w:top w:val="single" w:color="000000" w:themeColor="text1" w:sz="8" w:space="0"/>
              <w:tl2br w:val="nil"/>
              <w:tr2bl w:val="nil"/>
            </w:tcBorders>
            <w:shd w:val="clear" w:color="auto" w:fill="auto"/>
            <w:vAlign w:val="center"/>
          </w:tcPr>
          <w:p w14:paraId="09C0AB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× 88.57</w:t>
            </w:r>
          </w:p>
        </w:tc>
        <w:tc>
          <w:tcPr>
            <w:tcW w:w="1138" w:type="pct"/>
            <w:tcBorders>
              <w:top w:val="single" w:color="000000" w:themeColor="text1" w:sz="8" w:space="0"/>
              <w:tl2br w:val="nil"/>
              <w:tr2bl w:val="nil"/>
            </w:tcBorders>
            <w:shd w:val="clear" w:color="auto" w:fill="auto"/>
            <w:vAlign w:val="center"/>
          </w:tcPr>
          <w:p w14:paraId="1FCB96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Used in TyG calculation</w:t>
            </w:r>
          </w:p>
        </w:tc>
      </w:tr>
      <w:tr w14:paraId="477060AC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3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7509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Fasting plasma glucose (FPG)</w:t>
            </w:r>
          </w:p>
        </w:tc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0584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mmol/L</w:t>
            </w:r>
          </w:p>
        </w:tc>
        <w:tc>
          <w:tcPr>
            <w:tcW w:w="106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3318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mg/dL</w:t>
            </w:r>
          </w:p>
        </w:tc>
        <w:tc>
          <w:tcPr>
            <w:tcW w:w="9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BD5D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× 18.02</w:t>
            </w:r>
          </w:p>
        </w:tc>
        <w:tc>
          <w:tcPr>
            <w:tcW w:w="113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4535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Used in TyG calculation</w:t>
            </w:r>
          </w:p>
        </w:tc>
      </w:tr>
      <w:tr w14:paraId="6E63D046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3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D843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Creatinine (Cr)</w:t>
            </w:r>
          </w:p>
        </w:tc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A387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µmol/L</w:t>
            </w:r>
          </w:p>
        </w:tc>
        <w:tc>
          <w:tcPr>
            <w:tcW w:w="106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114B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mg/dL</w:t>
            </w:r>
          </w:p>
        </w:tc>
        <w:tc>
          <w:tcPr>
            <w:tcW w:w="9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64F1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÷ 88.4</w:t>
            </w:r>
          </w:p>
        </w:tc>
        <w:tc>
          <w:tcPr>
            <w:tcW w:w="113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0361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Used in MLI calculation</w:t>
            </w:r>
          </w:p>
        </w:tc>
      </w:tr>
      <w:tr w14:paraId="676DA09C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3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51B4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Cystatin C (CysC)</w:t>
            </w:r>
          </w:p>
        </w:tc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0FDB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mg/L</w:t>
            </w:r>
          </w:p>
        </w:tc>
        <w:tc>
          <w:tcPr>
            <w:tcW w:w="106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23D3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mg/L</w:t>
            </w:r>
          </w:p>
        </w:tc>
        <w:tc>
          <w:tcPr>
            <w:tcW w:w="9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0615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–</w:t>
            </w:r>
          </w:p>
        </w:tc>
        <w:tc>
          <w:tcPr>
            <w:tcW w:w="113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D302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Same unit as formula</w:t>
            </w:r>
          </w:p>
        </w:tc>
      </w:tr>
    </w:tbl>
    <w:p w14:paraId="11B05CC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center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  <w:t>Abbreviations:</w:t>
      </w: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  <w:t>MLI, muscle-loss index;</w:t>
      </w: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  <w:t>TyG, triglyceride–glucose index;</w:t>
      </w: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  <w:t>TyG–MLI, triglyceride–glucose</w:t>
      </w: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  <w:t>muscle-loss index</w:t>
      </w: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  <w:t>.</w:t>
      </w:r>
    </w:p>
    <w:p w14:paraId="1538A6A0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</w:pPr>
    </w:p>
    <w:p w14:paraId="79BBD92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S4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 xml:space="preserve">. Definitions of 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c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ardiovascular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 xml:space="preserve"> o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utcomes in the UK Biobank</w:t>
      </w:r>
    </w:p>
    <w:p w14:paraId="03B554A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tbl>
      <w:tblPr>
        <w:tblStyle w:val="4"/>
        <w:tblW w:w="4999" w:type="pct"/>
        <w:jc w:val="center"/>
        <w:tblBorders>
          <w:top w:val="single" w:color="000000" w:themeColor="text1" w:sz="8" w:space="0"/>
          <w:left w:val="none" w:color="auto" w:sz="0" w:space="0"/>
          <w:bottom w:val="single" w:color="000000" w:themeColor="text1" w:sz="8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5"/>
        <w:gridCol w:w="4425"/>
      </w:tblGrid>
      <w:tr w14:paraId="282FEE2A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605" w:type="pct"/>
            <w:tcBorders>
              <w:bottom w:val="single" w:color="000000" w:themeColor="text1" w:sz="8" w:space="0"/>
            </w:tcBorders>
            <w:shd w:val="clear" w:color="auto" w:fill="auto"/>
            <w:vAlign w:val="center"/>
          </w:tcPr>
          <w:p w14:paraId="05404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ardiovascular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disease 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ubtype</w:t>
            </w:r>
          </w:p>
        </w:tc>
        <w:tc>
          <w:tcPr>
            <w:tcW w:w="2394" w:type="pct"/>
            <w:tcBorders>
              <w:bottom w:val="single" w:color="000000" w:themeColor="text1" w:sz="8" w:space="0"/>
            </w:tcBorders>
            <w:shd w:val="clear" w:color="auto" w:fill="auto"/>
            <w:vAlign w:val="center"/>
          </w:tcPr>
          <w:p w14:paraId="22585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ICD-10 codes</w:t>
            </w:r>
          </w:p>
        </w:tc>
      </w:tr>
      <w:tr w14:paraId="4EC15E50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605" w:type="pct"/>
            <w:tcBorders>
              <w:top w:val="single" w:color="000000" w:themeColor="text1" w:sz="8" w:space="0"/>
              <w:tl2br w:val="nil"/>
              <w:tr2bl w:val="nil"/>
            </w:tcBorders>
            <w:shd w:val="clear" w:color="auto" w:fill="auto"/>
            <w:vAlign w:val="center"/>
          </w:tcPr>
          <w:p w14:paraId="64502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Coronary heart disease</w:t>
            </w:r>
          </w:p>
        </w:tc>
        <w:tc>
          <w:tcPr>
            <w:tcW w:w="2394" w:type="pct"/>
            <w:tcBorders>
              <w:top w:val="single" w:color="000000" w:themeColor="text1" w:sz="8" w:space="0"/>
              <w:tl2br w:val="nil"/>
              <w:tr2bl w:val="nil"/>
            </w:tcBorders>
            <w:shd w:val="clear" w:color="auto" w:fill="auto"/>
            <w:vAlign w:val="center"/>
          </w:tcPr>
          <w:p w14:paraId="747B0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I20–I25</w:t>
            </w:r>
          </w:p>
        </w:tc>
      </w:tr>
      <w:tr w14:paraId="008CA876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60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59A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Stroke</w:t>
            </w:r>
          </w:p>
        </w:tc>
        <w:tc>
          <w:tcPr>
            <w:tcW w:w="239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228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I60, I61, I63, I64, I69.0–I69.4</w:t>
            </w:r>
          </w:p>
        </w:tc>
      </w:tr>
      <w:tr w14:paraId="4FEDC2DA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60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20B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Heart failure</w:t>
            </w:r>
          </w:p>
        </w:tc>
        <w:tc>
          <w:tcPr>
            <w:tcW w:w="239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BEE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I50</w:t>
            </w:r>
          </w:p>
        </w:tc>
      </w:tr>
      <w:tr w14:paraId="2F0FE0E8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60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A05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Atrial fibrillation </w:t>
            </w:r>
          </w:p>
        </w:tc>
        <w:tc>
          <w:tcPr>
            <w:tcW w:w="239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BB5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I48</w:t>
            </w:r>
          </w:p>
        </w:tc>
      </w:tr>
      <w:tr w14:paraId="0D949557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60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035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Peripheral artery disease </w:t>
            </w:r>
          </w:p>
        </w:tc>
        <w:tc>
          <w:tcPr>
            <w:tcW w:w="239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7DA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E11.5, I70–I72, I73.9</w:t>
            </w:r>
          </w:p>
        </w:tc>
      </w:tr>
    </w:tbl>
    <w:p w14:paraId="27A8E3C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Abbreviations: ICD-10, International Classification of Diseases, Tenth Revision.</w:t>
      </w:r>
    </w:p>
    <w:p w14:paraId="525A078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0E987F1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jc w:val="both"/>
        <w:textAlignment w:val="auto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S5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 xml:space="preserve">. PREVENT equations for 10-year 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CVD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 xml:space="preserve"> risk in the UK Biobank</w:t>
      </w:r>
    </w:p>
    <w:p w14:paraId="3618FE9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jc w:val="both"/>
        <w:textAlignment w:val="auto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</w:pPr>
    </w:p>
    <w:tbl>
      <w:tblPr>
        <w:tblStyle w:val="4"/>
        <w:tblW w:w="4998" w:type="pct"/>
        <w:tblInd w:w="0" w:type="dxa"/>
        <w:tblBorders>
          <w:top w:val="single" w:color="000000" w:themeColor="text1" w:sz="8" w:space="0"/>
          <w:left w:val="none" w:color="auto" w:sz="0" w:space="0"/>
          <w:bottom w:val="single" w:color="000000" w:themeColor="text1" w:sz="8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3"/>
        <w:gridCol w:w="2424"/>
        <w:gridCol w:w="2424"/>
        <w:gridCol w:w="2097"/>
      </w:tblGrid>
      <w:tr w14:paraId="11D9AAAA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41" w:type="pct"/>
            <w:tcBorders>
              <w:bottom w:val="single" w:color="000000" w:themeColor="text1" w:sz="8" w:space="0"/>
            </w:tcBorders>
            <w:shd w:val="clear" w:color="auto" w:fill="auto"/>
            <w:vAlign w:val="center"/>
          </w:tcPr>
          <w:p w14:paraId="39E14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b/>
                <w:bCs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000000"/>
                <w:kern w:val="0"/>
                <w:sz w:val="16"/>
                <w:szCs w:val="16"/>
                <w:lang w:val="en-US" w:eastAsia="zh-CN" w:bidi="ar"/>
              </w:rPr>
              <w:t>Variable</w:t>
            </w:r>
          </w:p>
        </w:tc>
        <w:tc>
          <w:tcPr>
            <w:tcW w:w="1312" w:type="pct"/>
            <w:tcBorders>
              <w:bottom w:val="single" w:color="000000" w:themeColor="text1" w:sz="8" w:space="0"/>
            </w:tcBorders>
            <w:shd w:val="clear" w:color="auto" w:fill="auto"/>
            <w:vAlign w:val="center"/>
          </w:tcPr>
          <w:p w14:paraId="469C9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b/>
                <w:bCs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000000"/>
                <w:kern w:val="0"/>
                <w:sz w:val="16"/>
                <w:szCs w:val="16"/>
                <w:lang w:val="en-US" w:eastAsia="zh-CN" w:bidi="ar"/>
              </w:rPr>
              <w:t>Women (log-odds coefficient)</w:t>
            </w:r>
          </w:p>
        </w:tc>
        <w:tc>
          <w:tcPr>
            <w:tcW w:w="1312" w:type="pct"/>
            <w:tcBorders>
              <w:bottom w:val="single" w:color="000000" w:themeColor="text1" w:sz="8" w:space="0"/>
            </w:tcBorders>
            <w:shd w:val="clear" w:color="auto" w:fill="auto"/>
            <w:vAlign w:val="center"/>
          </w:tcPr>
          <w:p w14:paraId="00B1B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b/>
                <w:bCs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000000"/>
                <w:kern w:val="0"/>
                <w:sz w:val="16"/>
                <w:szCs w:val="16"/>
                <w:lang w:val="en-US" w:eastAsia="zh-CN" w:bidi="ar"/>
              </w:rPr>
              <w:t>Men (log-odds coefficient)</w:t>
            </w:r>
          </w:p>
        </w:tc>
        <w:tc>
          <w:tcPr>
            <w:tcW w:w="1133" w:type="pct"/>
            <w:tcBorders>
              <w:bottom w:val="single" w:color="000000" w:themeColor="text1" w:sz="8" w:space="0"/>
            </w:tcBorders>
            <w:shd w:val="clear" w:color="auto" w:fill="auto"/>
            <w:vAlign w:val="center"/>
          </w:tcPr>
          <w:p w14:paraId="0E2DC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b/>
                <w:bCs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000000"/>
                <w:kern w:val="0"/>
                <w:sz w:val="16"/>
                <w:szCs w:val="16"/>
                <w:lang w:val="en-US" w:eastAsia="zh-CN" w:bidi="ar"/>
              </w:rPr>
              <w:t>Field IDs</w:t>
            </w:r>
          </w:p>
        </w:tc>
      </w:tr>
      <w:tr w14:paraId="7176E53C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41" w:type="pct"/>
            <w:tcBorders>
              <w:top w:val="single" w:color="000000" w:themeColor="text1" w:sz="8" w:space="0"/>
              <w:tl2br w:val="nil"/>
              <w:tr2bl w:val="nil"/>
            </w:tcBorders>
            <w:shd w:val="clear" w:color="auto" w:fill="auto"/>
            <w:vAlign w:val="center"/>
          </w:tcPr>
          <w:p w14:paraId="14979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Intercept</w:t>
            </w:r>
          </w:p>
        </w:tc>
        <w:tc>
          <w:tcPr>
            <w:tcW w:w="1312" w:type="pct"/>
            <w:tcBorders>
              <w:top w:val="single" w:color="000000" w:themeColor="text1" w:sz="8" w:space="0"/>
              <w:tl2br w:val="nil"/>
              <w:tr2bl w:val="nil"/>
            </w:tcBorders>
            <w:shd w:val="clear" w:color="auto" w:fill="auto"/>
            <w:vAlign w:val="center"/>
          </w:tcPr>
          <w:p w14:paraId="58153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–3.307728</w:t>
            </w:r>
          </w:p>
        </w:tc>
        <w:tc>
          <w:tcPr>
            <w:tcW w:w="1312" w:type="pct"/>
            <w:tcBorders>
              <w:top w:val="single" w:color="000000" w:themeColor="text1" w:sz="8" w:space="0"/>
              <w:tl2br w:val="nil"/>
              <w:tr2bl w:val="nil"/>
            </w:tcBorders>
            <w:shd w:val="clear" w:color="auto" w:fill="auto"/>
            <w:vAlign w:val="center"/>
          </w:tcPr>
          <w:p w14:paraId="01338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–3.031168</w:t>
            </w:r>
          </w:p>
        </w:tc>
        <w:tc>
          <w:tcPr>
            <w:tcW w:w="1133" w:type="pct"/>
            <w:tcBorders>
              <w:top w:val="single" w:color="000000" w:themeColor="text1" w:sz="8" w:space="0"/>
              <w:tl2br w:val="nil"/>
              <w:tr2bl w:val="nil"/>
            </w:tcBorders>
            <w:shd w:val="clear" w:color="auto" w:fill="auto"/>
            <w:vAlign w:val="center"/>
          </w:tcPr>
          <w:p w14:paraId="2392D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NA</w:t>
            </w:r>
          </w:p>
        </w:tc>
      </w:tr>
      <w:tr w14:paraId="5DD7FD2E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4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77F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Age (per 10 years from 55)</w:t>
            </w:r>
          </w:p>
        </w:tc>
        <w:tc>
          <w:tcPr>
            <w:tcW w:w="13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B75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0.7939329</w:t>
            </w:r>
          </w:p>
        </w:tc>
        <w:tc>
          <w:tcPr>
            <w:tcW w:w="13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479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0.7688528</w:t>
            </w:r>
          </w:p>
        </w:tc>
        <w:tc>
          <w:tcPr>
            <w:tcW w:w="11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779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21022</w:t>
            </w:r>
          </w:p>
        </w:tc>
      </w:tr>
      <w:tr w14:paraId="5BB25812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4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B4F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Non-HDL(mmol/L)</w:t>
            </w:r>
          </w:p>
        </w:tc>
        <w:tc>
          <w:tcPr>
            <w:tcW w:w="13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37A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0.0305239</w:t>
            </w:r>
          </w:p>
        </w:tc>
        <w:tc>
          <w:tcPr>
            <w:tcW w:w="13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3DA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0.0736174</w:t>
            </w:r>
          </w:p>
        </w:tc>
        <w:tc>
          <w:tcPr>
            <w:tcW w:w="11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D5E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30690, 30760</w:t>
            </w:r>
          </w:p>
        </w:tc>
      </w:tr>
      <w:tr w14:paraId="3386159B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4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F69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HDL(mmol/L)</w:t>
            </w:r>
          </w:p>
        </w:tc>
        <w:tc>
          <w:tcPr>
            <w:tcW w:w="13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827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–0.1606857</w:t>
            </w:r>
          </w:p>
        </w:tc>
        <w:tc>
          <w:tcPr>
            <w:tcW w:w="13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F64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–0.0954431</w:t>
            </w:r>
          </w:p>
        </w:tc>
        <w:tc>
          <w:tcPr>
            <w:tcW w:w="11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438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30760</w:t>
            </w:r>
          </w:p>
        </w:tc>
      </w:tr>
      <w:tr w14:paraId="4420942F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4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E3B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SBP (mmHg)</w:t>
            </w:r>
          </w:p>
        </w:tc>
        <w:tc>
          <w:tcPr>
            <w:tcW w:w="13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759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–0.2394003 × (min[SBP,110] – 110)/20 </w:t>
            </w: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+0.360078 × (max[SBP,110] – 130)/20</w:t>
            </w:r>
          </w:p>
        </w:tc>
        <w:tc>
          <w:tcPr>
            <w:tcW w:w="13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9A3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–0.4347345 × (min[SBP,110] – 110)/20 </w:t>
            </w: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+0.3362658 × (max[SBP,110] – 130)/20</w:t>
            </w:r>
          </w:p>
        </w:tc>
        <w:tc>
          <w:tcPr>
            <w:tcW w:w="11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683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4080</w:t>
            </w:r>
          </w:p>
        </w:tc>
      </w:tr>
      <w:tr w14:paraId="327719C7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4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FD1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Diabetes</w:t>
            </w:r>
          </w:p>
        </w:tc>
        <w:tc>
          <w:tcPr>
            <w:tcW w:w="13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C6D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0.8667604</w:t>
            </w:r>
          </w:p>
        </w:tc>
        <w:tc>
          <w:tcPr>
            <w:tcW w:w="13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007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0.7692857</w:t>
            </w:r>
          </w:p>
        </w:tc>
        <w:tc>
          <w:tcPr>
            <w:tcW w:w="11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6D7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2443, 30740, 30750, 20003, 6153, 6177</w:t>
            </w:r>
          </w:p>
        </w:tc>
      </w:tr>
      <w:tr w14:paraId="7B6168DA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4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7B2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Current smoking</w:t>
            </w:r>
          </w:p>
        </w:tc>
        <w:tc>
          <w:tcPr>
            <w:tcW w:w="13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EE8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0.5360739</w:t>
            </w:r>
          </w:p>
        </w:tc>
        <w:tc>
          <w:tcPr>
            <w:tcW w:w="13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42B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0.4386871</w:t>
            </w:r>
          </w:p>
        </w:tc>
        <w:tc>
          <w:tcPr>
            <w:tcW w:w="11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0B4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20116</w:t>
            </w:r>
          </w:p>
        </w:tc>
      </w:tr>
      <w:tr w14:paraId="50E84B2F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4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C32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eGFR (mL/min/1.73m²)</w:t>
            </w:r>
          </w:p>
        </w:tc>
        <w:tc>
          <w:tcPr>
            <w:tcW w:w="13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8A8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+0.6045917 × (min[eGFR,60] – 60)/–15 </w:t>
            </w: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+0.0433769 × (max[eGFR,60] – 90)/–15</w:t>
            </w:r>
          </w:p>
        </w:tc>
        <w:tc>
          <w:tcPr>
            <w:tcW w:w="13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0CD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+0.5378979 × (min[eGFR,60] – 60)/–15 </w:t>
            </w: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+0.0164827 × (max[eGFR,60] – 90)/–15</w:t>
            </w:r>
          </w:p>
        </w:tc>
        <w:tc>
          <w:tcPr>
            <w:tcW w:w="11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D75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31, 21022, 30700</w:t>
            </w:r>
          </w:p>
        </w:tc>
      </w:tr>
      <w:tr w14:paraId="23A769EA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4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096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Antihypertensive medication</w:t>
            </w:r>
          </w:p>
        </w:tc>
        <w:tc>
          <w:tcPr>
            <w:tcW w:w="13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AD4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0.3151672</w:t>
            </w:r>
          </w:p>
        </w:tc>
        <w:tc>
          <w:tcPr>
            <w:tcW w:w="13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691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0.288879</w:t>
            </w:r>
          </w:p>
        </w:tc>
        <w:tc>
          <w:tcPr>
            <w:tcW w:w="11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E9B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20003, 6153, 6177</w:t>
            </w:r>
          </w:p>
        </w:tc>
      </w:tr>
      <w:tr w14:paraId="7B5E10CA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4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2CE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Statin use</w:t>
            </w:r>
          </w:p>
        </w:tc>
        <w:tc>
          <w:tcPr>
            <w:tcW w:w="13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06F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–0.1477655</w:t>
            </w:r>
          </w:p>
        </w:tc>
        <w:tc>
          <w:tcPr>
            <w:tcW w:w="13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E59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–0.1337349</w:t>
            </w:r>
          </w:p>
        </w:tc>
        <w:tc>
          <w:tcPr>
            <w:tcW w:w="11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801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20003, 6153, 6177</w:t>
            </w:r>
          </w:p>
        </w:tc>
      </w:tr>
      <w:tr w14:paraId="0006AA3F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4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6CE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Interaction: antihypertensive × SBP</w:t>
            </w:r>
          </w:p>
        </w:tc>
        <w:tc>
          <w:tcPr>
            <w:tcW w:w="13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86F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–0.0663612</w:t>
            </w:r>
          </w:p>
        </w:tc>
        <w:tc>
          <w:tcPr>
            <w:tcW w:w="13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991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–0.0475924</w:t>
            </w:r>
          </w:p>
        </w:tc>
        <w:tc>
          <w:tcPr>
            <w:tcW w:w="11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29F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NA</w:t>
            </w:r>
          </w:p>
        </w:tc>
      </w:tr>
      <w:tr w14:paraId="6313F9D9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4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BD0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Interaction: statin × non-HDL</w:t>
            </w:r>
          </w:p>
        </w:tc>
        <w:tc>
          <w:tcPr>
            <w:tcW w:w="13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911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0.1197879</w:t>
            </w:r>
          </w:p>
        </w:tc>
        <w:tc>
          <w:tcPr>
            <w:tcW w:w="13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801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0.150273</w:t>
            </w:r>
          </w:p>
        </w:tc>
        <w:tc>
          <w:tcPr>
            <w:tcW w:w="11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40A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NA</w:t>
            </w:r>
          </w:p>
        </w:tc>
      </w:tr>
      <w:tr w14:paraId="2C090236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4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5FA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Age × non-HDL</w:t>
            </w:r>
          </w:p>
        </w:tc>
        <w:tc>
          <w:tcPr>
            <w:tcW w:w="13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807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–0.0819715</w:t>
            </w:r>
          </w:p>
        </w:tc>
        <w:tc>
          <w:tcPr>
            <w:tcW w:w="13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5E6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–0.0517874</w:t>
            </w:r>
          </w:p>
        </w:tc>
        <w:tc>
          <w:tcPr>
            <w:tcW w:w="11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166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NA</w:t>
            </w:r>
          </w:p>
        </w:tc>
      </w:tr>
      <w:tr w14:paraId="08A58ACD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4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755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Age × HDL</w:t>
            </w:r>
          </w:p>
        </w:tc>
        <w:tc>
          <w:tcPr>
            <w:tcW w:w="13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309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0.0306769</w:t>
            </w:r>
          </w:p>
        </w:tc>
        <w:tc>
          <w:tcPr>
            <w:tcW w:w="13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0F0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0.0191169</w:t>
            </w:r>
          </w:p>
        </w:tc>
        <w:tc>
          <w:tcPr>
            <w:tcW w:w="11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E1E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NA</w:t>
            </w:r>
          </w:p>
        </w:tc>
      </w:tr>
      <w:tr w14:paraId="7A645BE3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4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758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Age × SBP</w:t>
            </w:r>
          </w:p>
        </w:tc>
        <w:tc>
          <w:tcPr>
            <w:tcW w:w="13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6B8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–0.0946348</w:t>
            </w:r>
          </w:p>
        </w:tc>
        <w:tc>
          <w:tcPr>
            <w:tcW w:w="13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6AA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–0.1049477</w:t>
            </w:r>
          </w:p>
        </w:tc>
        <w:tc>
          <w:tcPr>
            <w:tcW w:w="11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E0E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NA</w:t>
            </w:r>
          </w:p>
        </w:tc>
      </w:tr>
      <w:tr w14:paraId="47D780E0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4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12C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Age × diabetes</w:t>
            </w:r>
          </w:p>
        </w:tc>
        <w:tc>
          <w:tcPr>
            <w:tcW w:w="13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206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–0.2705700</w:t>
            </w:r>
          </w:p>
        </w:tc>
        <w:tc>
          <w:tcPr>
            <w:tcW w:w="13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4D8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–0.2251948</w:t>
            </w:r>
          </w:p>
        </w:tc>
        <w:tc>
          <w:tcPr>
            <w:tcW w:w="11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FCC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NA</w:t>
            </w:r>
          </w:p>
        </w:tc>
      </w:tr>
      <w:tr w14:paraId="6FFD0C76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4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B07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Age × current smoking</w:t>
            </w:r>
          </w:p>
        </w:tc>
        <w:tc>
          <w:tcPr>
            <w:tcW w:w="13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33E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–0.0787150</w:t>
            </w:r>
          </w:p>
        </w:tc>
        <w:tc>
          <w:tcPr>
            <w:tcW w:w="13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398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–0.0895067</w:t>
            </w:r>
          </w:p>
        </w:tc>
        <w:tc>
          <w:tcPr>
            <w:tcW w:w="11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671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NA</w:t>
            </w:r>
          </w:p>
        </w:tc>
      </w:tr>
      <w:tr w14:paraId="7984A7DA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4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322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Age × eGFR</w:t>
            </w:r>
          </w:p>
        </w:tc>
        <w:tc>
          <w:tcPr>
            <w:tcW w:w="13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F2F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–0.1637806</w:t>
            </w:r>
          </w:p>
        </w:tc>
        <w:tc>
          <w:tcPr>
            <w:tcW w:w="13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917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–0.1543702</w:t>
            </w:r>
          </w:p>
        </w:tc>
        <w:tc>
          <w:tcPr>
            <w:tcW w:w="11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3CF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NA</w:t>
            </w:r>
          </w:p>
        </w:tc>
      </w:tr>
      <w:tr w14:paraId="5EE47A16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00" w:type="pct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A49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Risk = exp(log-Odds) / (1 + exp(log-Odds))</w:t>
            </w:r>
          </w:p>
        </w:tc>
      </w:tr>
    </w:tbl>
    <w:p w14:paraId="28A40D7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80" w:lineRule="auto"/>
        <w:jc w:val="both"/>
        <w:textAlignment w:val="auto"/>
        <w:rPr>
          <w:rFonts w:hint="default" w:ascii="Times New Roman" w:hAnsi="Times New Roman" w:eastAsia="Segoe UI" w:cs="Times New Roman"/>
          <w:color w:val="000000"/>
          <w:kern w:val="0"/>
          <w:sz w:val="16"/>
          <w:szCs w:val="16"/>
          <w:lang w:val="en-US" w:eastAsia="zh-CN" w:bidi="ar"/>
        </w:rPr>
      </w:pPr>
      <w:r>
        <w:rPr>
          <w:rFonts w:hint="default" w:ascii="Times New Roman" w:hAnsi="Times New Roman" w:eastAsia="Segoe UI" w:cs="Times New Roman"/>
          <w:color w:val="000000"/>
          <w:kern w:val="0"/>
          <w:sz w:val="16"/>
          <w:szCs w:val="16"/>
          <w:lang w:val="en-US" w:eastAsia="zh-CN" w:bidi="ar"/>
        </w:rPr>
        <w:t>The PREVENT equations were applied to adults aged 30-79 years, with participants ≥80 years conservatively</w:t>
      </w:r>
      <w:r>
        <w:rPr>
          <w:rFonts w:hint="eastAsia" w:ascii="Times New Roman" w:hAnsi="Times New Roman" w:eastAsia="Segoe UI" w:cs="Times New Roman"/>
          <w:color w:val="000000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hint="default" w:ascii="Times New Roman" w:hAnsi="Times New Roman" w:eastAsia="Segoe UI" w:cs="Times New Roman"/>
          <w:color w:val="000000"/>
          <w:kern w:val="0"/>
          <w:sz w:val="16"/>
          <w:szCs w:val="16"/>
          <w:lang w:val="en-US" w:eastAsia="zh-CN" w:bidi="ar"/>
        </w:rPr>
        <w:t>assigned an age of 79 years for risk estimation. Variables outside PREVENT-defined ranges (total cholesterol:</w:t>
      </w:r>
      <w:r>
        <w:rPr>
          <w:rFonts w:hint="eastAsia" w:ascii="Times New Roman" w:hAnsi="Times New Roman" w:eastAsia="Segoe UI" w:cs="Times New Roman"/>
          <w:color w:val="000000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hint="default" w:ascii="Times New Roman" w:hAnsi="Times New Roman" w:eastAsia="Segoe UI" w:cs="Times New Roman"/>
          <w:color w:val="000000"/>
          <w:kern w:val="0"/>
          <w:sz w:val="16"/>
          <w:szCs w:val="16"/>
          <w:lang w:val="en-US" w:eastAsia="zh-CN" w:bidi="ar"/>
        </w:rPr>
        <w:t xml:space="preserve">130-320 mg/dL; HDL: 20-100 mg/dL; </w:t>
      </w:r>
      <w:r>
        <w:rPr>
          <w:rFonts w:hint="eastAsia" w:ascii="Times New Roman" w:hAnsi="Times New Roman" w:eastAsia="Segoe UI" w:cs="Times New Roman"/>
          <w:color w:val="000000"/>
          <w:kern w:val="0"/>
          <w:sz w:val="16"/>
          <w:szCs w:val="16"/>
          <w:lang w:val="en-US" w:eastAsia="zh-CN" w:bidi="ar"/>
        </w:rPr>
        <w:t>SBP</w:t>
      </w:r>
      <w:r>
        <w:rPr>
          <w:rFonts w:hint="default" w:ascii="Times New Roman" w:hAnsi="Times New Roman" w:eastAsia="Segoe UI" w:cs="Times New Roman"/>
          <w:color w:val="000000"/>
          <w:kern w:val="0"/>
          <w:sz w:val="16"/>
          <w:szCs w:val="16"/>
          <w:lang w:val="en-US" w:eastAsia="zh-CN" w:bidi="ar"/>
        </w:rPr>
        <w:t>: 90-200 mmHg; eGFR: 14-140 mL/min/1.73 m²)</w:t>
      </w:r>
      <w:r>
        <w:rPr>
          <w:rFonts w:hint="eastAsia" w:ascii="Times New Roman" w:hAnsi="Times New Roman" w:eastAsia="Segoe UI" w:cs="Times New Roman"/>
          <w:color w:val="000000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hint="default" w:ascii="Times New Roman" w:hAnsi="Times New Roman" w:eastAsia="Segoe UI" w:cs="Times New Roman"/>
          <w:color w:val="000000"/>
          <w:kern w:val="0"/>
          <w:sz w:val="16"/>
          <w:szCs w:val="16"/>
          <w:lang w:val="en-US" w:eastAsia="zh-CN" w:bidi="ar"/>
        </w:rPr>
        <w:t>were truncated to boundary values.</w:t>
      </w:r>
    </w:p>
    <w:p w14:paraId="0503499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80" w:lineRule="auto"/>
        <w:jc w:val="both"/>
        <w:textAlignment w:val="auto"/>
        <w:rPr>
          <w:rFonts w:hint="default" w:ascii="Times New Roman" w:hAnsi="Times New Roman" w:eastAsia="Segoe UI" w:cs="Times New Roman"/>
          <w:color w:val="000000"/>
          <w:kern w:val="0"/>
          <w:sz w:val="16"/>
          <w:szCs w:val="16"/>
          <w:lang w:val="en-US" w:eastAsia="zh-CN" w:bidi="ar"/>
        </w:rPr>
      </w:pPr>
      <w:r>
        <w:rPr>
          <w:rFonts w:hint="default" w:ascii="Times New Roman" w:hAnsi="Times New Roman" w:eastAsia="Segoe UI" w:cs="Times New Roman"/>
          <w:color w:val="000000"/>
          <w:kern w:val="0"/>
          <w:sz w:val="16"/>
          <w:szCs w:val="16"/>
          <w:lang w:val="en-US" w:eastAsia="zh-CN" w:bidi="ar"/>
        </w:rPr>
        <w:t>Abbreviations: non-HDL, non–high-density lipoprotein cholesterol; HDL, high-density lipoprotein cholesterol; SBP, systolic blood pressure; eGFR, estimated glomerular filtration rate.</w:t>
      </w:r>
    </w:p>
    <w:p w14:paraId="2D29ADC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both"/>
        <w:textAlignment w:val="auto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</w:pPr>
    </w:p>
    <w:p w14:paraId="6E87834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both"/>
        <w:textAlignment w:val="auto"/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vertAlign w:val="baseli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S6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.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 xml:space="preserve"> Incidence of cardiovascular outcomes according to quartiles of TyG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–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MLI</w:t>
      </w:r>
    </w:p>
    <w:tbl>
      <w:tblPr>
        <w:tblStyle w:val="4"/>
        <w:tblpPr w:leftFromText="180" w:rightFromText="180" w:vertAnchor="text" w:horzAnchor="page" w:tblpX="1441" w:tblpY="256"/>
        <w:tblOverlap w:val="never"/>
        <w:tblW w:w="4996" w:type="pct"/>
        <w:tblInd w:w="0" w:type="dxa"/>
        <w:tblBorders>
          <w:top w:val="single" w:color="000000" w:themeColor="text1" w:sz="8" w:space="0"/>
          <w:left w:val="none" w:color="auto" w:sz="0" w:space="0"/>
          <w:bottom w:val="single" w:color="000000" w:themeColor="text1" w:sz="8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1"/>
        <w:gridCol w:w="1317"/>
        <w:gridCol w:w="1053"/>
        <w:gridCol w:w="1848"/>
        <w:gridCol w:w="3836"/>
      </w:tblGrid>
      <w:tr w14:paraId="11F8BEA7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39" w:type="pct"/>
            <w:tcBorders>
              <w:bottom w:val="single" w:color="000000" w:themeColor="text1" w:sz="8" w:space="0"/>
            </w:tcBorders>
            <w:shd w:val="clear" w:color="auto" w:fill="auto"/>
            <w:vAlign w:val="center"/>
          </w:tcPr>
          <w:p w14:paraId="774309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Outcome</w:t>
            </w:r>
          </w:p>
        </w:tc>
        <w:tc>
          <w:tcPr>
            <w:tcW w:w="713" w:type="pct"/>
            <w:tcBorders>
              <w:bottom w:val="single" w:color="000000" w:themeColor="text1" w:sz="8" w:space="0"/>
            </w:tcBorders>
            <w:shd w:val="clear" w:color="auto" w:fill="auto"/>
            <w:vAlign w:val="center"/>
          </w:tcPr>
          <w:p w14:paraId="2F24BF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Quartile</w:t>
            </w:r>
          </w:p>
        </w:tc>
        <w:tc>
          <w:tcPr>
            <w:tcW w:w="570" w:type="pct"/>
            <w:tcBorders>
              <w:bottom w:val="single" w:color="000000" w:themeColor="text1" w:sz="8" w:space="0"/>
            </w:tcBorders>
            <w:shd w:val="clear" w:color="auto" w:fill="auto"/>
            <w:vAlign w:val="center"/>
          </w:tcPr>
          <w:p w14:paraId="2B1A9E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Events</w:t>
            </w:r>
          </w:p>
        </w:tc>
        <w:tc>
          <w:tcPr>
            <w:tcW w:w="1000" w:type="pct"/>
            <w:tcBorders>
              <w:bottom w:val="single" w:color="000000" w:themeColor="text1" w:sz="8" w:space="0"/>
            </w:tcBorders>
            <w:shd w:val="clear" w:color="auto" w:fill="auto"/>
            <w:vAlign w:val="center"/>
          </w:tcPr>
          <w:p w14:paraId="29DD9A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Person-years</w:t>
            </w:r>
          </w:p>
        </w:tc>
        <w:tc>
          <w:tcPr>
            <w:tcW w:w="2076" w:type="pct"/>
            <w:tcBorders>
              <w:bottom w:val="single" w:color="000000" w:themeColor="text1" w:sz="8" w:space="0"/>
            </w:tcBorders>
            <w:shd w:val="clear" w:color="auto" w:fill="auto"/>
            <w:vAlign w:val="center"/>
          </w:tcPr>
          <w:p w14:paraId="6AE70E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Incidence rate per 1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000 person-years</w:t>
            </w:r>
          </w:p>
        </w:tc>
      </w:tr>
      <w:tr w14:paraId="4754F80F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39" w:type="pct"/>
            <w:vMerge w:val="restart"/>
            <w:tcBorders>
              <w:top w:val="single" w:color="000000" w:themeColor="text1" w:sz="8" w:space="0"/>
              <w:tl2br w:val="nil"/>
              <w:tr2bl w:val="nil"/>
            </w:tcBorders>
            <w:shd w:val="clear" w:color="auto" w:fill="auto"/>
            <w:vAlign w:val="center"/>
          </w:tcPr>
          <w:p w14:paraId="7DAE01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CVD</w:t>
            </w:r>
          </w:p>
        </w:tc>
        <w:tc>
          <w:tcPr>
            <w:tcW w:w="713" w:type="pct"/>
            <w:tcBorders>
              <w:top w:val="single" w:color="000000" w:themeColor="text1" w:sz="8" w:space="0"/>
              <w:tl2br w:val="nil"/>
              <w:tr2bl w:val="nil"/>
            </w:tcBorders>
            <w:shd w:val="clear" w:color="auto" w:fill="auto"/>
            <w:vAlign w:val="center"/>
          </w:tcPr>
          <w:p w14:paraId="1294FA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Q1</w:t>
            </w:r>
          </w:p>
        </w:tc>
        <w:tc>
          <w:tcPr>
            <w:tcW w:w="570" w:type="pct"/>
            <w:tcBorders>
              <w:top w:val="single" w:color="000000" w:themeColor="text1" w:sz="8" w:space="0"/>
              <w:tl2br w:val="nil"/>
              <w:tr2bl w:val="nil"/>
            </w:tcBorders>
            <w:shd w:val="clear" w:color="auto" w:fill="auto"/>
            <w:vAlign w:val="center"/>
          </w:tcPr>
          <w:p w14:paraId="2A3DC3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811</w:t>
            </w:r>
          </w:p>
        </w:tc>
        <w:tc>
          <w:tcPr>
            <w:tcW w:w="1000" w:type="pct"/>
            <w:tcBorders>
              <w:top w:val="single" w:color="000000" w:themeColor="text1" w:sz="8" w:space="0"/>
              <w:tl2br w:val="nil"/>
              <w:tr2bl w:val="nil"/>
            </w:tcBorders>
            <w:shd w:val="clear" w:color="auto" w:fill="auto"/>
            <w:vAlign w:val="center"/>
          </w:tcPr>
          <w:p w14:paraId="603E4C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283</w:t>
            </w:r>
          </w:p>
        </w:tc>
        <w:tc>
          <w:tcPr>
            <w:tcW w:w="2076" w:type="pct"/>
            <w:tcBorders>
              <w:top w:val="single" w:color="000000" w:themeColor="text1" w:sz="8" w:space="0"/>
              <w:tl2br w:val="nil"/>
              <w:tr2bl w:val="nil"/>
            </w:tcBorders>
            <w:shd w:val="clear" w:color="auto" w:fill="auto"/>
            <w:vAlign w:val="center"/>
          </w:tcPr>
          <w:p w14:paraId="746D1B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 w14:paraId="4D5374C0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3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871A24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36A8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Q2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C807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359</w:t>
            </w:r>
          </w:p>
        </w:tc>
        <w:tc>
          <w:tcPr>
            <w:tcW w:w="10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0A5D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677</w:t>
            </w:r>
          </w:p>
        </w:tc>
        <w:tc>
          <w:tcPr>
            <w:tcW w:w="20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F792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 w14:paraId="33D2F9F0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3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510C2B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4934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Q3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5123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380</w:t>
            </w:r>
          </w:p>
        </w:tc>
        <w:tc>
          <w:tcPr>
            <w:tcW w:w="10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B489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631</w:t>
            </w:r>
          </w:p>
        </w:tc>
        <w:tc>
          <w:tcPr>
            <w:tcW w:w="20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2D0E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 w14:paraId="19D0AA6E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3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75DA1A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2920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Q4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0AEA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848</w:t>
            </w:r>
          </w:p>
        </w:tc>
        <w:tc>
          <w:tcPr>
            <w:tcW w:w="10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B872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850</w:t>
            </w:r>
          </w:p>
        </w:tc>
        <w:tc>
          <w:tcPr>
            <w:tcW w:w="20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71B0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 w14:paraId="5C9A2569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39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57E0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CHD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C49C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Q1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3443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725</w:t>
            </w:r>
          </w:p>
        </w:tc>
        <w:tc>
          <w:tcPr>
            <w:tcW w:w="10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4515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947</w:t>
            </w:r>
          </w:p>
        </w:tc>
        <w:tc>
          <w:tcPr>
            <w:tcW w:w="20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8A0D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4.67</w:t>
            </w:r>
          </w:p>
        </w:tc>
      </w:tr>
      <w:tr w14:paraId="0FE8453E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3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F2C7B4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74E5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Q2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1662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671</w:t>
            </w:r>
          </w:p>
        </w:tc>
        <w:tc>
          <w:tcPr>
            <w:tcW w:w="10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F095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408</w:t>
            </w:r>
          </w:p>
        </w:tc>
        <w:tc>
          <w:tcPr>
            <w:tcW w:w="20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DDBA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5.67</w:t>
            </w:r>
          </w:p>
        </w:tc>
      </w:tr>
      <w:tr w14:paraId="422BD81D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3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1F7A01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4C40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Q3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727F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231</w:t>
            </w:r>
          </w:p>
        </w:tc>
        <w:tc>
          <w:tcPr>
            <w:tcW w:w="10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396B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296</w:t>
            </w:r>
          </w:p>
        </w:tc>
        <w:tc>
          <w:tcPr>
            <w:tcW w:w="20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4E0F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 w14:paraId="16D4C569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3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2D00E2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9BFE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Q4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F6D2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415</w:t>
            </w:r>
          </w:p>
        </w:tc>
        <w:tc>
          <w:tcPr>
            <w:tcW w:w="10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2218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829</w:t>
            </w:r>
          </w:p>
        </w:tc>
        <w:tc>
          <w:tcPr>
            <w:tcW w:w="20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A0DF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7.66</w:t>
            </w:r>
          </w:p>
        </w:tc>
      </w:tr>
      <w:tr w14:paraId="04D6388B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39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5ED7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Stroke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3EF1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Q1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861A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277</w:t>
            </w:r>
          </w:p>
        </w:tc>
        <w:tc>
          <w:tcPr>
            <w:tcW w:w="10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1ABA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036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667</w:t>
            </w:r>
          </w:p>
        </w:tc>
        <w:tc>
          <w:tcPr>
            <w:tcW w:w="20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41E6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1.23</w:t>
            </w:r>
          </w:p>
        </w:tc>
      </w:tr>
      <w:tr w14:paraId="38A6D39D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3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51DA7C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3254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Q2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E0D0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550</w:t>
            </w:r>
          </w:p>
        </w:tc>
        <w:tc>
          <w:tcPr>
            <w:tcW w:w="10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51E2B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029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854</w:t>
            </w:r>
          </w:p>
        </w:tc>
        <w:tc>
          <w:tcPr>
            <w:tcW w:w="20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3AAC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1.51</w:t>
            </w:r>
          </w:p>
        </w:tc>
      </w:tr>
      <w:tr w14:paraId="60FECBB9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3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37A195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2E4C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Q3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F531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748</w:t>
            </w:r>
          </w:p>
        </w:tc>
        <w:tc>
          <w:tcPr>
            <w:tcW w:w="10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22CF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178</w:t>
            </w:r>
          </w:p>
        </w:tc>
        <w:tc>
          <w:tcPr>
            <w:tcW w:w="20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EBAF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1.71</w:t>
            </w:r>
          </w:p>
        </w:tc>
      </w:tr>
      <w:tr w14:paraId="3B91182F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3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A620F1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1A8E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Q4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462E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301</w:t>
            </w:r>
          </w:p>
        </w:tc>
        <w:tc>
          <w:tcPr>
            <w:tcW w:w="10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57D7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006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023</w:t>
            </w:r>
          </w:p>
        </w:tc>
        <w:tc>
          <w:tcPr>
            <w:tcW w:w="20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4045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2.29</w:t>
            </w:r>
          </w:p>
        </w:tc>
      </w:tr>
      <w:tr w14:paraId="7907CB66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39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6756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HF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4FBD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Q1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7228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229</w:t>
            </w:r>
          </w:p>
        </w:tc>
        <w:tc>
          <w:tcPr>
            <w:tcW w:w="10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7106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038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194</w:t>
            </w:r>
          </w:p>
        </w:tc>
        <w:tc>
          <w:tcPr>
            <w:tcW w:w="20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CAFB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1.18</w:t>
            </w:r>
          </w:p>
        </w:tc>
      </w:tr>
      <w:tr w14:paraId="58E4AC6A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3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02741D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235B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Q2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C400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570</w:t>
            </w:r>
          </w:p>
        </w:tc>
        <w:tc>
          <w:tcPr>
            <w:tcW w:w="10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5CF4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031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361</w:t>
            </w:r>
          </w:p>
        </w:tc>
        <w:tc>
          <w:tcPr>
            <w:tcW w:w="20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673D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1.52</w:t>
            </w:r>
          </w:p>
        </w:tc>
      </w:tr>
      <w:tr w14:paraId="10B048D8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3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5E5139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361D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Q3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D69D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008</w:t>
            </w:r>
          </w:p>
        </w:tc>
        <w:tc>
          <w:tcPr>
            <w:tcW w:w="10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96F5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388</w:t>
            </w:r>
          </w:p>
        </w:tc>
        <w:tc>
          <w:tcPr>
            <w:tcW w:w="20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43BA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1.96</w:t>
            </w:r>
          </w:p>
        </w:tc>
      </w:tr>
      <w:tr w14:paraId="3AC85E91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3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11805D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1252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Q4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2BB4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015</w:t>
            </w:r>
          </w:p>
        </w:tc>
        <w:tc>
          <w:tcPr>
            <w:tcW w:w="10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BF85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004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849</w:t>
            </w:r>
          </w:p>
        </w:tc>
        <w:tc>
          <w:tcPr>
            <w:tcW w:w="20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9E6D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</w:t>
            </w:r>
          </w:p>
        </w:tc>
      </w:tr>
      <w:tr w14:paraId="0178A7AE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39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EAD1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AF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B818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Q1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6E7F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167</w:t>
            </w:r>
          </w:p>
        </w:tc>
        <w:tc>
          <w:tcPr>
            <w:tcW w:w="10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8666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026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783</w:t>
            </w:r>
          </w:p>
        </w:tc>
        <w:tc>
          <w:tcPr>
            <w:tcW w:w="20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94F5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2.11</w:t>
            </w:r>
          </w:p>
        </w:tc>
      </w:tr>
      <w:tr w14:paraId="390F44A9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3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ED4ABC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4BC8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Q2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1874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571</w:t>
            </w:r>
          </w:p>
        </w:tc>
        <w:tc>
          <w:tcPr>
            <w:tcW w:w="10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4210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410</w:t>
            </w:r>
          </w:p>
        </w:tc>
        <w:tc>
          <w:tcPr>
            <w:tcW w:w="20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C798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2.52</w:t>
            </w:r>
          </w:p>
        </w:tc>
      </w:tr>
      <w:tr w14:paraId="0BC858E6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3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8BA58C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3625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Q3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BF42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899</w:t>
            </w:r>
          </w:p>
        </w:tc>
        <w:tc>
          <w:tcPr>
            <w:tcW w:w="10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2D5F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009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476</w:t>
            </w:r>
          </w:p>
        </w:tc>
        <w:tc>
          <w:tcPr>
            <w:tcW w:w="20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986B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2.87</w:t>
            </w:r>
          </w:p>
        </w:tc>
      </w:tr>
      <w:tr w14:paraId="630CE41F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3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980731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34A6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Q4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C966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303</w:t>
            </w:r>
          </w:p>
        </w:tc>
        <w:tc>
          <w:tcPr>
            <w:tcW w:w="10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0E9F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245</w:t>
            </w:r>
          </w:p>
        </w:tc>
        <w:tc>
          <w:tcPr>
            <w:tcW w:w="20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245D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3.32</w:t>
            </w:r>
          </w:p>
        </w:tc>
      </w:tr>
      <w:tr w14:paraId="664BABAB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39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FDA0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PAD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E7BF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Q1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1D36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900</w:t>
            </w:r>
          </w:p>
        </w:tc>
        <w:tc>
          <w:tcPr>
            <w:tcW w:w="10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56FF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038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718</w:t>
            </w:r>
          </w:p>
        </w:tc>
        <w:tc>
          <w:tcPr>
            <w:tcW w:w="20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C165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0.87</w:t>
            </w:r>
          </w:p>
        </w:tc>
      </w:tr>
      <w:tr w14:paraId="399008DC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3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D11E86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D039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Q2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466B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181</w:t>
            </w:r>
          </w:p>
        </w:tc>
        <w:tc>
          <w:tcPr>
            <w:tcW w:w="10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57B2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031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536</w:t>
            </w:r>
          </w:p>
        </w:tc>
        <w:tc>
          <w:tcPr>
            <w:tcW w:w="20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F2F6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1.14</w:t>
            </w:r>
          </w:p>
        </w:tc>
      </w:tr>
      <w:tr w14:paraId="3FD9BB93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3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D49EE4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C92C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Q3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74C8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435</w:t>
            </w:r>
          </w:p>
        </w:tc>
        <w:tc>
          <w:tcPr>
            <w:tcW w:w="10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F8D4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138</w:t>
            </w:r>
          </w:p>
        </w:tc>
        <w:tc>
          <w:tcPr>
            <w:tcW w:w="20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EA72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 w14:paraId="48D12C57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3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F823EB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F27D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Q4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9F50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015</w:t>
            </w:r>
          </w:p>
        </w:tc>
        <w:tc>
          <w:tcPr>
            <w:tcW w:w="10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F660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006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807</w:t>
            </w:r>
          </w:p>
        </w:tc>
        <w:tc>
          <w:tcPr>
            <w:tcW w:w="20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A8E3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</w:t>
            </w:r>
          </w:p>
        </w:tc>
      </w:tr>
    </w:tbl>
    <w:p w14:paraId="448E4991">
      <w:pPr>
        <w:spacing w:beforeAutospacing="0"/>
        <w:jc w:val="both"/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>Abbreviations: AF, atrial fibrillation; CHD, coronary heart disease; CVD, cardiovascular disease; HF, heart failure; PAD, peripheral artery disease; TyG–MLI, triglyceride–glucose</w:t>
      </w:r>
      <w:r>
        <w:rPr>
          <w:rFonts w:hint="eastAsia" w:ascii="Times New Roman" w:hAnsi="Times New Roman" w:cs="Times New Roman"/>
          <w:i w:val="0"/>
          <w:iCs w:val="0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>muscle-loss index.</w:t>
      </w:r>
    </w:p>
    <w:p w14:paraId="1697063C">
      <w:pPr>
        <w:spacing w:beforeAutospacing="0"/>
        <w:jc w:val="both"/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</w:pPr>
    </w:p>
    <w:p w14:paraId="1183AE67">
      <w:pPr>
        <w:spacing w:beforeAutospacing="0"/>
        <w:jc w:val="both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S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7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.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 xml:space="preserve">Joint associations of TyG 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 xml:space="preserve">index 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and MLI with incident CVD</w:t>
      </w:r>
    </w:p>
    <w:p w14:paraId="76F66CE3">
      <w:pPr>
        <w:spacing w:beforeAutospacing="0"/>
        <w:jc w:val="both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</w:pPr>
    </w:p>
    <w:tbl>
      <w:tblPr>
        <w:tblStyle w:val="4"/>
        <w:tblpPr w:leftFromText="180" w:rightFromText="180" w:vertAnchor="text" w:horzAnchor="page" w:tblpX="1515" w:tblpY="110"/>
        <w:tblOverlap w:val="never"/>
        <w:tblW w:w="4998" w:type="pct"/>
        <w:jc w:val="center"/>
        <w:tblBorders>
          <w:top w:val="single" w:color="000000" w:themeColor="text1" w:sz="8" w:space="0"/>
          <w:left w:val="none" w:color="auto" w:sz="0" w:space="0"/>
          <w:bottom w:val="single" w:color="000000" w:themeColor="text1" w:sz="8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3"/>
        <w:gridCol w:w="3344"/>
        <w:gridCol w:w="1741"/>
      </w:tblGrid>
      <w:tr w14:paraId="314447AB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247" w:type="pct"/>
            <w:tcBorders>
              <w:bottom w:val="single" w:color="000000" w:themeColor="text1" w:sz="8" w:space="0"/>
            </w:tcBorders>
            <w:shd w:val="clear" w:color="auto" w:fill="auto"/>
            <w:vAlign w:val="center"/>
          </w:tcPr>
          <w:p w14:paraId="10437CC4">
            <w:pPr>
              <w:keepNext w:val="0"/>
              <w:keepLines w:val="0"/>
              <w:widowControl/>
              <w:suppressLineNumbers w:val="0"/>
              <w:spacing w:beforeAutospacing="0"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TyG–MLI category</w:t>
            </w:r>
          </w:p>
        </w:tc>
        <w:tc>
          <w:tcPr>
            <w:tcW w:w="1809" w:type="pct"/>
            <w:tcBorders>
              <w:bottom w:val="single" w:color="000000" w:themeColor="text1" w:sz="8" w:space="0"/>
            </w:tcBorders>
            <w:shd w:val="clear" w:color="auto" w:fill="auto"/>
            <w:vAlign w:val="center"/>
          </w:tcPr>
          <w:p w14:paraId="7A6E260C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Adjusted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HR (95% CI)</w:t>
            </w:r>
          </w:p>
        </w:tc>
        <w:tc>
          <w:tcPr>
            <w:tcW w:w="942" w:type="pct"/>
            <w:tcBorders>
              <w:bottom w:val="single" w:color="000000" w:themeColor="text1" w:sz="8" w:space="0"/>
            </w:tcBorders>
            <w:shd w:val="clear" w:color="auto" w:fill="auto"/>
            <w:vAlign w:val="center"/>
          </w:tcPr>
          <w:p w14:paraId="6F6B3A7C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value</w:t>
            </w:r>
          </w:p>
        </w:tc>
      </w:tr>
      <w:tr w14:paraId="654EFC82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247" w:type="pct"/>
            <w:tcBorders>
              <w:top w:val="single" w:color="000000" w:themeColor="text1" w:sz="8" w:space="0"/>
              <w:tl2br w:val="nil"/>
              <w:tr2bl w:val="nil"/>
            </w:tcBorders>
            <w:shd w:val="clear" w:color="auto" w:fill="auto"/>
            <w:vAlign w:val="center"/>
          </w:tcPr>
          <w:p w14:paraId="4FDB61E4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Low TyG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index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+ Low MLI</w:t>
            </w:r>
          </w:p>
        </w:tc>
        <w:tc>
          <w:tcPr>
            <w:tcW w:w="1809" w:type="pct"/>
            <w:tcBorders>
              <w:top w:val="single" w:color="000000" w:themeColor="text1" w:sz="8" w:space="0"/>
              <w:tl2br w:val="nil"/>
              <w:tr2bl w:val="nil"/>
            </w:tcBorders>
            <w:shd w:val="clear" w:color="auto" w:fill="auto"/>
            <w:vAlign w:val="center"/>
          </w:tcPr>
          <w:p w14:paraId="6B782CC6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1.00 (Reference)</w:t>
            </w:r>
          </w:p>
        </w:tc>
        <w:tc>
          <w:tcPr>
            <w:tcW w:w="942" w:type="pct"/>
            <w:tcBorders>
              <w:top w:val="single" w:color="000000" w:themeColor="text1" w:sz="8" w:space="0"/>
              <w:tl2br w:val="nil"/>
              <w:tr2bl w:val="nil"/>
            </w:tcBorders>
            <w:shd w:val="clear" w:color="auto" w:fill="auto"/>
            <w:vAlign w:val="center"/>
          </w:tcPr>
          <w:p w14:paraId="0E584BB8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</w:tr>
      <w:tr w14:paraId="6A48836C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2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6B089B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High TyG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index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+ Low MLI</w:t>
            </w:r>
          </w:p>
        </w:tc>
        <w:tc>
          <w:tcPr>
            <w:tcW w:w="18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B9E995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1.12 (1.09 – 1.15)</w:t>
            </w:r>
          </w:p>
        </w:tc>
        <w:tc>
          <w:tcPr>
            <w:tcW w:w="94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F9441D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4E7DD93B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2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EC6A05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Low TyG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index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+ High MLI</w:t>
            </w:r>
          </w:p>
        </w:tc>
        <w:tc>
          <w:tcPr>
            <w:tcW w:w="18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A09DBD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1.23 (1.19 – 1.27)</w:t>
            </w:r>
          </w:p>
        </w:tc>
        <w:tc>
          <w:tcPr>
            <w:tcW w:w="94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3672E7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12F1FBDF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2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16E679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High TyG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index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+ High MLI</w:t>
            </w:r>
          </w:p>
        </w:tc>
        <w:tc>
          <w:tcPr>
            <w:tcW w:w="18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1083D4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1.33 (1.29 – 1.37)</w:t>
            </w:r>
          </w:p>
        </w:tc>
        <w:tc>
          <w:tcPr>
            <w:tcW w:w="94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21DFC9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</w:tbl>
    <w:p w14:paraId="01C8137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center"/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  <w:t>Model adjusted for age, sex, ethnicity, education, Townsend deprivation index, smoking status, alcohol intake, dietary score, sleep duration, physical activity, hypertension, diabetes, and low-density lipoprotein cholesterol.</w:t>
      </w:r>
    </w:p>
    <w:p w14:paraId="6D0B431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center"/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  <w:t>Abbreviations:</w:t>
      </w: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  <w:t>CI, confidence interval;</w:t>
      </w: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  <w:t>CVD, cardiovascular disease;</w:t>
      </w: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  <w:t>HR, hazard ratio;</w:t>
      </w: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  <w:t>MLI, muscle-loss index;</w:t>
      </w: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  <w:t>TyG, triglyceride–glucose.</w:t>
      </w:r>
    </w:p>
    <w:p w14:paraId="7228576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center"/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</w:pPr>
    </w:p>
    <w:p w14:paraId="185F9302">
      <w:pPr>
        <w:spacing w:beforeAutospacing="0"/>
        <w:jc w:val="left"/>
        <w:rPr>
          <w:rFonts w:hint="eastAsia" w:ascii="Times New Roman" w:hAnsi="Times New Roman" w:eastAsia="宋体" w:cs="Times New Roman"/>
          <w:b/>
          <w:bCs/>
          <w:i w:val="0"/>
          <w:iCs w:val="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S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8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.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kern w:val="0"/>
          <w:sz w:val="24"/>
          <w:szCs w:val="24"/>
          <w:lang w:val="en-US" w:eastAsia="zh-CN" w:bidi="ar"/>
        </w:rPr>
        <w:t>Discriminative ability of TyG index and TyG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kern w:val="0"/>
          <w:sz w:val="24"/>
          <w:szCs w:val="24"/>
          <w:lang w:val="en-US" w:eastAsia="zh-CN" w:bidi="ar"/>
        </w:rPr>
        <w:t>–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kern w:val="0"/>
          <w:sz w:val="24"/>
          <w:szCs w:val="24"/>
          <w:lang w:val="en-US" w:eastAsia="zh-CN" w:bidi="ar"/>
        </w:rPr>
        <w:t>MLI for incident CVD in the overall cohort and across BMI categories</w:t>
      </w:r>
    </w:p>
    <w:p w14:paraId="7F500C14">
      <w:pPr>
        <w:spacing w:beforeAutospacing="0"/>
        <w:jc w:val="left"/>
        <w:rPr>
          <w:rFonts w:hint="eastAsia" w:ascii="Times New Roman" w:hAnsi="Times New Roman" w:eastAsia="宋体" w:cs="Times New Roman"/>
          <w:b/>
          <w:bCs/>
          <w:i w:val="0"/>
          <w:iCs w:val="0"/>
          <w:kern w:val="0"/>
          <w:sz w:val="24"/>
          <w:szCs w:val="24"/>
          <w:lang w:val="en-US" w:eastAsia="zh-CN" w:bidi="ar"/>
        </w:rPr>
      </w:pPr>
    </w:p>
    <w:tbl>
      <w:tblPr>
        <w:tblStyle w:val="4"/>
        <w:tblpPr w:leftFromText="180" w:rightFromText="180" w:vertAnchor="text" w:horzAnchor="page" w:tblpX="1518" w:tblpY="65"/>
        <w:tblOverlap w:val="never"/>
        <w:tblW w:w="4996" w:type="pct"/>
        <w:tblInd w:w="0" w:type="dxa"/>
        <w:tblBorders>
          <w:top w:val="single" w:color="000000" w:themeColor="text1" w:sz="8" w:space="0"/>
          <w:left w:val="none" w:color="auto" w:sz="0" w:space="0"/>
          <w:bottom w:val="single" w:color="000000" w:themeColor="text1" w:sz="8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1997"/>
        <w:gridCol w:w="1997"/>
        <w:gridCol w:w="1997"/>
        <w:gridCol w:w="2004"/>
      </w:tblGrid>
      <w:tr w14:paraId="37E2CAF8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71" w:type="pct"/>
            <w:vMerge w:val="restart"/>
            <w:shd w:val="clear" w:color="auto" w:fill="auto"/>
            <w:vAlign w:val="center"/>
          </w:tcPr>
          <w:p w14:paraId="2E537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b/>
                <w:bCs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kern w:val="0"/>
                <w:sz w:val="16"/>
                <w:szCs w:val="16"/>
                <w:lang w:val="en-US" w:eastAsia="zh-CN" w:bidi="ar"/>
              </w:rPr>
              <w:t>Group</w:t>
            </w:r>
          </w:p>
        </w:tc>
        <w:tc>
          <w:tcPr>
            <w:tcW w:w="4328" w:type="pct"/>
            <w:gridSpan w:val="4"/>
            <w:tcBorders>
              <w:bottom w:val="nil"/>
            </w:tcBorders>
            <w:shd w:val="clear" w:color="auto" w:fill="auto"/>
            <w:vAlign w:val="center"/>
          </w:tcPr>
          <w:p w14:paraId="2300C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b/>
                <w:bCs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kern w:val="0"/>
                <w:sz w:val="16"/>
                <w:szCs w:val="16"/>
                <w:lang w:val="en-US" w:eastAsia="zh-CN" w:bidi="ar"/>
              </w:rPr>
              <w:t>AUC (95% CI)</w:t>
            </w:r>
          </w:p>
        </w:tc>
      </w:tr>
      <w:tr w14:paraId="37E4FA0C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671" w:type="pct"/>
            <w:vMerge w:val="continue"/>
            <w:tcBorders>
              <w:bottom w:val="single" w:color="000000" w:themeColor="text1" w:sz="8" w:space="0"/>
            </w:tcBorders>
            <w:shd w:val="clear" w:color="auto" w:fill="auto"/>
            <w:vAlign w:val="center"/>
          </w:tcPr>
          <w:p w14:paraId="1B8B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b/>
                <w:bCs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081" w:type="pct"/>
            <w:tcBorders>
              <w:top w:val="nil"/>
              <w:bottom w:val="single" w:color="000000" w:themeColor="text1" w:sz="8" w:space="0"/>
            </w:tcBorders>
            <w:shd w:val="clear" w:color="auto" w:fill="auto"/>
            <w:vAlign w:val="center"/>
          </w:tcPr>
          <w:p w14:paraId="0A4BB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b/>
                <w:bCs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kern w:val="0"/>
                <w:sz w:val="16"/>
                <w:szCs w:val="16"/>
                <w:lang w:val="en-US" w:eastAsia="zh-CN" w:bidi="ar"/>
              </w:rPr>
              <w:t xml:space="preserve">TyG </w:t>
            </w:r>
          </w:p>
        </w:tc>
        <w:tc>
          <w:tcPr>
            <w:tcW w:w="1081" w:type="pct"/>
            <w:tcBorders>
              <w:top w:val="nil"/>
              <w:bottom w:val="single" w:color="000000" w:themeColor="text1" w:sz="8" w:space="0"/>
            </w:tcBorders>
            <w:shd w:val="clear" w:color="auto" w:fill="auto"/>
            <w:vAlign w:val="center"/>
          </w:tcPr>
          <w:p w14:paraId="28442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b/>
                <w:bCs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kern w:val="0"/>
                <w:sz w:val="16"/>
                <w:szCs w:val="16"/>
                <w:lang w:val="en-US" w:eastAsia="zh-CN" w:bidi="ar"/>
              </w:rPr>
              <w:t>TyG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cs="Times New Roman" w:eastAsiaTheme="minorEastAsia"/>
                <w:b/>
                <w:bCs/>
                <w:kern w:val="0"/>
                <w:sz w:val="16"/>
                <w:szCs w:val="16"/>
                <w:lang w:val="en-US" w:eastAsia="zh-CN" w:bidi="ar"/>
              </w:rPr>
              <w:t xml:space="preserve">MLI </w:t>
            </w:r>
          </w:p>
        </w:tc>
        <w:tc>
          <w:tcPr>
            <w:tcW w:w="1081" w:type="pct"/>
            <w:tcBorders>
              <w:top w:val="nil"/>
              <w:bottom w:val="single" w:color="000000" w:themeColor="text1" w:sz="8" w:space="0"/>
            </w:tcBorders>
            <w:shd w:val="clear" w:color="auto" w:fill="auto"/>
            <w:vAlign w:val="center"/>
          </w:tcPr>
          <w:p w14:paraId="03870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b/>
                <w:bCs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kern w:val="0"/>
                <w:sz w:val="16"/>
                <w:szCs w:val="16"/>
                <w:lang w:val="en-US" w:eastAsia="zh-CN" w:bidi="ar"/>
              </w:rPr>
              <w:t xml:space="preserve">PREVENT+TyG </w:t>
            </w:r>
          </w:p>
        </w:tc>
        <w:tc>
          <w:tcPr>
            <w:tcW w:w="1085" w:type="pct"/>
            <w:tcBorders>
              <w:top w:val="nil"/>
              <w:bottom w:val="single" w:color="000000" w:themeColor="text1" w:sz="8" w:space="0"/>
            </w:tcBorders>
            <w:shd w:val="clear" w:color="auto" w:fill="auto"/>
            <w:vAlign w:val="center"/>
          </w:tcPr>
          <w:p w14:paraId="64680D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b/>
                <w:bCs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kern w:val="0"/>
                <w:sz w:val="16"/>
                <w:szCs w:val="16"/>
                <w:lang w:val="en-US" w:eastAsia="zh-CN" w:bidi="ar"/>
              </w:rPr>
              <w:t>PREVENT+TyG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kern w:val="0"/>
                <w:sz w:val="16"/>
                <w:szCs w:val="16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cs="Times New Roman" w:eastAsiaTheme="minorEastAsia"/>
                <w:b/>
                <w:bCs/>
                <w:kern w:val="0"/>
                <w:sz w:val="16"/>
                <w:szCs w:val="16"/>
                <w:lang w:val="en-US" w:eastAsia="zh-CN" w:bidi="ar"/>
              </w:rPr>
              <w:t xml:space="preserve">MLI </w:t>
            </w:r>
          </w:p>
        </w:tc>
      </w:tr>
      <w:tr w14:paraId="64C38E3C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71" w:type="pct"/>
            <w:tcBorders>
              <w:top w:val="single" w:color="000000" w:themeColor="text1" w:sz="8" w:space="0"/>
              <w:tl2br w:val="nil"/>
              <w:tr2bl w:val="nil"/>
            </w:tcBorders>
            <w:shd w:val="clear" w:color="auto" w:fill="auto"/>
            <w:vAlign w:val="center"/>
          </w:tcPr>
          <w:p w14:paraId="7E3B4A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Overall</w:t>
            </w:r>
          </w:p>
        </w:tc>
        <w:tc>
          <w:tcPr>
            <w:tcW w:w="1081" w:type="pct"/>
            <w:tcBorders>
              <w:top w:val="single" w:color="000000" w:themeColor="text1" w:sz="8" w:space="0"/>
              <w:tl2br w:val="nil"/>
              <w:tr2bl w:val="nil"/>
            </w:tcBorders>
            <w:shd w:val="clear" w:color="auto" w:fill="auto"/>
            <w:vAlign w:val="center"/>
          </w:tcPr>
          <w:p w14:paraId="67FF1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0.583 (0.580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0.586)</w:t>
            </w:r>
          </w:p>
        </w:tc>
        <w:tc>
          <w:tcPr>
            <w:tcW w:w="1081" w:type="pct"/>
            <w:tcBorders>
              <w:top w:val="single" w:color="000000" w:themeColor="text1" w:sz="8" w:space="0"/>
              <w:tl2br w:val="nil"/>
              <w:tr2bl w:val="nil"/>
            </w:tcBorders>
            <w:shd w:val="clear" w:color="auto" w:fill="auto"/>
            <w:vAlign w:val="center"/>
          </w:tcPr>
          <w:p w14:paraId="279F30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0.565 (0.561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0.568)</w:t>
            </w:r>
            <w:r>
              <w:rPr>
                <w:rFonts w:hint="eastAsia" w:ascii="Times New Roman" w:hAnsi="Times New Roman" w:cs="Times New Roman"/>
                <w:kern w:val="0"/>
                <w:sz w:val="16"/>
                <w:szCs w:val="16"/>
                <w:lang w:val="en-US" w:eastAsia="zh-CN" w:bidi="ar"/>
              </w:rPr>
              <w:t>*</w:t>
            </w:r>
          </w:p>
        </w:tc>
        <w:tc>
          <w:tcPr>
            <w:tcW w:w="1081" w:type="pct"/>
            <w:tcBorders>
              <w:top w:val="single" w:color="000000" w:themeColor="text1" w:sz="8" w:space="0"/>
              <w:tl2br w:val="nil"/>
              <w:tr2bl w:val="nil"/>
            </w:tcBorders>
            <w:shd w:val="clear" w:color="auto" w:fill="auto"/>
            <w:vAlign w:val="center"/>
          </w:tcPr>
          <w:p w14:paraId="32E83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0.728 (0.725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0.730)</w:t>
            </w:r>
          </w:p>
        </w:tc>
        <w:tc>
          <w:tcPr>
            <w:tcW w:w="1085" w:type="pct"/>
            <w:tcBorders>
              <w:top w:val="single" w:color="000000" w:themeColor="text1" w:sz="8" w:space="0"/>
              <w:tl2br w:val="nil"/>
              <w:tr2bl w:val="nil"/>
            </w:tcBorders>
            <w:shd w:val="clear" w:color="auto" w:fill="auto"/>
            <w:vAlign w:val="center"/>
          </w:tcPr>
          <w:p w14:paraId="329532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0.721 (0.719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0.724)</w:t>
            </w:r>
            <w:r>
              <w:rPr>
                <w:rFonts w:hint="eastAsia" w:ascii="Times New Roman" w:hAnsi="Times New Roman" w:cs="Times New Roman"/>
                <w:kern w:val="0"/>
                <w:sz w:val="16"/>
                <w:szCs w:val="16"/>
                <w:lang w:val="en-US" w:eastAsia="zh-CN" w:bidi="ar"/>
              </w:rPr>
              <w:t>**</w:t>
            </w:r>
          </w:p>
        </w:tc>
      </w:tr>
      <w:tr w14:paraId="2119E4D2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7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6E1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Underweight</w:t>
            </w:r>
          </w:p>
        </w:tc>
        <w:tc>
          <w:tcPr>
            <w:tcW w:w="10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A49C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0.560 (0.514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0.606)</w:t>
            </w:r>
          </w:p>
        </w:tc>
        <w:tc>
          <w:tcPr>
            <w:tcW w:w="10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BB2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0.637 (0.593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0.682)</w:t>
            </w:r>
            <w:r>
              <w:rPr>
                <w:rFonts w:hint="eastAsia" w:ascii="Times New Roman" w:hAnsi="Times New Roman" w:cs="Times New Roman"/>
                <w:kern w:val="0"/>
                <w:sz w:val="16"/>
                <w:szCs w:val="16"/>
                <w:lang w:val="en-US" w:eastAsia="zh-CN" w:bidi="ar"/>
              </w:rPr>
              <w:t>*</w:t>
            </w:r>
          </w:p>
        </w:tc>
        <w:tc>
          <w:tcPr>
            <w:tcW w:w="10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8DF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0.740</w:t>
            </w:r>
            <w:r>
              <w:rPr>
                <w:rFonts w:hint="eastAsia" w:ascii="Times New Roman" w:hAnsi="Times New Roman" w:cs="Times New Roman"/>
                <w:kern w:val="0"/>
                <w:sz w:val="16"/>
                <w:szCs w:val="16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(0.699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0.780)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B9F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0.758 (0.720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0.796)</w:t>
            </w:r>
            <w:r>
              <w:rPr>
                <w:rFonts w:hint="eastAsia" w:ascii="Times New Roman" w:hAnsi="Times New Roman" w:cs="Times New Roman"/>
                <w:kern w:val="0"/>
                <w:sz w:val="16"/>
                <w:szCs w:val="16"/>
                <w:lang w:val="en-US" w:eastAsia="zh-CN" w:bidi="ar"/>
              </w:rPr>
              <w:t>**</w:t>
            </w:r>
          </w:p>
        </w:tc>
      </w:tr>
      <w:tr w14:paraId="5BC30EB4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7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4A4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Normal</w:t>
            </w:r>
          </w:p>
        </w:tc>
        <w:tc>
          <w:tcPr>
            <w:tcW w:w="10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4E7F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0.575 (0.567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0.582)</w:t>
            </w:r>
          </w:p>
        </w:tc>
        <w:tc>
          <w:tcPr>
            <w:tcW w:w="10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C7D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0.575 (0.567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0.582)</w:t>
            </w:r>
          </w:p>
        </w:tc>
        <w:tc>
          <w:tcPr>
            <w:tcW w:w="10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F7E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0.739 (0.733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0.745)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2462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0.745 (0.739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0.751)</w:t>
            </w:r>
            <w:r>
              <w:rPr>
                <w:rFonts w:hint="eastAsia" w:ascii="Times New Roman" w:hAnsi="Times New Roman" w:cs="Times New Roman"/>
                <w:kern w:val="0"/>
                <w:sz w:val="16"/>
                <w:szCs w:val="16"/>
                <w:lang w:val="en-US" w:eastAsia="zh-CN" w:bidi="ar"/>
              </w:rPr>
              <w:t>**</w:t>
            </w:r>
          </w:p>
        </w:tc>
      </w:tr>
      <w:tr w14:paraId="22D42169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7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EBD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Overweight</w:t>
            </w:r>
          </w:p>
        </w:tc>
        <w:tc>
          <w:tcPr>
            <w:tcW w:w="10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21E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0.563 (0.560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0.567)</w:t>
            </w:r>
          </w:p>
        </w:tc>
        <w:tc>
          <w:tcPr>
            <w:tcW w:w="10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F3F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0.554 (0.551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0.558)</w:t>
            </w:r>
            <w:r>
              <w:rPr>
                <w:rFonts w:hint="eastAsia" w:ascii="Times New Roman" w:hAnsi="Times New Roman" w:cs="Times New Roman"/>
                <w:kern w:val="0"/>
                <w:sz w:val="16"/>
                <w:szCs w:val="16"/>
                <w:lang w:val="en-US" w:eastAsia="zh-CN" w:bidi="ar"/>
              </w:rPr>
              <w:t>*</w:t>
            </w:r>
          </w:p>
        </w:tc>
        <w:tc>
          <w:tcPr>
            <w:tcW w:w="10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6FBC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0.711 (0.708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0.714)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AB3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0.714 (0.711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16"/>
                <w:szCs w:val="16"/>
                <w:lang w:val="en-US" w:eastAsia="zh-CN" w:bidi="ar"/>
              </w:rPr>
              <w:t>0.717)</w:t>
            </w:r>
            <w:r>
              <w:rPr>
                <w:rFonts w:hint="eastAsia" w:ascii="Times New Roman" w:hAnsi="Times New Roman" w:cs="Times New Roman"/>
                <w:kern w:val="0"/>
                <w:sz w:val="16"/>
                <w:szCs w:val="16"/>
                <w:lang w:val="en-US" w:eastAsia="zh-CN" w:bidi="ar"/>
              </w:rPr>
              <w:t>**</w:t>
            </w:r>
          </w:p>
        </w:tc>
      </w:tr>
    </w:tbl>
    <w:p w14:paraId="0B5DD205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jc w:val="both"/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>AUC with 95% CIs was estimated for</w:t>
      </w:r>
      <w:r>
        <w:rPr>
          <w:rFonts w:hint="eastAsia" w:ascii="Times New Roman" w:hAnsi="Times New Roman" w:cs="Times New Roman"/>
          <w:i w:val="0"/>
          <w:iCs w:val="0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>TyG</w:t>
      </w:r>
      <w:r>
        <w:rPr>
          <w:rFonts w:hint="eastAsia" w:ascii="Times New Roman" w:hAnsi="Times New Roman" w:cs="Times New Roman"/>
          <w:i w:val="0"/>
          <w:iCs w:val="0"/>
          <w:kern w:val="0"/>
          <w:sz w:val="16"/>
          <w:szCs w:val="16"/>
          <w:lang w:val="en-US" w:eastAsia="zh-CN" w:bidi="ar"/>
        </w:rPr>
        <w:t xml:space="preserve"> index</w:t>
      </w:r>
      <w:r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>, TyG–MLI, the PREVENT model plus</w:t>
      </w:r>
      <w:r>
        <w:rPr>
          <w:rFonts w:hint="eastAsia" w:ascii="Times New Roman" w:hAnsi="Times New Roman" w:cs="Times New Roman"/>
          <w:i w:val="0"/>
          <w:iCs w:val="0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>TyG</w:t>
      </w:r>
      <w:r>
        <w:rPr>
          <w:rFonts w:hint="eastAsia" w:ascii="Times New Roman" w:hAnsi="Times New Roman" w:cs="Times New Roman"/>
          <w:i w:val="0"/>
          <w:iCs w:val="0"/>
          <w:kern w:val="0"/>
          <w:sz w:val="16"/>
          <w:szCs w:val="16"/>
          <w:lang w:val="en-US" w:eastAsia="zh-CN" w:bidi="ar"/>
        </w:rPr>
        <w:t xml:space="preserve"> index</w:t>
      </w:r>
      <w:r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>, and the PREVENT model plus TyG–MLI, overall and stratified by BMI categories (underweight, normal</w:t>
      </w:r>
      <w:r>
        <w:rPr>
          <w:rFonts w:hint="eastAsia" w:ascii="Times New Roman" w:hAnsi="Times New Roman" w:cs="Times New Roman"/>
          <w:i w:val="0"/>
          <w:iCs w:val="0"/>
          <w:kern w:val="0"/>
          <w:sz w:val="16"/>
          <w:szCs w:val="16"/>
          <w:lang w:val="en-US" w:eastAsia="zh-CN" w:bidi="ar"/>
        </w:rPr>
        <w:t xml:space="preserve">, </w:t>
      </w:r>
      <w:r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>and overweigh). Comparisons of AUCs were performed using DeLong’s test. *indicates significant difference compared with TyG</w:t>
      </w:r>
      <w:r>
        <w:rPr>
          <w:rFonts w:hint="eastAsia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 xml:space="preserve"> index</w:t>
      </w:r>
      <w:r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>; **indicates significant difference compared with PREVENT+TyG</w:t>
      </w:r>
      <w:r>
        <w:rPr>
          <w:rFonts w:hint="eastAsia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 xml:space="preserve"> index</w:t>
      </w:r>
      <w:r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>.</w:t>
      </w:r>
      <w:r>
        <w:rPr>
          <w:rFonts w:hint="eastAsia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>TyG–MLI was incorporated into the PREVENT model as a grouped categorical variable (quartiles), consistent with the nonlinear association observed in spline analyses.</w:t>
      </w:r>
    </w:p>
    <w:p w14:paraId="06B3924B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jc w:val="both"/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>Abbreviations: AUC, area under the curve; BMI, body mass index; CI, confidence interval</w:t>
      </w:r>
      <w:r>
        <w:rPr>
          <w:rFonts w:hint="eastAsia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 xml:space="preserve">; </w:t>
      </w:r>
      <w:r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>TyG, triglyceride–glucose; TyG–MLI, triglyceride–glucose</w:t>
      </w:r>
      <w:r>
        <w:rPr>
          <w:rFonts w:hint="eastAsia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>muscle-loss index.</w:t>
      </w:r>
    </w:p>
    <w:p w14:paraId="7479EA4B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jc w:val="both"/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</w:pPr>
    </w:p>
    <w:p w14:paraId="3130FA9A">
      <w:pPr>
        <w:spacing w:beforeAutospacing="0"/>
        <w:jc w:val="both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S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9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.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 xml:space="preserve"> Association of TyG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–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 xml:space="preserve">MLI with incident CVD in competing risk analysis </w:t>
      </w:r>
    </w:p>
    <w:tbl>
      <w:tblPr>
        <w:tblStyle w:val="5"/>
        <w:tblpPr w:leftFromText="180" w:rightFromText="180" w:vertAnchor="text" w:horzAnchor="page" w:tblpX="1418" w:tblpY="207"/>
        <w:tblOverlap w:val="never"/>
        <w:tblW w:w="4998" w:type="pct"/>
        <w:jc w:val="center"/>
        <w:tblBorders>
          <w:top w:val="single" w:color="000000" w:themeColor="text1" w:sz="8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9"/>
        <w:gridCol w:w="1585"/>
        <w:gridCol w:w="884"/>
        <w:gridCol w:w="1586"/>
        <w:gridCol w:w="884"/>
        <w:gridCol w:w="1586"/>
        <w:gridCol w:w="884"/>
      </w:tblGrid>
      <w:tr w14:paraId="3CCA0728">
        <w:tblPrEx>
          <w:tblBorders>
            <w:top w:val="single" w:color="000000" w:themeColor="text1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0" w:type="pct"/>
            <w:vMerge w:val="restart"/>
            <w:vAlign w:val="top"/>
          </w:tcPr>
          <w:p w14:paraId="48635E4D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336" w:type="pct"/>
            <w:gridSpan w:val="2"/>
            <w:vAlign w:val="top"/>
          </w:tcPr>
          <w:p w14:paraId="4EFFF440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Model 1</w:t>
            </w:r>
          </w:p>
        </w:tc>
        <w:tc>
          <w:tcPr>
            <w:tcW w:w="1336" w:type="pct"/>
            <w:gridSpan w:val="2"/>
            <w:vAlign w:val="top"/>
          </w:tcPr>
          <w:p w14:paraId="7E03B97F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Model 2</w:t>
            </w:r>
          </w:p>
        </w:tc>
        <w:tc>
          <w:tcPr>
            <w:tcW w:w="1336" w:type="pct"/>
            <w:gridSpan w:val="2"/>
            <w:vAlign w:val="top"/>
          </w:tcPr>
          <w:p w14:paraId="32F24E66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Model 3</w:t>
            </w:r>
          </w:p>
        </w:tc>
      </w:tr>
      <w:tr w14:paraId="3ADB5ABE">
        <w:tblPrEx>
          <w:tblBorders>
            <w:top w:val="single" w:color="000000" w:themeColor="text1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0" w:type="pct"/>
            <w:vMerge w:val="continue"/>
            <w:tcBorders>
              <w:bottom w:val="single" w:color="000000" w:themeColor="text1" w:sz="8" w:space="0"/>
            </w:tcBorders>
            <w:vAlign w:val="top"/>
          </w:tcPr>
          <w:p w14:paraId="5EA42519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58" w:type="pct"/>
            <w:tcBorders>
              <w:bottom w:val="single" w:color="000000" w:themeColor="text1" w:sz="8" w:space="0"/>
            </w:tcBorders>
            <w:vAlign w:val="top"/>
          </w:tcPr>
          <w:p w14:paraId="1827DFA8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HR (95%CI)</w:t>
            </w:r>
          </w:p>
        </w:tc>
        <w:tc>
          <w:tcPr>
            <w:tcW w:w="478" w:type="pct"/>
            <w:tcBorders>
              <w:bottom w:val="single" w:color="000000" w:themeColor="text1" w:sz="8" w:space="0"/>
            </w:tcBorders>
            <w:vAlign w:val="top"/>
          </w:tcPr>
          <w:p w14:paraId="7E596445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16"/>
                <w:szCs w:val="16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-value</w:t>
            </w:r>
          </w:p>
        </w:tc>
        <w:tc>
          <w:tcPr>
            <w:tcW w:w="858" w:type="pct"/>
            <w:tcBorders>
              <w:bottom w:val="single" w:color="000000" w:themeColor="text1" w:sz="8" w:space="0"/>
            </w:tcBorders>
            <w:vAlign w:val="top"/>
          </w:tcPr>
          <w:p w14:paraId="7765DC9B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HR (95%CI)</w:t>
            </w:r>
          </w:p>
        </w:tc>
        <w:tc>
          <w:tcPr>
            <w:tcW w:w="478" w:type="pct"/>
            <w:tcBorders>
              <w:bottom w:val="single" w:color="000000" w:themeColor="text1" w:sz="8" w:space="0"/>
            </w:tcBorders>
            <w:vAlign w:val="top"/>
          </w:tcPr>
          <w:p w14:paraId="1FBD2BA5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16"/>
                <w:szCs w:val="16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-value</w:t>
            </w:r>
          </w:p>
        </w:tc>
        <w:tc>
          <w:tcPr>
            <w:tcW w:w="858" w:type="pct"/>
            <w:tcBorders>
              <w:bottom w:val="single" w:color="000000" w:themeColor="text1" w:sz="8" w:space="0"/>
            </w:tcBorders>
            <w:vAlign w:val="top"/>
          </w:tcPr>
          <w:p w14:paraId="4D8C9F91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HR (95%CI)</w:t>
            </w:r>
          </w:p>
        </w:tc>
        <w:tc>
          <w:tcPr>
            <w:tcW w:w="478" w:type="pct"/>
            <w:tcBorders>
              <w:bottom w:val="single" w:color="000000" w:themeColor="text1" w:sz="8" w:space="0"/>
            </w:tcBorders>
            <w:vAlign w:val="top"/>
          </w:tcPr>
          <w:p w14:paraId="6207570E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16"/>
                <w:szCs w:val="16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-value</w:t>
            </w:r>
          </w:p>
        </w:tc>
      </w:tr>
      <w:tr w14:paraId="03E225A3">
        <w:tblPrEx>
          <w:tblBorders>
            <w:top w:val="single" w:color="000000" w:themeColor="text1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0" w:type="pct"/>
            <w:tcBorders>
              <w:tl2br w:val="nil"/>
              <w:tr2bl w:val="nil"/>
            </w:tcBorders>
            <w:vAlign w:val="top"/>
          </w:tcPr>
          <w:p w14:paraId="03FF9BA0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TyG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MLI per 1 SD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49DD104C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1.22 (1.2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1.23)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297580F4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0CD5CC20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(1.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20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)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61FBCD27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2E1C7A9B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 xml:space="preserve"> (1.1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)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570F98DD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</w:tr>
      <w:tr w14:paraId="59637FC8">
        <w:tblPrEx>
          <w:tblBorders>
            <w:top w:val="single" w:color="000000" w:themeColor="text1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0" w:type="pct"/>
            <w:tcBorders>
              <w:tl2br w:val="nil"/>
              <w:tr2bl w:val="nil"/>
            </w:tcBorders>
            <w:vAlign w:val="top"/>
          </w:tcPr>
          <w:p w14:paraId="13F99272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TyG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MLI Q1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5454083E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ref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79839D91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ref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197BFB73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ref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17B79B08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ref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7C14FFD6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ref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1C936557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ref</w:t>
            </w:r>
          </w:p>
        </w:tc>
      </w:tr>
      <w:tr w14:paraId="2EE5EEFF">
        <w:tblPrEx>
          <w:tblBorders>
            <w:top w:val="single" w:color="000000" w:themeColor="text1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0" w:type="pct"/>
            <w:tcBorders>
              <w:tl2br w:val="nil"/>
              <w:tr2bl w:val="nil"/>
            </w:tcBorders>
            <w:vAlign w:val="top"/>
          </w:tcPr>
          <w:p w14:paraId="4B4D6EBC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TyG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MLI Q2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18621CF7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19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)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7213AA5E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2152055A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08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)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30591C52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59F7EA22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 xml:space="preserve"> (1.0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)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5E896FA3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</w:tr>
      <w:tr w14:paraId="28C3ED33">
        <w:tblPrEx>
          <w:tblBorders>
            <w:top w:val="single" w:color="000000" w:themeColor="text1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990" w:type="pct"/>
            <w:tcBorders>
              <w:tl2br w:val="nil"/>
              <w:tr2bl w:val="nil"/>
            </w:tcBorders>
            <w:vAlign w:val="top"/>
          </w:tcPr>
          <w:p w14:paraId="32A2A8A9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TyG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MLI Q3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75DE5A5C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 xml:space="preserve"> (1.3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)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5A1E66BC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1C970B29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 xml:space="preserve"> (1.2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28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)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475ABC28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26D96E78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 xml:space="preserve"> (1.1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)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64A454DA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</w:tr>
      <w:tr w14:paraId="5257398D">
        <w:tblPrEx>
          <w:tblBorders>
            <w:top w:val="single" w:color="000000" w:themeColor="text1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0" w:type="pct"/>
            <w:tcBorders>
              <w:tl2br w:val="nil"/>
              <w:tr2bl w:val="nil"/>
            </w:tcBorders>
            <w:vAlign w:val="top"/>
          </w:tcPr>
          <w:p w14:paraId="2DB9DCD4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TyG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MLI Q4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2FE70C4A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74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68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79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)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062EE3B9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69939DE6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63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60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66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)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77F39405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6D6ECE99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48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43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54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)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6122ED5E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</w:tr>
    </w:tbl>
    <w:p w14:paraId="53D991D2">
      <w:pPr>
        <w:pStyle w:val="3"/>
        <w:keepNext w:val="0"/>
        <w:keepLines w:val="0"/>
        <w:widowControl/>
        <w:suppressLineNumbers w:val="0"/>
        <w:spacing w:after="0" w:afterAutospacing="0"/>
        <w:jc w:val="both"/>
        <w:rPr>
          <w:rFonts w:hint="default" w:ascii="Times New Roman" w:hAnsi="Times New Roman" w:cs="Times New Roman" w:eastAsiaTheme="minorEastAsia"/>
          <w:kern w:val="0"/>
          <w:sz w:val="16"/>
          <w:szCs w:val="16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kern w:val="0"/>
          <w:sz w:val="16"/>
          <w:szCs w:val="16"/>
          <w:lang w:val="en-US" w:eastAsia="zh-CN" w:bidi="ar"/>
        </w:rPr>
        <w:t>sHRs and 95% CIs were estimated using Fine–Gray competing risk regression models, treating non-cardiovascular death as a competing event. Model 1 was unadjusted. Model 2 was adjusted for sociodemographic and lifestyle factors, including age, sex, ethnicity, education, Townsend deprivation index, smoking status, alcohol intake, dietary score, sleep duration, and physical activity. Model 3 was further adjusted for clinical risk factors, including hypertension, diabetes, and low-density lipoprotein cholesterol.</w:t>
      </w:r>
    </w:p>
    <w:p w14:paraId="4D968F02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jc w:val="both"/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>Abbreviations: CI, confidence interval; sHR, subdistribution hazard ratio; SD, standard deviation; TyG–MLI, triglyceride–glucose</w:t>
      </w:r>
      <w:r>
        <w:rPr>
          <w:rFonts w:hint="eastAsia" w:ascii="Times New Roman" w:hAnsi="Times New Roman" w:cs="Times New Roman"/>
          <w:i w:val="0"/>
          <w:iCs w:val="0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>muscle-loss index.</w:t>
      </w:r>
    </w:p>
    <w:p w14:paraId="2400AA25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jc w:val="both"/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</w:pPr>
    </w:p>
    <w:p w14:paraId="432CB585">
      <w:pPr>
        <w:spacing w:beforeAutospacing="0"/>
        <w:jc w:val="both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S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10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.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 xml:space="preserve"> Association of TyG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–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MLI with incident CVD in 2-year landmark analysis</w:t>
      </w:r>
    </w:p>
    <w:tbl>
      <w:tblPr>
        <w:tblStyle w:val="5"/>
        <w:tblpPr w:leftFromText="180" w:rightFromText="180" w:vertAnchor="text" w:horzAnchor="page" w:tblpX="1418" w:tblpY="207"/>
        <w:tblOverlap w:val="never"/>
        <w:tblW w:w="4998" w:type="pct"/>
        <w:jc w:val="center"/>
        <w:tblBorders>
          <w:top w:val="single" w:color="000000" w:themeColor="text1" w:sz="8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9"/>
        <w:gridCol w:w="1585"/>
        <w:gridCol w:w="884"/>
        <w:gridCol w:w="1586"/>
        <w:gridCol w:w="884"/>
        <w:gridCol w:w="1586"/>
        <w:gridCol w:w="884"/>
      </w:tblGrid>
      <w:tr w14:paraId="13E69594">
        <w:tblPrEx>
          <w:tblBorders>
            <w:top w:val="single" w:color="000000" w:themeColor="text1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0" w:type="pct"/>
            <w:vMerge w:val="restart"/>
            <w:vAlign w:val="top"/>
          </w:tcPr>
          <w:p w14:paraId="5B156BDB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336" w:type="pct"/>
            <w:gridSpan w:val="2"/>
            <w:vAlign w:val="top"/>
          </w:tcPr>
          <w:p w14:paraId="38D64BC6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Model 1</w:t>
            </w:r>
          </w:p>
        </w:tc>
        <w:tc>
          <w:tcPr>
            <w:tcW w:w="1336" w:type="pct"/>
            <w:gridSpan w:val="2"/>
            <w:vAlign w:val="top"/>
          </w:tcPr>
          <w:p w14:paraId="7C473025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Model 2</w:t>
            </w:r>
          </w:p>
        </w:tc>
        <w:tc>
          <w:tcPr>
            <w:tcW w:w="1336" w:type="pct"/>
            <w:gridSpan w:val="2"/>
            <w:vAlign w:val="top"/>
          </w:tcPr>
          <w:p w14:paraId="63C33A8B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Model 3</w:t>
            </w:r>
          </w:p>
        </w:tc>
      </w:tr>
      <w:tr w14:paraId="4356BF87">
        <w:tblPrEx>
          <w:tblBorders>
            <w:top w:val="single" w:color="000000" w:themeColor="text1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0" w:type="pct"/>
            <w:vMerge w:val="continue"/>
            <w:tcBorders>
              <w:bottom w:val="single" w:color="000000" w:themeColor="text1" w:sz="8" w:space="0"/>
            </w:tcBorders>
            <w:vAlign w:val="top"/>
          </w:tcPr>
          <w:p w14:paraId="64B2800C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58" w:type="pct"/>
            <w:tcBorders>
              <w:bottom w:val="single" w:color="000000" w:themeColor="text1" w:sz="8" w:space="0"/>
            </w:tcBorders>
            <w:vAlign w:val="top"/>
          </w:tcPr>
          <w:p w14:paraId="6EDF6B7C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HR (95%CI)</w:t>
            </w:r>
          </w:p>
        </w:tc>
        <w:tc>
          <w:tcPr>
            <w:tcW w:w="478" w:type="pct"/>
            <w:tcBorders>
              <w:bottom w:val="single" w:color="000000" w:themeColor="text1" w:sz="8" w:space="0"/>
            </w:tcBorders>
            <w:vAlign w:val="top"/>
          </w:tcPr>
          <w:p w14:paraId="7B2D36FA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16"/>
                <w:szCs w:val="16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-value</w:t>
            </w:r>
          </w:p>
        </w:tc>
        <w:tc>
          <w:tcPr>
            <w:tcW w:w="858" w:type="pct"/>
            <w:tcBorders>
              <w:bottom w:val="single" w:color="000000" w:themeColor="text1" w:sz="8" w:space="0"/>
            </w:tcBorders>
            <w:vAlign w:val="top"/>
          </w:tcPr>
          <w:p w14:paraId="3F702C0C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HR (95%CI)</w:t>
            </w:r>
          </w:p>
        </w:tc>
        <w:tc>
          <w:tcPr>
            <w:tcW w:w="478" w:type="pct"/>
            <w:tcBorders>
              <w:bottom w:val="single" w:color="000000" w:themeColor="text1" w:sz="8" w:space="0"/>
            </w:tcBorders>
            <w:vAlign w:val="top"/>
          </w:tcPr>
          <w:p w14:paraId="452B2892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16"/>
                <w:szCs w:val="16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-value</w:t>
            </w:r>
          </w:p>
        </w:tc>
        <w:tc>
          <w:tcPr>
            <w:tcW w:w="858" w:type="pct"/>
            <w:tcBorders>
              <w:bottom w:val="single" w:color="000000" w:themeColor="text1" w:sz="8" w:space="0"/>
            </w:tcBorders>
            <w:vAlign w:val="top"/>
          </w:tcPr>
          <w:p w14:paraId="66A36AC1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HR (95%CI)</w:t>
            </w:r>
          </w:p>
        </w:tc>
        <w:tc>
          <w:tcPr>
            <w:tcW w:w="478" w:type="pct"/>
            <w:tcBorders>
              <w:bottom w:val="single" w:color="000000" w:themeColor="text1" w:sz="8" w:space="0"/>
            </w:tcBorders>
            <w:vAlign w:val="top"/>
          </w:tcPr>
          <w:p w14:paraId="1E66A537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16"/>
                <w:szCs w:val="16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-value</w:t>
            </w:r>
          </w:p>
        </w:tc>
      </w:tr>
      <w:tr w14:paraId="4774ECBC">
        <w:tblPrEx>
          <w:tblBorders>
            <w:top w:val="single" w:color="000000" w:themeColor="text1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0" w:type="pct"/>
            <w:tcBorders>
              <w:tl2br w:val="nil"/>
              <w:tr2bl w:val="nil"/>
            </w:tcBorders>
            <w:vAlign w:val="top"/>
          </w:tcPr>
          <w:p w14:paraId="6A225859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TyG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MLI per 1 SD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4603BFBC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1.22 (1.21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1.23)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6C5E0FB1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6AAD2BDD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1.20 (1.19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1.21)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489E7F12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5B187E36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1.17 (1.1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1.18)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6955FE62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</w:tr>
      <w:tr w14:paraId="67A87F79">
        <w:tblPrEx>
          <w:tblBorders>
            <w:top w:val="single" w:color="000000" w:themeColor="text1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0" w:type="pct"/>
            <w:tcBorders>
              <w:tl2br w:val="nil"/>
              <w:tr2bl w:val="nil"/>
            </w:tcBorders>
            <w:vAlign w:val="top"/>
          </w:tcPr>
          <w:p w14:paraId="38379058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TyG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MLI Q1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4B536BC5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ref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298E1C3E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ref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03EDE5A1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ref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1D61EADB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ref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649A8D1A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ref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326DB56A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ref</w:t>
            </w:r>
          </w:p>
        </w:tc>
      </w:tr>
      <w:tr w14:paraId="41E833E9">
        <w:tblPrEx>
          <w:tblBorders>
            <w:top w:val="single" w:color="000000" w:themeColor="text1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0" w:type="pct"/>
            <w:tcBorders>
              <w:tl2br w:val="nil"/>
              <w:tr2bl w:val="nil"/>
            </w:tcBorders>
            <w:vAlign w:val="top"/>
          </w:tcPr>
          <w:p w14:paraId="4909CF77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TyG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MLI Q2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7D303B1D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1.22 (1.1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)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354F2055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290DA9E0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)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0ED9AD01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2100CA97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 xml:space="preserve"> (1.07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)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17237D87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</w:tr>
      <w:tr w14:paraId="77505107">
        <w:tblPrEx>
          <w:tblBorders>
            <w:top w:val="single" w:color="000000" w:themeColor="text1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990" w:type="pct"/>
            <w:tcBorders>
              <w:tl2br w:val="nil"/>
              <w:tr2bl w:val="nil"/>
            </w:tcBorders>
            <w:vAlign w:val="top"/>
          </w:tcPr>
          <w:p w14:paraId="66422C6B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TyG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MLI Q3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1C9AEAFC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1.37 (1.33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)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3ADF59C7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6F021472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1.25 (1.21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)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46582B2C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626D46B1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 xml:space="preserve"> (1.15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)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5698458B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</w:tr>
      <w:tr w14:paraId="1930BFE1">
        <w:tblPrEx>
          <w:tblBorders>
            <w:top w:val="single" w:color="000000" w:themeColor="text1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0" w:type="pct"/>
            <w:tcBorders>
              <w:tl2br w:val="nil"/>
              <w:tr2bl w:val="nil"/>
            </w:tcBorders>
            <w:vAlign w:val="top"/>
          </w:tcPr>
          <w:p w14:paraId="0F8BB7D3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TyG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MLI Q4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191F8BB2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1.74 (1.69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80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)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6AC34AEF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7E293A5C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1.63 (1.58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)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291E5007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3CC0A0C4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1.48 (1.4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1.53)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3F0355AA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</w:tr>
    </w:tbl>
    <w:p w14:paraId="1BFCA9DF">
      <w:pPr>
        <w:pStyle w:val="3"/>
        <w:keepNext w:val="0"/>
        <w:keepLines w:val="0"/>
        <w:widowControl/>
        <w:suppressLineNumbers w:val="0"/>
        <w:spacing w:after="0" w:afterAutospacing="0"/>
        <w:jc w:val="both"/>
        <w:rPr>
          <w:rFonts w:hint="default" w:ascii="Times New Roman" w:hAnsi="Times New Roman" w:cs="Times New Roman" w:eastAsiaTheme="minorEastAsia"/>
          <w:kern w:val="0"/>
          <w:sz w:val="16"/>
          <w:szCs w:val="16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kern w:val="0"/>
          <w:sz w:val="16"/>
          <w:szCs w:val="16"/>
          <w:lang w:val="en-US" w:eastAsia="zh-CN" w:bidi="ar"/>
        </w:rPr>
        <w:t>HRs and 95% CIs were estimated using Cox proportional hazards models after excluding participants with cardiovascular disease events or death within the first 2 years of follow-up.</w:t>
      </w:r>
      <w:r>
        <w:rPr>
          <w:rFonts w:hint="eastAsia" w:ascii="Times New Roman" w:hAnsi="Times New Roman" w:cs="Times New Roman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kern w:val="0"/>
          <w:sz w:val="16"/>
          <w:szCs w:val="16"/>
          <w:lang w:val="en-US" w:eastAsia="zh-CN" w:bidi="ar"/>
        </w:rPr>
        <w:t>Model 1 was unadjusted. Model 2 was adjusted for sociodemographic and lifestyle factors, including age, sex, ethnicity, education, Townsend deprivation index, smoking status, alcohol intake, dietary score, sleep duration, and physical activity. Model 3 was further adjusted for clinical risk factors, including hypertension, diabetes, and low-density lipoprotein cholesterol.</w:t>
      </w:r>
    </w:p>
    <w:p w14:paraId="56B63677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jc w:val="both"/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>Abbreviations: CI, confidence interval; HR, hazard ratio; SD, standard deviation; TyG–MLI, triglyceride–glucose</w:t>
      </w:r>
      <w:r>
        <w:rPr>
          <w:rFonts w:hint="eastAsia" w:ascii="Times New Roman" w:hAnsi="Times New Roman" w:cs="Times New Roman"/>
          <w:i w:val="0"/>
          <w:iCs w:val="0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>muscle</w:t>
      </w:r>
      <w:r>
        <w:rPr>
          <w:rFonts w:hint="eastAsia" w:ascii="Times New Roman" w:hAnsi="Times New Roman" w:cs="Times New Roman"/>
          <w:i w:val="0"/>
          <w:iCs w:val="0"/>
          <w:kern w:val="0"/>
          <w:sz w:val="16"/>
          <w:szCs w:val="16"/>
          <w:lang w:val="en-US" w:eastAsia="zh-CN" w:bidi="ar"/>
        </w:rPr>
        <w:t>-</w:t>
      </w:r>
      <w:r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>loss index.</w:t>
      </w:r>
    </w:p>
    <w:p w14:paraId="5ACBA700">
      <w:pPr>
        <w:spacing w:beforeAutospacing="0"/>
        <w:jc w:val="both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</w:pPr>
    </w:p>
    <w:p w14:paraId="7A774595">
      <w:pPr>
        <w:spacing w:beforeAutospacing="0"/>
        <w:jc w:val="both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S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11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.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 xml:space="preserve"> Association of TyG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–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MLI with incident cardiovascular disease: sensitivity analysis with multiple imputation</w:t>
      </w:r>
    </w:p>
    <w:tbl>
      <w:tblPr>
        <w:tblStyle w:val="5"/>
        <w:tblpPr w:leftFromText="180" w:rightFromText="180" w:vertAnchor="text" w:horzAnchor="page" w:tblpX="1418" w:tblpY="207"/>
        <w:tblOverlap w:val="never"/>
        <w:tblW w:w="4998" w:type="pct"/>
        <w:jc w:val="center"/>
        <w:tblBorders>
          <w:top w:val="single" w:color="000000" w:themeColor="text1" w:sz="8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9"/>
        <w:gridCol w:w="1585"/>
        <w:gridCol w:w="884"/>
        <w:gridCol w:w="1586"/>
        <w:gridCol w:w="884"/>
        <w:gridCol w:w="1586"/>
        <w:gridCol w:w="884"/>
      </w:tblGrid>
      <w:tr w14:paraId="5AB00D91">
        <w:tblPrEx>
          <w:tblBorders>
            <w:top w:val="single" w:color="000000" w:themeColor="text1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0" w:type="pct"/>
            <w:vMerge w:val="restart"/>
            <w:vAlign w:val="top"/>
          </w:tcPr>
          <w:p w14:paraId="67AB8848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336" w:type="pct"/>
            <w:gridSpan w:val="2"/>
            <w:vAlign w:val="top"/>
          </w:tcPr>
          <w:p w14:paraId="5C884950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Model 1</w:t>
            </w:r>
          </w:p>
        </w:tc>
        <w:tc>
          <w:tcPr>
            <w:tcW w:w="1336" w:type="pct"/>
            <w:gridSpan w:val="2"/>
            <w:vAlign w:val="top"/>
          </w:tcPr>
          <w:p w14:paraId="1FA0AF78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Model 2</w:t>
            </w:r>
          </w:p>
        </w:tc>
        <w:tc>
          <w:tcPr>
            <w:tcW w:w="1336" w:type="pct"/>
            <w:gridSpan w:val="2"/>
            <w:vAlign w:val="top"/>
          </w:tcPr>
          <w:p w14:paraId="6D4E4DDD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Model 3</w:t>
            </w:r>
          </w:p>
        </w:tc>
      </w:tr>
      <w:tr w14:paraId="75FC52D1">
        <w:tblPrEx>
          <w:tblBorders>
            <w:top w:val="single" w:color="000000" w:themeColor="text1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0" w:type="pct"/>
            <w:vMerge w:val="continue"/>
            <w:tcBorders>
              <w:bottom w:val="single" w:color="000000" w:themeColor="text1" w:sz="8" w:space="0"/>
            </w:tcBorders>
            <w:vAlign w:val="top"/>
          </w:tcPr>
          <w:p w14:paraId="18856478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58" w:type="pct"/>
            <w:tcBorders>
              <w:bottom w:val="single" w:color="000000" w:themeColor="text1" w:sz="8" w:space="0"/>
            </w:tcBorders>
            <w:vAlign w:val="top"/>
          </w:tcPr>
          <w:p w14:paraId="634AE229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HR (95%CI)</w:t>
            </w:r>
          </w:p>
        </w:tc>
        <w:tc>
          <w:tcPr>
            <w:tcW w:w="478" w:type="pct"/>
            <w:tcBorders>
              <w:bottom w:val="single" w:color="000000" w:themeColor="text1" w:sz="8" w:space="0"/>
            </w:tcBorders>
            <w:vAlign w:val="top"/>
          </w:tcPr>
          <w:p w14:paraId="6182318C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16"/>
                <w:szCs w:val="16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-value</w:t>
            </w:r>
          </w:p>
        </w:tc>
        <w:tc>
          <w:tcPr>
            <w:tcW w:w="858" w:type="pct"/>
            <w:tcBorders>
              <w:bottom w:val="single" w:color="000000" w:themeColor="text1" w:sz="8" w:space="0"/>
            </w:tcBorders>
            <w:vAlign w:val="top"/>
          </w:tcPr>
          <w:p w14:paraId="5702F76E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HR (95%CI)</w:t>
            </w:r>
          </w:p>
        </w:tc>
        <w:tc>
          <w:tcPr>
            <w:tcW w:w="478" w:type="pct"/>
            <w:tcBorders>
              <w:bottom w:val="single" w:color="000000" w:themeColor="text1" w:sz="8" w:space="0"/>
            </w:tcBorders>
            <w:vAlign w:val="top"/>
          </w:tcPr>
          <w:p w14:paraId="6B011278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16"/>
                <w:szCs w:val="16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-value</w:t>
            </w:r>
          </w:p>
        </w:tc>
        <w:tc>
          <w:tcPr>
            <w:tcW w:w="858" w:type="pct"/>
            <w:tcBorders>
              <w:bottom w:val="single" w:color="000000" w:themeColor="text1" w:sz="8" w:space="0"/>
            </w:tcBorders>
            <w:vAlign w:val="top"/>
          </w:tcPr>
          <w:p w14:paraId="77AC2BC2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HR (95%CI)</w:t>
            </w:r>
          </w:p>
        </w:tc>
        <w:tc>
          <w:tcPr>
            <w:tcW w:w="478" w:type="pct"/>
            <w:tcBorders>
              <w:bottom w:val="single" w:color="000000" w:themeColor="text1" w:sz="8" w:space="0"/>
            </w:tcBorders>
            <w:vAlign w:val="top"/>
          </w:tcPr>
          <w:p w14:paraId="653CB505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16"/>
                <w:szCs w:val="16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-value</w:t>
            </w:r>
          </w:p>
        </w:tc>
      </w:tr>
      <w:tr w14:paraId="4EE0183E">
        <w:tblPrEx>
          <w:tblBorders>
            <w:top w:val="single" w:color="000000" w:themeColor="text1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0" w:type="pct"/>
            <w:tcBorders>
              <w:tl2br w:val="nil"/>
              <w:tr2bl w:val="nil"/>
            </w:tcBorders>
            <w:vAlign w:val="top"/>
          </w:tcPr>
          <w:p w14:paraId="309A5575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TyG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MLI per 1 SD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40160EE8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1.22 (1.2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1.23)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469D20E2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14ED4B11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20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)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0F4257F5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17746844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 xml:space="preserve"> (1.1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)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1DD28569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</w:tr>
      <w:tr w14:paraId="53EAD612">
        <w:tblPrEx>
          <w:tblBorders>
            <w:top w:val="single" w:color="000000" w:themeColor="text1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0" w:type="pct"/>
            <w:tcBorders>
              <w:tl2br w:val="nil"/>
              <w:tr2bl w:val="nil"/>
            </w:tcBorders>
            <w:vAlign w:val="top"/>
          </w:tcPr>
          <w:p w14:paraId="03FA448A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TyG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MLI Q1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53A2CF68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ref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57DC03F4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ref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356996C4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ref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493E4B74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ref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484A2416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ref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068F7336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ref</w:t>
            </w:r>
          </w:p>
        </w:tc>
      </w:tr>
      <w:tr w14:paraId="514B1294">
        <w:tblPrEx>
          <w:tblBorders>
            <w:top w:val="single" w:color="000000" w:themeColor="text1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0" w:type="pct"/>
            <w:tcBorders>
              <w:tl2br w:val="nil"/>
              <w:tr2bl w:val="nil"/>
            </w:tcBorders>
            <w:vAlign w:val="top"/>
          </w:tcPr>
          <w:p w14:paraId="7EFC47C6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TyG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MLI Q2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3C29480A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21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)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76DC1969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66299000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11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)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448A41AA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69558B5F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 xml:space="preserve"> (1.0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)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6BEF3567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</w:tr>
      <w:tr w14:paraId="1497A652">
        <w:tblPrEx>
          <w:tblBorders>
            <w:top w:val="single" w:color="000000" w:themeColor="text1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990" w:type="pct"/>
            <w:tcBorders>
              <w:tl2br w:val="nil"/>
              <w:tr2bl w:val="nil"/>
            </w:tcBorders>
            <w:vAlign w:val="top"/>
          </w:tcPr>
          <w:p w14:paraId="21E55683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TyG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MLI Q3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2BB49A6F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 xml:space="preserve"> (1.3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)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7F39FD02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4466FE6F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 xml:space="preserve"> (1.2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)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7A42CCB4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62D4315C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 xml:space="preserve"> (1.1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)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7D0815C9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</w:tr>
      <w:tr w14:paraId="57FED6A1">
        <w:tblPrEx>
          <w:tblBorders>
            <w:top w:val="single" w:color="000000" w:themeColor="text1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0" w:type="pct"/>
            <w:tcBorders>
              <w:tl2br w:val="nil"/>
              <w:tr2bl w:val="nil"/>
            </w:tcBorders>
            <w:vAlign w:val="top"/>
          </w:tcPr>
          <w:p w14:paraId="0ED3F375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TyG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MLI Q4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2B2E3CB2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86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81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90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)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21C9B761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6C23F685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64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74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)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5FFF3B02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  <w:tc>
          <w:tcPr>
            <w:tcW w:w="858" w:type="pct"/>
            <w:tcBorders>
              <w:tl2br w:val="nil"/>
              <w:tr2bl w:val="nil"/>
            </w:tcBorders>
            <w:vAlign w:val="top"/>
          </w:tcPr>
          <w:p w14:paraId="52EF68C5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54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50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59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)</w:t>
            </w:r>
          </w:p>
        </w:tc>
        <w:tc>
          <w:tcPr>
            <w:tcW w:w="478" w:type="pct"/>
            <w:tcBorders>
              <w:tl2br w:val="nil"/>
              <w:tr2bl w:val="nil"/>
            </w:tcBorders>
            <w:vAlign w:val="top"/>
          </w:tcPr>
          <w:p w14:paraId="00C6DA74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</w:tr>
    </w:tbl>
    <w:p w14:paraId="4ADAF4D2">
      <w:pPr>
        <w:spacing w:beforeAutospacing="0"/>
        <w:jc w:val="both"/>
        <w:rPr>
          <w:rFonts w:hint="default" w:ascii="Times New Roman" w:hAnsi="Times New Roman" w:cs="Times New Roman" w:eastAsiaTheme="minorEastAsia"/>
          <w:kern w:val="0"/>
          <w:sz w:val="16"/>
          <w:szCs w:val="16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kern w:val="0"/>
          <w:sz w:val="16"/>
          <w:szCs w:val="16"/>
          <w:lang w:val="en-US" w:eastAsia="zh-CN" w:bidi="ar"/>
        </w:rPr>
        <w:t>HRs and 95% CIs</w:t>
      </w:r>
      <w:r>
        <w:rPr>
          <w:rFonts w:hint="eastAsia" w:ascii="Times New Roman" w:hAnsi="Times New Roman" w:cs="Times New Roman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kern w:val="0"/>
          <w:sz w:val="16"/>
          <w:szCs w:val="16"/>
          <w:lang w:val="en-US" w:eastAsia="zh-CN" w:bidi="ar"/>
        </w:rPr>
        <w:t xml:space="preserve">were estimated using Cox proportional hazards models </w:t>
      </w:r>
      <w:r>
        <w:rPr>
          <w:rFonts w:hint="eastAsia" w:ascii="Times New Roman" w:hAnsi="Times New Roman" w:cs="Times New Roman" w:eastAsiaTheme="minorEastAsia"/>
          <w:kern w:val="0"/>
          <w:sz w:val="16"/>
          <w:szCs w:val="16"/>
          <w:lang w:val="en-US" w:eastAsia="zh-CN" w:bidi="ar"/>
        </w:rPr>
        <w:t>in complete case analysis</w:t>
      </w:r>
      <w:r>
        <w:rPr>
          <w:rFonts w:hint="default" w:ascii="Times New Roman" w:hAnsi="Times New Roman" w:cs="Times New Roman" w:eastAsiaTheme="minorEastAsia"/>
          <w:kern w:val="0"/>
          <w:sz w:val="16"/>
          <w:szCs w:val="16"/>
          <w:lang w:val="en-US" w:eastAsia="zh-CN" w:bidi="ar"/>
        </w:rPr>
        <w:t>.</w:t>
      </w:r>
      <w:r>
        <w:rPr>
          <w:rFonts w:hint="eastAsia" w:ascii="Times New Roman" w:hAnsi="Times New Roman" w:cs="Times New Roman" w:eastAsiaTheme="minorEastAsia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kern w:val="0"/>
          <w:sz w:val="16"/>
          <w:szCs w:val="16"/>
          <w:lang w:val="en-US" w:eastAsia="zh-CN" w:bidi="ar"/>
        </w:rPr>
        <w:t>Model 1 was unadjusted. Model 2 was adjusted for sociodemographic and lifestyle factors, including age, sex, ethnicity, education, Townsend deprivation index, smoking status, alcohol intake, dietary score, sleep duration, and physical activity. Model 3 was further adjusted for clinical risk factors, including hypertension, diabetes, and low-density lipoprotein cholesterol.</w:t>
      </w:r>
      <w:r>
        <w:rPr>
          <w:rFonts w:hint="eastAsia" w:ascii="Times New Roman" w:hAnsi="Times New Roman" w:cs="Times New Roman" w:eastAsiaTheme="minorEastAsia"/>
          <w:kern w:val="0"/>
          <w:sz w:val="16"/>
          <w:szCs w:val="16"/>
          <w:lang w:val="en-US" w:eastAsia="zh-CN" w:bidi="ar"/>
        </w:rPr>
        <w:t xml:space="preserve"> R</w:t>
      </w:r>
      <w:r>
        <w:rPr>
          <w:rFonts w:hint="default" w:ascii="Times New Roman" w:hAnsi="Times New Roman" w:cs="Times New Roman" w:eastAsiaTheme="minorEastAsia"/>
          <w:kern w:val="0"/>
          <w:sz w:val="16"/>
          <w:szCs w:val="16"/>
          <w:lang w:val="en-US" w:eastAsia="zh-CN" w:bidi="ar"/>
        </w:rPr>
        <w:t>esults were derived from Cox proportional hazards models using multiply imputed datasets.</w:t>
      </w:r>
    </w:p>
    <w:p w14:paraId="1707278F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jc w:val="both"/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>Abbreviations: CI, confidence interval; HR, hazard ratio; SD, standard deviation; TyG–MLI, triglyceride–glucose</w:t>
      </w:r>
      <w:r>
        <w:rPr>
          <w:rFonts w:hint="eastAsia" w:ascii="Times New Roman" w:hAnsi="Times New Roman" w:cs="Times New Roman"/>
          <w:i w:val="0"/>
          <w:iCs w:val="0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>muscle</w:t>
      </w:r>
      <w:r>
        <w:rPr>
          <w:rFonts w:hint="eastAsia" w:ascii="Times New Roman" w:hAnsi="Times New Roman" w:cs="Times New Roman"/>
          <w:i w:val="0"/>
          <w:iCs w:val="0"/>
          <w:kern w:val="0"/>
          <w:sz w:val="16"/>
          <w:szCs w:val="16"/>
          <w:lang w:val="en-US" w:eastAsia="zh-CN" w:bidi="ar"/>
        </w:rPr>
        <w:t>-</w:t>
      </w:r>
      <w:r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>loss index.</w:t>
      </w:r>
    </w:p>
    <w:p w14:paraId="264EFBB5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jc w:val="both"/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</w:pPr>
    </w:p>
    <w:p w14:paraId="3706A2BF">
      <w:pPr>
        <w:spacing w:beforeAutospacing="0" w:line="240" w:lineRule="auto"/>
        <w:jc w:val="both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Supplementary Table S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12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 xml:space="preserve">. Association of TyG–MLI with Incident 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CVD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 xml:space="preserve"> (additionally adjusted for eGFR)</w:t>
      </w:r>
    </w:p>
    <w:p w14:paraId="46A16C1D">
      <w:pPr>
        <w:spacing w:beforeAutospacing="0"/>
        <w:jc w:val="both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</w:pPr>
    </w:p>
    <w:tbl>
      <w:tblPr>
        <w:tblStyle w:val="4"/>
        <w:tblW w:w="4996" w:type="pct"/>
        <w:tblInd w:w="0" w:type="dxa"/>
        <w:tblBorders>
          <w:top w:val="single" w:color="000000" w:themeColor="text1" w:sz="8" w:space="0"/>
          <w:left w:val="none" w:color="auto" w:sz="0" w:space="0"/>
          <w:bottom w:val="single" w:color="000000" w:themeColor="text1" w:sz="8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5"/>
        <w:gridCol w:w="3152"/>
        <w:gridCol w:w="3158"/>
      </w:tblGrid>
      <w:tr w14:paraId="2E6357AC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84" w:type="pct"/>
            <w:tcBorders>
              <w:bottom w:val="single" w:color="000000" w:themeColor="text1" w:sz="8" w:space="0"/>
            </w:tcBorders>
            <w:shd w:val="clear" w:color="auto" w:fill="auto"/>
            <w:vAlign w:val="top"/>
          </w:tcPr>
          <w:p w14:paraId="21DCE0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07" w:type="pct"/>
            <w:tcBorders>
              <w:bottom w:val="single" w:color="000000" w:themeColor="text1" w:sz="8" w:space="0"/>
            </w:tcBorders>
            <w:shd w:val="clear" w:color="auto" w:fill="auto"/>
            <w:vAlign w:val="top"/>
          </w:tcPr>
          <w:p w14:paraId="7274FA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Adjusted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HR (95% CI)</w:t>
            </w:r>
          </w:p>
        </w:tc>
        <w:tc>
          <w:tcPr>
            <w:tcW w:w="3155" w:type="dxa"/>
            <w:tcBorders>
              <w:bottom w:val="single" w:color="000000" w:themeColor="text1" w:sz="8" w:space="0"/>
            </w:tcBorders>
            <w:shd w:val="clear" w:color="auto" w:fill="auto"/>
            <w:vAlign w:val="top"/>
          </w:tcPr>
          <w:p w14:paraId="5DE688EB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sz w:val="16"/>
                <w:szCs w:val="16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-value</w:t>
            </w:r>
          </w:p>
        </w:tc>
      </w:tr>
      <w:tr w14:paraId="61F2F28B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84" w:type="pct"/>
            <w:tcBorders>
              <w:top w:val="single" w:color="000000" w:themeColor="text1" w:sz="8" w:space="0"/>
              <w:tl2br w:val="nil"/>
              <w:tr2bl w:val="nil"/>
            </w:tcBorders>
            <w:shd w:val="clear" w:color="auto" w:fill="auto"/>
            <w:vAlign w:val="top"/>
          </w:tcPr>
          <w:p w14:paraId="73EEA4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TyG–MLI (per 1 SD)</w:t>
            </w:r>
          </w:p>
        </w:tc>
        <w:tc>
          <w:tcPr>
            <w:tcW w:w="1707" w:type="pct"/>
            <w:tcBorders>
              <w:top w:val="single" w:color="000000" w:themeColor="text1" w:sz="8" w:space="0"/>
              <w:tl2br w:val="nil"/>
              <w:tr2bl w:val="nil"/>
            </w:tcBorders>
            <w:shd w:val="clear" w:color="auto" w:fill="auto"/>
            <w:vAlign w:val="top"/>
          </w:tcPr>
          <w:p w14:paraId="4DAADE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1.11 (1.11–1.12)</w:t>
            </w:r>
          </w:p>
        </w:tc>
        <w:tc>
          <w:tcPr>
            <w:tcW w:w="3155" w:type="dxa"/>
            <w:tcBorders>
              <w:top w:val="single" w:color="000000" w:themeColor="text1" w:sz="8" w:space="0"/>
              <w:tl2br w:val="nil"/>
              <w:tr2bl w:val="nil"/>
            </w:tcBorders>
            <w:shd w:val="clear" w:color="auto" w:fill="auto"/>
            <w:vAlign w:val="top"/>
          </w:tcPr>
          <w:p w14:paraId="6F1C3800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</w:tr>
      <w:tr w14:paraId="54B53C89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84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52C293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TyG–MLI Quartiles</w:t>
            </w:r>
          </w:p>
        </w:tc>
        <w:tc>
          <w:tcPr>
            <w:tcW w:w="170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70626E28"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C46C6E4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A3C8C4D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84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3176A0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Q1 </w:t>
            </w:r>
          </w:p>
        </w:tc>
        <w:tc>
          <w:tcPr>
            <w:tcW w:w="170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7B5C44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ref</w:t>
            </w:r>
          </w:p>
        </w:tc>
        <w:tc>
          <w:tcPr>
            <w:tcW w:w="31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D5726DB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ref</w:t>
            </w:r>
          </w:p>
        </w:tc>
      </w:tr>
      <w:tr w14:paraId="0B8334D7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84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56994D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Q2</w:t>
            </w:r>
          </w:p>
        </w:tc>
        <w:tc>
          <w:tcPr>
            <w:tcW w:w="170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51F9A9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1.19 (1.15–1.23)</w:t>
            </w:r>
          </w:p>
        </w:tc>
        <w:tc>
          <w:tcPr>
            <w:tcW w:w="31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E2CCA4F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</w:tr>
      <w:tr w14:paraId="7BA48589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84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0EC360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Q3</w:t>
            </w:r>
          </w:p>
        </w:tc>
        <w:tc>
          <w:tcPr>
            <w:tcW w:w="170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009B7A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1.34 (1.30–1.39)</w:t>
            </w:r>
          </w:p>
        </w:tc>
        <w:tc>
          <w:tcPr>
            <w:tcW w:w="31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04DBF18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</w:tr>
      <w:tr w14:paraId="0BA0B5B0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84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54409A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Q4</w:t>
            </w:r>
          </w:p>
        </w:tc>
        <w:tc>
          <w:tcPr>
            <w:tcW w:w="170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0D56DC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1.78 (1.72–1.85)</w:t>
            </w:r>
          </w:p>
        </w:tc>
        <w:tc>
          <w:tcPr>
            <w:tcW w:w="31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D19FB6C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</w:tr>
    </w:tbl>
    <w:p w14:paraId="11A5B25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center"/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  <w:t>Model adjusted for age, sex, ethnicity, education, Townsend deprivation index, smoking status, alcohol intake, dietary score, sleep duration,</w:t>
      </w: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  <w:t>physical activity, hypertension, diabetes, low-density lipoprotein cholesterol</w:t>
      </w: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  <w:t>, and eGFR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  <w:t>.</w:t>
      </w:r>
    </w:p>
    <w:p w14:paraId="522852A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center"/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>Abbreviations: CI, confidence interval;</w:t>
      </w:r>
      <w:r>
        <w:rPr>
          <w:rFonts w:hint="eastAsia" w:ascii="Times New Roman" w:hAnsi="Times New Roman" w:cs="Times New Roman"/>
          <w:i w:val="0"/>
          <w:iCs w:val="0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olor w:val="000000"/>
          <w:kern w:val="0"/>
          <w:sz w:val="16"/>
          <w:szCs w:val="16"/>
          <w:lang w:val="en-US" w:eastAsia="zh-CN" w:bidi="ar"/>
        </w:rPr>
        <w:t>eGFR, estimated glomerular filtration rate</w:t>
      </w:r>
      <w:r>
        <w:rPr>
          <w:rFonts w:hint="eastAsia" w:ascii="Times New Roman" w:hAnsi="Times New Roman" w:eastAsia="Segoe UI" w:cs="Times New Roman"/>
          <w:i w:val="0"/>
          <w:iCs w:val="0"/>
          <w:color w:val="000000"/>
          <w:kern w:val="0"/>
          <w:sz w:val="16"/>
          <w:szCs w:val="16"/>
          <w:lang w:val="en-US" w:eastAsia="zh-CN" w:bidi="ar"/>
        </w:rPr>
        <w:t xml:space="preserve">; </w:t>
      </w:r>
      <w:r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>HR, hazard ratio; SD, standard deviation; TyG–MLI, triglyceride–glucose</w:t>
      </w:r>
      <w:r>
        <w:rPr>
          <w:rFonts w:hint="eastAsia" w:ascii="Times New Roman" w:hAnsi="Times New Roman" w:cs="Times New Roman"/>
          <w:i w:val="0"/>
          <w:iCs w:val="0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>muscle</w:t>
      </w:r>
      <w:r>
        <w:rPr>
          <w:rFonts w:hint="default" w:ascii="Times New Roman" w:hAnsi="Times New Roman" w:cs="Times New Roman"/>
          <w:i w:val="0"/>
          <w:iCs w:val="0"/>
          <w:kern w:val="0"/>
          <w:sz w:val="16"/>
          <w:szCs w:val="16"/>
          <w:lang w:val="en-US" w:eastAsia="zh-CN" w:bidi="ar"/>
        </w:rPr>
        <w:t>-</w:t>
      </w:r>
      <w:r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>loss index.</w:t>
      </w:r>
    </w:p>
    <w:p w14:paraId="0C3DBEA3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jc w:val="both"/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</w:pPr>
    </w:p>
    <w:p w14:paraId="6E61D12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Supplementary Table S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13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 xml:space="preserve">. Association of TyG–MLI with Incident 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CVD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 xml:space="preserve"> (additionally adjusted for 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statin use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)</w:t>
      </w:r>
    </w:p>
    <w:p w14:paraId="27F61BDC">
      <w:pPr>
        <w:rPr>
          <w:rFonts w:hint="default"/>
          <w:lang w:val="en-US" w:eastAsia="zh-CN"/>
        </w:rPr>
      </w:pPr>
    </w:p>
    <w:tbl>
      <w:tblPr>
        <w:tblStyle w:val="4"/>
        <w:tblW w:w="4996" w:type="pct"/>
        <w:tblInd w:w="0" w:type="dxa"/>
        <w:tblBorders>
          <w:top w:val="single" w:color="000000" w:themeColor="text1" w:sz="8" w:space="0"/>
          <w:left w:val="none" w:color="auto" w:sz="0" w:space="0"/>
          <w:bottom w:val="single" w:color="000000" w:themeColor="text1" w:sz="8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5"/>
        <w:gridCol w:w="3152"/>
        <w:gridCol w:w="3158"/>
      </w:tblGrid>
      <w:tr w14:paraId="3021E693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84" w:type="pct"/>
            <w:tcBorders>
              <w:bottom w:val="single" w:color="000000" w:themeColor="text1" w:sz="8" w:space="0"/>
            </w:tcBorders>
            <w:shd w:val="clear" w:color="auto" w:fill="auto"/>
            <w:vAlign w:val="top"/>
          </w:tcPr>
          <w:p w14:paraId="25B20E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07" w:type="pct"/>
            <w:tcBorders>
              <w:bottom w:val="single" w:color="000000" w:themeColor="text1" w:sz="8" w:space="0"/>
            </w:tcBorders>
            <w:shd w:val="clear" w:color="auto" w:fill="auto"/>
            <w:vAlign w:val="top"/>
          </w:tcPr>
          <w:p w14:paraId="1B05DE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Adjusted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HR (95% CI)</w:t>
            </w:r>
          </w:p>
        </w:tc>
        <w:tc>
          <w:tcPr>
            <w:tcW w:w="3155" w:type="dxa"/>
            <w:tcBorders>
              <w:bottom w:val="single" w:color="000000" w:themeColor="text1" w:sz="8" w:space="0"/>
            </w:tcBorders>
            <w:shd w:val="clear" w:color="auto" w:fill="auto"/>
            <w:vAlign w:val="top"/>
          </w:tcPr>
          <w:p w14:paraId="26344141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sz w:val="16"/>
                <w:szCs w:val="16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  <w:t>-value</w:t>
            </w:r>
          </w:p>
        </w:tc>
      </w:tr>
      <w:tr w14:paraId="0801C2FA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84" w:type="pct"/>
            <w:tcBorders>
              <w:top w:val="single" w:color="000000" w:themeColor="text1" w:sz="8" w:space="0"/>
              <w:tl2br w:val="nil"/>
              <w:tr2bl w:val="nil"/>
            </w:tcBorders>
            <w:shd w:val="clear" w:color="auto" w:fill="auto"/>
            <w:vAlign w:val="top"/>
          </w:tcPr>
          <w:p w14:paraId="389DA1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TyG–MLI (per 1 SD)</w:t>
            </w:r>
          </w:p>
        </w:tc>
        <w:tc>
          <w:tcPr>
            <w:tcW w:w="1707" w:type="pct"/>
            <w:tcBorders>
              <w:top w:val="single" w:color="000000" w:themeColor="text1" w:sz="8" w:space="0"/>
              <w:tl2br w:val="nil"/>
              <w:tr2bl w:val="nil"/>
            </w:tcBorders>
            <w:shd w:val="clear" w:color="auto" w:fill="auto"/>
            <w:vAlign w:val="top"/>
          </w:tcPr>
          <w:p w14:paraId="6530AE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–1.1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3155" w:type="dxa"/>
            <w:tcBorders>
              <w:top w:val="single" w:color="000000" w:themeColor="text1" w:sz="8" w:space="0"/>
              <w:tl2br w:val="nil"/>
              <w:tr2bl w:val="nil"/>
            </w:tcBorders>
            <w:shd w:val="clear" w:color="auto" w:fill="auto"/>
            <w:vAlign w:val="top"/>
          </w:tcPr>
          <w:p w14:paraId="40B8C0DE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</w:tr>
      <w:tr w14:paraId="432C5B59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84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3F8D43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TyG–MLI Quartiles</w:t>
            </w:r>
          </w:p>
        </w:tc>
        <w:tc>
          <w:tcPr>
            <w:tcW w:w="170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37836474"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842DC67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D5A3671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84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521B85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Q1 </w:t>
            </w:r>
          </w:p>
        </w:tc>
        <w:tc>
          <w:tcPr>
            <w:tcW w:w="170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121ACB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ref</w:t>
            </w:r>
          </w:p>
        </w:tc>
        <w:tc>
          <w:tcPr>
            <w:tcW w:w="31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00FB998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ref</w:t>
            </w:r>
          </w:p>
        </w:tc>
      </w:tr>
      <w:tr w14:paraId="12E3C15F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84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6871C6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Q2</w:t>
            </w:r>
          </w:p>
        </w:tc>
        <w:tc>
          <w:tcPr>
            <w:tcW w:w="170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74EE4A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–1.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31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54E1139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</w:tr>
      <w:tr w14:paraId="244AFE2A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84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437905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Q3</w:t>
            </w:r>
          </w:p>
        </w:tc>
        <w:tc>
          <w:tcPr>
            <w:tcW w:w="170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05BBD3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–1.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31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893A7FF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</w:tr>
      <w:tr w14:paraId="10D175E3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84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3C956A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Q4</w:t>
            </w:r>
          </w:p>
        </w:tc>
        <w:tc>
          <w:tcPr>
            <w:tcW w:w="170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4F64FA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2–1.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31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7334797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</w:tr>
    </w:tbl>
    <w:p w14:paraId="0EBB67E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center"/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  <w:t>Model adjusted for age, sex, ethnicity, education, Townsend deprivation index, smoking status, alcohol intake, dietary score, sleep duration, physical activity, hypertension, diabetes, low-density lipoprotein cholesterol</w:t>
      </w: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  <w:t>, and statin use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  <w:t>.</w:t>
      </w:r>
    </w:p>
    <w:p w14:paraId="31403DB8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>Abbreviations: CI, confidence interval; HR, hazard ratio; SD, standard deviation; TyG–MLI, triglyceride–glucose</w:t>
      </w:r>
      <w:r>
        <w:rPr>
          <w:rFonts w:hint="eastAsia" w:ascii="Times New Roman" w:hAnsi="Times New Roman" w:cs="Times New Roman"/>
          <w:i w:val="0"/>
          <w:iCs w:val="0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>muscle</w:t>
      </w:r>
      <w:r>
        <w:rPr>
          <w:rFonts w:hint="default" w:ascii="Times New Roman" w:hAnsi="Times New Roman" w:cs="Times New Roman"/>
          <w:i w:val="0"/>
          <w:iCs w:val="0"/>
          <w:kern w:val="0"/>
          <w:sz w:val="16"/>
          <w:szCs w:val="16"/>
          <w:lang w:val="en-US" w:eastAsia="zh-CN" w:bidi="ar"/>
        </w:rPr>
        <w:t>-</w:t>
      </w:r>
      <w:r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>loss index.</w:t>
      </w:r>
    </w:p>
    <w:p w14:paraId="1377E87D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</w:pPr>
    </w:p>
    <w:p w14:paraId="6E05457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Supplementary Table S14. Associations of Height-Adjusted TyG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–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MLI with Incident CVD</w:t>
      </w:r>
    </w:p>
    <w:p w14:paraId="5F26C288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tbl>
      <w:tblPr>
        <w:tblStyle w:val="4"/>
        <w:tblW w:w="4999" w:type="pct"/>
        <w:tblInd w:w="0" w:type="dxa"/>
        <w:tblBorders>
          <w:top w:val="single" w:color="000000" w:themeColor="text1" w:sz="8" w:space="0"/>
          <w:left w:val="none" w:color="auto" w:sz="0" w:space="0"/>
          <w:bottom w:val="single" w:color="000000" w:themeColor="text1" w:sz="8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8"/>
        <w:gridCol w:w="3697"/>
        <w:gridCol w:w="2375"/>
      </w:tblGrid>
      <w:tr w14:paraId="7D4A9FE2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14" w:type="pct"/>
            <w:tcBorders>
              <w:bottom w:val="single" w:color="000000" w:themeColor="text1" w:sz="8" w:space="0"/>
            </w:tcBorders>
            <w:shd w:val="clear" w:color="auto" w:fill="auto"/>
            <w:vAlign w:val="center"/>
          </w:tcPr>
          <w:p w14:paraId="45116E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Exposure</w:t>
            </w:r>
          </w:p>
        </w:tc>
        <w:tc>
          <w:tcPr>
            <w:tcW w:w="2000" w:type="pct"/>
            <w:tcBorders>
              <w:bottom w:val="single" w:color="000000" w:themeColor="text1" w:sz="8" w:space="0"/>
            </w:tcBorders>
            <w:shd w:val="clear" w:color="auto" w:fill="auto"/>
            <w:vAlign w:val="center"/>
          </w:tcPr>
          <w:p w14:paraId="7BD75B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Adjusted HR (95% CI)</w:t>
            </w:r>
          </w:p>
        </w:tc>
        <w:tc>
          <w:tcPr>
            <w:tcW w:w="1285" w:type="pct"/>
            <w:tcBorders>
              <w:bottom w:val="single" w:color="000000" w:themeColor="text1" w:sz="8" w:space="0"/>
            </w:tcBorders>
            <w:shd w:val="clear" w:color="auto" w:fill="auto"/>
            <w:vAlign w:val="center"/>
          </w:tcPr>
          <w:p w14:paraId="477DC6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-value</w:t>
            </w:r>
          </w:p>
        </w:tc>
      </w:tr>
      <w:tr w14:paraId="1E3ED775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14" w:type="pct"/>
            <w:tcBorders>
              <w:top w:val="single" w:color="000000" w:themeColor="text1" w:sz="8" w:space="0"/>
              <w:tl2br w:val="nil"/>
              <w:tr2bl w:val="nil"/>
            </w:tcBorders>
            <w:shd w:val="clear" w:color="auto" w:fill="auto"/>
            <w:vAlign w:val="center"/>
          </w:tcPr>
          <w:p w14:paraId="3E788F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TyG</w:t>
            </w:r>
            <w:r>
              <w:rPr>
                <w:rFonts w:hint="default" w:ascii="Times New Roman" w:hAnsi="Times New Roman" w:cs="Times New Roman" w:eastAsiaTheme="minorEastAsia"/>
                <w:i/>
                <w:iCs/>
                <w:kern w:val="0"/>
                <w:sz w:val="16"/>
                <w:szCs w:val="16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MLI (per 1-SD increase)</w:t>
            </w:r>
          </w:p>
        </w:tc>
        <w:tc>
          <w:tcPr>
            <w:tcW w:w="2000" w:type="pct"/>
            <w:tcBorders>
              <w:top w:val="single" w:color="000000" w:themeColor="text1" w:sz="8" w:space="0"/>
              <w:tl2br w:val="nil"/>
              <w:tr2bl w:val="nil"/>
            </w:tcBorders>
            <w:shd w:val="clear" w:color="auto" w:fill="auto"/>
            <w:vAlign w:val="center"/>
          </w:tcPr>
          <w:p w14:paraId="01005B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1.18 (1.16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1.19)</w:t>
            </w:r>
          </w:p>
        </w:tc>
        <w:tc>
          <w:tcPr>
            <w:tcW w:w="1285" w:type="pct"/>
            <w:tcBorders>
              <w:top w:val="single" w:color="000000" w:themeColor="text1" w:sz="8" w:space="0"/>
              <w:tl2br w:val="nil"/>
              <w:tr2bl w:val="nil"/>
            </w:tcBorders>
            <w:shd w:val="clear" w:color="auto" w:fill="auto"/>
            <w:vAlign w:val="center"/>
          </w:tcPr>
          <w:p w14:paraId="357D98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2C61F032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1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054E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TyG–MLI Quartiles</w:t>
            </w:r>
          </w:p>
        </w:tc>
        <w:tc>
          <w:tcPr>
            <w:tcW w:w="20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F2DE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2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A3A3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22C04CB9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921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0F227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Q1 </w:t>
            </w:r>
          </w:p>
        </w:tc>
        <w:tc>
          <w:tcPr>
            <w:tcW w:w="3409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634AA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ref</w:t>
            </w:r>
          </w:p>
        </w:tc>
        <w:tc>
          <w:tcPr>
            <w:tcW w:w="21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851B69F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ref</w:t>
            </w:r>
          </w:p>
        </w:tc>
      </w:tr>
      <w:tr w14:paraId="3A6A2DE2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1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8437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Q2 </w:t>
            </w:r>
          </w:p>
        </w:tc>
        <w:tc>
          <w:tcPr>
            <w:tcW w:w="20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7B06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1.07 (1.04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1.10)</w:t>
            </w:r>
          </w:p>
        </w:tc>
        <w:tc>
          <w:tcPr>
            <w:tcW w:w="12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B77C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6F088519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1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3724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Q3 </w:t>
            </w:r>
          </w:p>
        </w:tc>
        <w:tc>
          <w:tcPr>
            <w:tcW w:w="20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B666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1.18 (1.14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1.22)</w:t>
            </w:r>
          </w:p>
        </w:tc>
        <w:tc>
          <w:tcPr>
            <w:tcW w:w="12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4BF5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6DB5C0D8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1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555C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Q4 </w:t>
            </w:r>
          </w:p>
        </w:tc>
        <w:tc>
          <w:tcPr>
            <w:tcW w:w="20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78DA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1.45 (1.40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1.51)</w:t>
            </w:r>
          </w:p>
        </w:tc>
        <w:tc>
          <w:tcPr>
            <w:tcW w:w="12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AF90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</w:tbl>
    <w:p w14:paraId="7999131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center"/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  <w:t>Model adjusted for age, sex, ethnicity, education, Townsend deprivation index, smoking status, alcohol intake, dietary score, sleep duration, physical activity, hypertension, diabetes, and low-density lipoprotein cholesterol.</w:t>
      </w: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  <w:t>Height-adjusted TyG–MLI = TyG × (MLI / height²).</w:t>
      </w:r>
    </w:p>
    <w:p w14:paraId="4B94B611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>Abbreviations: CI, confidence interval; HR, hazard ratio; SD, standard deviation; TyG–MLI, triglyceride–glucose</w:t>
      </w:r>
      <w:r>
        <w:rPr>
          <w:rFonts w:hint="eastAsia" w:ascii="Times New Roman" w:hAnsi="Times New Roman" w:cs="Times New Roman"/>
          <w:i w:val="0"/>
          <w:iCs w:val="0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>muscle</w:t>
      </w:r>
      <w:r>
        <w:rPr>
          <w:rFonts w:hint="default" w:ascii="Times New Roman" w:hAnsi="Times New Roman" w:cs="Times New Roman"/>
          <w:i w:val="0"/>
          <w:iCs w:val="0"/>
          <w:kern w:val="0"/>
          <w:sz w:val="16"/>
          <w:szCs w:val="16"/>
          <w:lang w:val="en-US" w:eastAsia="zh-CN" w:bidi="ar"/>
        </w:rPr>
        <w:t>-</w:t>
      </w:r>
      <w:r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>loss index.</w:t>
      </w:r>
    </w:p>
    <w:p w14:paraId="12322E6E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</w:pPr>
    </w:p>
    <w:p w14:paraId="2F99ADB8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2EDFFE4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jc w:val="both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Supplementary Table S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15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kern w:val="0"/>
          <w:sz w:val="24"/>
          <w:szCs w:val="24"/>
          <w:lang w:val="en-US" w:eastAsia="zh-CN" w:bidi="ar"/>
        </w:rPr>
        <w:t>Associations of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kern w:val="0"/>
          <w:sz w:val="24"/>
          <w:szCs w:val="24"/>
          <w:lang w:val="en-US" w:eastAsia="zh-CN" w:bidi="ar"/>
        </w:rPr>
        <w:t xml:space="preserve">TyG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kern w:val="0"/>
          <w:sz w:val="24"/>
          <w:szCs w:val="24"/>
          <w:lang w:val="en-US" w:eastAsia="zh-CN" w:bidi="ar"/>
        </w:rPr>
        <w:t xml:space="preserve">index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kern w:val="0"/>
          <w:sz w:val="24"/>
          <w:szCs w:val="24"/>
          <w:lang w:val="en-US" w:eastAsia="zh-CN" w:bidi="ar"/>
        </w:rPr>
        <w:t>and TyG–MLI with CVD stratified by BMI</w:t>
      </w:r>
    </w:p>
    <w:p w14:paraId="73F2F66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jc w:val="both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kern w:val="0"/>
          <w:sz w:val="24"/>
          <w:szCs w:val="24"/>
          <w:lang w:val="en-US" w:eastAsia="zh-CN" w:bidi="ar"/>
        </w:rPr>
      </w:pPr>
    </w:p>
    <w:tbl>
      <w:tblPr>
        <w:tblW w:w="4998" w:type="pct"/>
        <w:tblInd w:w="0" w:type="dxa"/>
        <w:tblBorders>
          <w:top w:val="single" w:color="000000" w:themeColor="text1" w:sz="8" w:space="0"/>
          <w:left w:val="none" w:color="auto" w:sz="0" w:space="0"/>
          <w:bottom w:val="single" w:color="000000" w:themeColor="text1" w:sz="8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4"/>
        <w:gridCol w:w="1816"/>
        <w:gridCol w:w="2529"/>
        <w:gridCol w:w="2529"/>
      </w:tblGrid>
      <w:tr w14:paraId="1084B344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79" w:type="pct"/>
            <w:tcBorders>
              <w:tl2br w:val="nil"/>
              <w:tr2bl w:val="nil"/>
            </w:tcBorders>
            <w:shd w:val="clear"/>
            <w:vAlign w:val="center"/>
          </w:tcPr>
          <w:p w14:paraId="384A5E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BMI category</w:t>
            </w:r>
          </w:p>
        </w:tc>
        <w:tc>
          <w:tcPr>
            <w:tcW w:w="982" w:type="pct"/>
            <w:tcBorders>
              <w:tl2br w:val="nil"/>
              <w:tr2bl w:val="nil"/>
            </w:tcBorders>
            <w:shd w:val="clear"/>
            <w:vAlign w:val="center"/>
          </w:tcPr>
          <w:p w14:paraId="320945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Exposure</w:t>
            </w:r>
          </w:p>
        </w:tc>
        <w:tc>
          <w:tcPr>
            <w:tcW w:w="1368" w:type="pct"/>
            <w:tcBorders>
              <w:tl2br w:val="nil"/>
              <w:tr2bl w:val="nil"/>
            </w:tcBorders>
            <w:shd w:val="clear"/>
            <w:vAlign w:val="center"/>
          </w:tcPr>
          <w:p w14:paraId="2C42C4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TyG index HR (95% CI)</w:t>
            </w:r>
          </w:p>
        </w:tc>
        <w:tc>
          <w:tcPr>
            <w:tcW w:w="1368" w:type="pct"/>
            <w:tcBorders>
              <w:tl2br w:val="nil"/>
              <w:tr2bl w:val="nil"/>
            </w:tcBorders>
            <w:shd w:val="clear"/>
            <w:vAlign w:val="center"/>
          </w:tcPr>
          <w:p w14:paraId="0001E8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TyG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MLI HR (95% CI)</w:t>
            </w:r>
          </w:p>
        </w:tc>
      </w:tr>
      <w:tr w14:paraId="59726386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79" w:type="pct"/>
            <w:tcBorders>
              <w:tl2br w:val="nil"/>
              <w:tr2bl w:val="nil"/>
            </w:tcBorders>
            <w:shd w:val="clear"/>
            <w:vAlign w:val="center"/>
          </w:tcPr>
          <w:p w14:paraId="1981F1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Underweight</w:t>
            </w:r>
          </w:p>
        </w:tc>
        <w:tc>
          <w:tcPr>
            <w:tcW w:w="982" w:type="pct"/>
            <w:tcBorders>
              <w:tl2br w:val="nil"/>
              <w:tr2bl w:val="nil"/>
            </w:tcBorders>
            <w:shd w:val="clear"/>
            <w:vAlign w:val="center"/>
          </w:tcPr>
          <w:p w14:paraId="7267D4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per 1 SD</w:t>
            </w:r>
          </w:p>
        </w:tc>
        <w:tc>
          <w:tcPr>
            <w:tcW w:w="1368" w:type="pct"/>
            <w:tcBorders>
              <w:tl2br w:val="nil"/>
              <w:tr2bl w:val="nil"/>
            </w:tcBorders>
            <w:shd w:val="clear"/>
            <w:vAlign w:val="center"/>
          </w:tcPr>
          <w:p w14:paraId="48C32E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1.00 (0.84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1.19)</w:t>
            </w:r>
          </w:p>
        </w:tc>
        <w:tc>
          <w:tcPr>
            <w:tcW w:w="1368" w:type="pct"/>
            <w:tcBorders>
              <w:tl2br w:val="nil"/>
              <w:tr2bl w:val="nil"/>
            </w:tcBorders>
            <w:shd w:val="clear"/>
            <w:vAlign w:val="center"/>
          </w:tcPr>
          <w:p w14:paraId="140ADB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1.11 (1.02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1.22)</w:t>
            </w:r>
          </w:p>
        </w:tc>
      </w:tr>
      <w:tr w14:paraId="72438CE4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79" w:type="pct"/>
            <w:tcBorders>
              <w:tl2br w:val="nil"/>
              <w:tr2bl w:val="nil"/>
            </w:tcBorders>
            <w:shd w:val="clear"/>
            <w:vAlign w:val="center"/>
          </w:tcPr>
          <w:p w14:paraId="75179A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982" w:type="pct"/>
            <w:tcBorders>
              <w:tl2br w:val="nil"/>
              <w:tr2bl w:val="nil"/>
            </w:tcBorders>
            <w:shd w:val="clear"/>
            <w:vAlign w:val="center"/>
          </w:tcPr>
          <w:p w14:paraId="069E42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Q4 vs Q1</w:t>
            </w:r>
          </w:p>
        </w:tc>
        <w:tc>
          <w:tcPr>
            <w:tcW w:w="1368" w:type="pct"/>
            <w:tcBorders>
              <w:tl2br w:val="nil"/>
              <w:tr2bl w:val="nil"/>
            </w:tcBorders>
            <w:shd w:val="clear"/>
            <w:vAlign w:val="center"/>
          </w:tcPr>
          <w:p w14:paraId="4E04E86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0.85 (0.53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1.37)</w:t>
            </w:r>
          </w:p>
        </w:tc>
        <w:tc>
          <w:tcPr>
            <w:tcW w:w="1368" w:type="pct"/>
            <w:tcBorders>
              <w:tl2br w:val="nil"/>
              <w:tr2bl w:val="nil"/>
            </w:tcBorders>
            <w:shd w:val="clear"/>
            <w:vAlign w:val="center"/>
          </w:tcPr>
          <w:p w14:paraId="5324EC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2.22 (1.29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3.79)</w:t>
            </w:r>
          </w:p>
        </w:tc>
      </w:tr>
      <w:tr w14:paraId="5A11FDB3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79" w:type="pct"/>
            <w:tcBorders>
              <w:tl2br w:val="nil"/>
              <w:tr2bl w:val="nil"/>
            </w:tcBorders>
            <w:shd w:val="clear"/>
            <w:vAlign w:val="center"/>
          </w:tcPr>
          <w:p w14:paraId="221206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Normal</w:t>
            </w:r>
          </w:p>
        </w:tc>
        <w:tc>
          <w:tcPr>
            <w:tcW w:w="982" w:type="pct"/>
            <w:tcBorders>
              <w:tl2br w:val="nil"/>
              <w:tr2bl w:val="nil"/>
            </w:tcBorders>
            <w:shd w:val="clear"/>
            <w:vAlign w:val="center"/>
          </w:tcPr>
          <w:p w14:paraId="46AFBA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per 1 SD</w:t>
            </w:r>
          </w:p>
        </w:tc>
        <w:tc>
          <w:tcPr>
            <w:tcW w:w="1368" w:type="pct"/>
            <w:tcBorders>
              <w:tl2br w:val="nil"/>
              <w:tr2bl w:val="nil"/>
            </w:tcBorders>
            <w:shd w:val="clear"/>
            <w:vAlign w:val="center"/>
          </w:tcPr>
          <w:p w14:paraId="5E2CFA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1.02 (1.00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1.04)</w:t>
            </w:r>
          </w:p>
        </w:tc>
        <w:tc>
          <w:tcPr>
            <w:tcW w:w="1368" w:type="pct"/>
            <w:tcBorders>
              <w:tl2br w:val="nil"/>
              <w:tr2bl w:val="nil"/>
            </w:tcBorders>
            <w:shd w:val="clear"/>
            <w:vAlign w:val="center"/>
          </w:tcPr>
          <w:p w14:paraId="27E9C9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1.16 (1.13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1.19)</w:t>
            </w:r>
          </w:p>
        </w:tc>
      </w:tr>
      <w:tr w14:paraId="77248D42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79" w:type="pct"/>
            <w:tcBorders>
              <w:tl2br w:val="nil"/>
              <w:tr2bl w:val="nil"/>
            </w:tcBorders>
            <w:shd w:val="clear"/>
            <w:vAlign w:val="center"/>
          </w:tcPr>
          <w:p w14:paraId="44105E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982" w:type="pct"/>
            <w:tcBorders>
              <w:tl2br w:val="nil"/>
              <w:tr2bl w:val="nil"/>
            </w:tcBorders>
            <w:shd w:val="clear"/>
            <w:vAlign w:val="center"/>
          </w:tcPr>
          <w:p w14:paraId="5D9C2A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vs Q1</w:t>
            </w:r>
          </w:p>
        </w:tc>
        <w:tc>
          <w:tcPr>
            <w:tcW w:w="1368" w:type="pct"/>
            <w:tcBorders>
              <w:tl2br w:val="nil"/>
              <w:tr2bl w:val="nil"/>
            </w:tcBorders>
            <w:shd w:val="clear"/>
            <w:vAlign w:val="center"/>
          </w:tcPr>
          <w:p w14:paraId="41BDC2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1.00 (0.91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1.08)</w:t>
            </w:r>
          </w:p>
        </w:tc>
        <w:tc>
          <w:tcPr>
            <w:tcW w:w="1368" w:type="pct"/>
            <w:tcBorders>
              <w:tl2br w:val="nil"/>
              <w:tr2bl w:val="nil"/>
            </w:tcBorders>
            <w:shd w:val="clear"/>
            <w:vAlign w:val="center"/>
          </w:tcPr>
          <w:p w14:paraId="08FD9C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1.38 (1.27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1.48)</w:t>
            </w:r>
          </w:p>
        </w:tc>
      </w:tr>
      <w:tr w14:paraId="045F0E38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79" w:type="pct"/>
            <w:tcBorders>
              <w:tl2br w:val="nil"/>
              <w:tr2bl w:val="nil"/>
            </w:tcBorders>
            <w:shd w:val="clear"/>
            <w:vAlign w:val="center"/>
          </w:tcPr>
          <w:p w14:paraId="5DC524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Overweight</w:t>
            </w:r>
          </w:p>
        </w:tc>
        <w:tc>
          <w:tcPr>
            <w:tcW w:w="982" w:type="pct"/>
            <w:tcBorders>
              <w:tl2br w:val="nil"/>
              <w:tr2bl w:val="nil"/>
            </w:tcBorders>
            <w:shd w:val="clear"/>
            <w:vAlign w:val="center"/>
          </w:tcPr>
          <w:p w14:paraId="72458D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per 1 SD</w:t>
            </w:r>
          </w:p>
        </w:tc>
        <w:tc>
          <w:tcPr>
            <w:tcW w:w="1368" w:type="pct"/>
            <w:tcBorders>
              <w:tl2br w:val="nil"/>
              <w:tr2bl w:val="nil"/>
            </w:tcBorders>
            <w:shd w:val="clear"/>
            <w:vAlign w:val="center"/>
          </w:tcPr>
          <w:p w14:paraId="14332E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1.07 (1.05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1.09)</w:t>
            </w:r>
          </w:p>
        </w:tc>
        <w:tc>
          <w:tcPr>
            <w:tcW w:w="1368" w:type="pct"/>
            <w:tcBorders>
              <w:tl2br w:val="nil"/>
              <w:tr2bl w:val="nil"/>
            </w:tcBorders>
            <w:shd w:val="clear"/>
            <w:vAlign w:val="center"/>
          </w:tcPr>
          <w:p w14:paraId="6666F8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1.18 (1.16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1.21)</w:t>
            </w:r>
          </w:p>
        </w:tc>
      </w:tr>
      <w:tr w14:paraId="0C5531E4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79" w:type="pct"/>
            <w:tcBorders>
              <w:tl2br w:val="nil"/>
              <w:tr2bl w:val="nil"/>
            </w:tcBorders>
            <w:shd w:val="clear"/>
            <w:vAlign w:val="center"/>
          </w:tcPr>
          <w:p w14:paraId="1B03B2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982" w:type="pct"/>
            <w:tcBorders>
              <w:tl2br w:val="nil"/>
              <w:tr2bl w:val="nil"/>
            </w:tcBorders>
            <w:shd w:val="clear"/>
            <w:vAlign w:val="center"/>
          </w:tcPr>
          <w:p w14:paraId="3F5376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vs Q1</w:t>
            </w:r>
          </w:p>
        </w:tc>
        <w:tc>
          <w:tcPr>
            <w:tcW w:w="1368" w:type="pct"/>
            <w:tcBorders>
              <w:tl2br w:val="nil"/>
              <w:tr2bl w:val="nil"/>
            </w:tcBorders>
            <w:shd w:val="clear"/>
            <w:vAlign w:val="center"/>
          </w:tcPr>
          <w:p w14:paraId="41E1AC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1.17 (1.13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1.20)</w:t>
            </w:r>
          </w:p>
        </w:tc>
        <w:tc>
          <w:tcPr>
            <w:tcW w:w="1368" w:type="pct"/>
            <w:tcBorders>
              <w:tl2br w:val="nil"/>
              <w:tr2bl w:val="nil"/>
            </w:tcBorders>
            <w:shd w:val="clear"/>
            <w:vAlign w:val="center"/>
          </w:tcPr>
          <w:p w14:paraId="736F94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1.46 (1.41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1.52)</w:t>
            </w:r>
          </w:p>
        </w:tc>
      </w:tr>
    </w:tbl>
    <w:p w14:paraId="238B455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center"/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  <w:t>Model adjusted for age, sex, ethnicity, education, Townsend deprivation index, smoking status, alcohol intake, dietary score, sleep duration, physical activity, hypertension, diabetes, and low-density lipoprotein cholesterol.</w:t>
      </w: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  <w:t>This table presents a sensitivity analysis using a BMI cut-off of 25 kg/m²</w:t>
      </w: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  <w:t>.</w:t>
      </w:r>
    </w:p>
    <w:p w14:paraId="30B06A7D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>Abbreviations: CI, confidence interval; HR, hazard ratio; SD, standard deviation;</w:t>
      </w:r>
      <w:r>
        <w:rPr>
          <w:rFonts w:hint="eastAsia" w:ascii="Times New Roman" w:hAnsi="Times New Roman" w:cs="Times New Roman"/>
          <w:i w:val="0"/>
          <w:iCs w:val="0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>TyG, triglyceride–glucose;</w:t>
      </w:r>
      <w:r>
        <w:rPr>
          <w:rFonts w:hint="eastAsia" w:ascii="Times New Roman" w:hAnsi="Times New Roman" w:cs="Times New Roman"/>
          <w:i w:val="0"/>
          <w:iCs w:val="0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>TyG–MLI, triglyceride–glucose</w:t>
      </w:r>
      <w:r>
        <w:rPr>
          <w:rFonts w:hint="eastAsia" w:ascii="Times New Roman" w:hAnsi="Times New Roman" w:cs="Times New Roman"/>
          <w:i w:val="0"/>
          <w:iCs w:val="0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>muscle</w:t>
      </w:r>
      <w:r>
        <w:rPr>
          <w:rFonts w:hint="default" w:ascii="Times New Roman" w:hAnsi="Times New Roman" w:cs="Times New Roman"/>
          <w:i w:val="0"/>
          <w:iCs w:val="0"/>
          <w:kern w:val="0"/>
          <w:sz w:val="16"/>
          <w:szCs w:val="16"/>
          <w:lang w:val="en-US" w:eastAsia="zh-CN" w:bidi="ar"/>
        </w:rPr>
        <w:t>-</w:t>
      </w:r>
      <w:r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>loss index.</w:t>
      </w:r>
    </w:p>
    <w:p w14:paraId="5EEBCC1C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27DED953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581E027D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Supplementary Table S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16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. Region-stratified associations of TyG–MLI with incident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CVD</w:t>
      </w:r>
    </w:p>
    <w:p w14:paraId="7A6B844C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tbl>
      <w:tblPr>
        <w:tblStyle w:val="4"/>
        <w:tblW w:w="4998" w:type="pct"/>
        <w:tblInd w:w="0" w:type="dxa"/>
        <w:tblBorders>
          <w:top w:val="single" w:color="000000" w:themeColor="text1" w:sz="4" w:space="0"/>
          <w:left w:val="none" w:color="auto" w:sz="0" w:space="0"/>
          <w:bottom w:val="single" w:color="000000" w:themeColor="text1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4"/>
        <w:gridCol w:w="2859"/>
        <w:gridCol w:w="874"/>
        <w:gridCol w:w="2741"/>
        <w:gridCol w:w="1010"/>
      </w:tblGrid>
      <w:tr w14:paraId="2BF8A32E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49" w:type="pct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 w14:paraId="2879DD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Region</w:t>
            </w:r>
          </w:p>
        </w:tc>
        <w:tc>
          <w:tcPr>
            <w:tcW w:w="1547" w:type="pct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 w14:paraId="35AC56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TyG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i/>
                <w:iCs/>
                <w:kern w:val="0"/>
                <w:sz w:val="16"/>
                <w:szCs w:val="16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MLI (per 1-SD increase)</w:t>
            </w:r>
          </w:p>
          <w:p w14:paraId="4B5FE2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Adjusted HR (95% CI)</w:t>
            </w:r>
          </w:p>
        </w:tc>
        <w:tc>
          <w:tcPr>
            <w:tcW w:w="473" w:type="pct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 w14:paraId="21125B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-value</w:t>
            </w:r>
          </w:p>
        </w:tc>
        <w:tc>
          <w:tcPr>
            <w:tcW w:w="1483" w:type="pct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 w14:paraId="05971F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TyG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i/>
                <w:iCs/>
                <w:kern w:val="0"/>
                <w:sz w:val="16"/>
                <w:szCs w:val="16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MLI Q4 vs Q1</w:t>
            </w:r>
          </w:p>
          <w:p w14:paraId="50D915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Adjusted HR (95% CI)</w:t>
            </w:r>
          </w:p>
        </w:tc>
        <w:tc>
          <w:tcPr>
            <w:tcW w:w="546" w:type="pct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 w14:paraId="192444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-value</w:t>
            </w:r>
          </w:p>
        </w:tc>
      </w:tr>
      <w:tr w14:paraId="21DAE191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49" w:type="pct"/>
            <w:tcBorders>
              <w:top w:val="single" w:color="000000" w:themeColor="text1" w:sz="4" w:space="0"/>
              <w:tl2br w:val="nil"/>
              <w:tr2bl w:val="nil"/>
            </w:tcBorders>
            <w:shd w:val="clear" w:color="auto" w:fill="auto"/>
            <w:vAlign w:val="center"/>
          </w:tcPr>
          <w:p w14:paraId="6F4DDE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England</w:t>
            </w:r>
          </w:p>
        </w:tc>
        <w:tc>
          <w:tcPr>
            <w:tcW w:w="1547" w:type="pct"/>
            <w:tcBorders>
              <w:top w:val="single" w:color="000000" w:themeColor="text1" w:sz="4" w:space="0"/>
              <w:tl2br w:val="nil"/>
              <w:tr2bl w:val="nil"/>
            </w:tcBorders>
            <w:shd w:val="clear" w:color="auto" w:fill="auto"/>
            <w:vAlign w:val="center"/>
          </w:tcPr>
          <w:p w14:paraId="2CFDC6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1.17 (1.16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1.18)</w:t>
            </w:r>
          </w:p>
        </w:tc>
        <w:tc>
          <w:tcPr>
            <w:tcW w:w="473" w:type="pct"/>
            <w:tcBorders>
              <w:top w:val="single" w:color="000000" w:themeColor="text1" w:sz="4" w:space="0"/>
              <w:tl2br w:val="nil"/>
              <w:tr2bl w:val="nil"/>
            </w:tcBorders>
            <w:shd w:val="clear" w:color="auto" w:fill="auto"/>
            <w:vAlign w:val="center"/>
          </w:tcPr>
          <w:p w14:paraId="4E3A17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  <w:tc>
          <w:tcPr>
            <w:tcW w:w="1483" w:type="pct"/>
            <w:tcBorders>
              <w:top w:val="single" w:color="000000" w:themeColor="text1" w:sz="4" w:space="0"/>
              <w:tl2br w:val="nil"/>
              <w:tr2bl w:val="nil"/>
            </w:tcBorders>
            <w:shd w:val="clear" w:color="auto" w:fill="auto"/>
            <w:vAlign w:val="center"/>
          </w:tcPr>
          <w:p w14:paraId="013727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1.48 (1.44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1.54)</w:t>
            </w:r>
          </w:p>
        </w:tc>
        <w:tc>
          <w:tcPr>
            <w:tcW w:w="546" w:type="pct"/>
            <w:tcBorders>
              <w:top w:val="single" w:color="000000" w:themeColor="text1" w:sz="4" w:space="0"/>
              <w:tl2br w:val="nil"/>
              <w:tr2bl w:val="nil"/>
            </w:tcBorders>
            <w:shd w:val="clear" w:color="auto" w:fill="auto"/>
            <w:vAlign w:val="center"/>
          </w:tcPr>
          <w:p w14:paraId="4059F2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</w:tr>
      <w:tr w14:paraId="4AC38D12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E408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Scotland</w:t>
            </w:r>
          </w:p>
        </w:tc>
        <w:tc>
          <w:tcPr>
            <w:tcW w:w="15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2700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1.13 (1.09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1.17)</w:t>
            </w:r>
          </w:p>
        </w:tc>
        <w:tc>
          <w:tcPr>
            <w:tcW w:w="47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333A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  <w:tc>
          <w:tcPr>
            <w:tcW w:w="14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2D40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1.50 (1.29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1.75)</w:t>
            </w:r>
          </w:p>
        </w:tc>
        <w:tc>
          <w:tcPr>
            <w:tcW w:w="5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05DF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</w:tr>
      <w:tr w14:paraId="2CAA4B20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61F7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Wales</w:t>
            </w:r>
          </w:p>
        </w:tc>
        <w:tc>
          <w:tcPr>
            <w:tcW w:w="15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1F8E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1.17 (1.11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1.23)</w:t>
            </w:r>
          </w:p>
        </w:tc>
        <w:tc>
          <w:tcPr>
            <w:tcW w:w="47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4D38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  <w:tc>
          <w:tcPr>
            <w:tcW w:w="14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6D74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1.44 (1.23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1.69)</w:t>
            </w:r>
          </w:p>
        </w:tc>
        <w:tc>
          <w:tcPr>
            <w:tcW w:w="5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B30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&lt;0.001</w:t>
            </w:r>
          </w:p>
        </w:tc>
      </w:tr>
    </w:tbl>
    <w:p w14:paraId="7FAF284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center"/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  <w:t>Model adjusted for age, sex, ethnicity, education, Townsend deprivation index, smoking status, alcohol intake, dietary score, sleep duration, physical activity, hypertension, diabetes, and low-density lipoprotein cholesterol.</w:t>
      </w:r>
    </w:p>
    <w:p w14:paraId="51F51549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>Abbreviations: CI, confidence interval; HR, hazard ratio; SD, standard deviation; TyG–MLI, triglyceride–glucose</w:t>
      </w:r>
      <w:r>
        <w:rPr>
          <w:rFonts w:hint="eastAsia" w:ascii="Times New Roman" w:hAnsi="Times New Roman" w:cs="Times New Roman"/>
          <w:i w:val="0"/>
          <w:iCs w:val="0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>muscle</w:t>
      </w:r>
      <w:r>
        <w:rPr>
          <w:rFonts w:hint="default" w:ascii="Times New Roman" w:hAnsi="Times New Roman" w:cs="Times New Roman"/>
          <w:i w:val="0"/>
          <w:iCs w:val="0"/>
          <w:kern w:val="0"/>
          <w:sz w:val="16"/>
          <w:szCs w:val="16"/>
          <w:lang w:val="en-US" w:eastAsia="zh-CN" w:bidi="ar"/>
        </w:rPr>
        <w:t>-</w:t>
      </w:r>
      <w:r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  <w:t>loss index.</w:t>
      </w:r>
    </w:p>
    <w:p w14:paraId="393B9BC0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</w:pPr>
    </w:p>
    <w:p w14:paraId="26DD6B7E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cs="Times New Roman" w:eastAsiaTheme="minorEastAsia"/>
          <w:i w:val="0"/>
          <w:iCs w:val="0"/>
          <w:kern w:val="0"/>
          <w:sz w:val="16"/>
          <w:szCs w:val="16"/>
          <w:lang w:val="en-US" w:eastAsia="zh-CN" w:bidi="ar"/>
        </w:rPr>
      </w:pPr>
    </w:p>
    <w:p w14:paraId="28E65B7F">
      <w:p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Supplementary Figure S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1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.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>Scaled Schoenfeld residuals for TyG–MLI.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  <w:t xml:space="preserve"> </w:t>
      </w:r>
    </w:p>
    <w:p w14:paraId="048A14FF">
      <w:p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baseline"/>
          <w:lang w:val="en-US" w:eastAsia="zh-CN" w:bidi="ar-SA"/>
        </w:rPr>
      </w:pPr>
    </w:p>
    <w:p w14:paraId="1C73C0F0">
      <w:pPr>
        <w:jc w:val="center"/>
      </w:pPr>
      <w:bookmarkStart w:id="0" w:name="_GoBack"/>
      <w:bookmarkEnd w:id="0"/>
      <w:r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  <w:drawing>
          <wp:inline distT="0" distB="0" distL="114300" distR="114300">
            <wp:extent cx="4911090" cy="2543175"/>
            <wp:effectExtent l="0" t="0" r="3810" b="317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rcRect t="15708" b="4336"/>
                    <a:stretch>
                      <a:fillRect/>
                    </a:stretch>
                  </pic:blipFill>
                  <pic:spPr>
                    <a:xfrm>
                      <a:off x="0" y="0"/>
                      <a:ext cx="491109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440" w:bottom="144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CF50A2"/>
    <w:rsid w:val="00AE1C1E"/>
    <w:rsid w:val="03713C70"/>
    <w:rsid w:val="040000C7"/>
    <w:rsid w:val="0865499C"/>
    <w:rsid w:val="095F763D"/>
    <w:rsid w:val="0E0F5571"/>
    <w:rsid w:val="0EFE3455"/>
    <w:rsid w:val="0FD75461"/>
    <w:rsid w:val="0FFF56D6"/>
    <w:rsid w:val="101B6D01"/>
    <w:rsid w:val="109B53FF"/>
    <w:rsid w:val="149D16A7"/>
    <w:rsid w:val="151E215B"/>
    <w:rsid w:val="16227A29"/>
    <w:rsid w:val="1B851185"/>
    <w:rsid w:val="1C224C26"/>
    <w:rsid w:val="1E2A1B70"/>
    <w:rsid w:val="23452FA8"/>
    <w:rsid w:val="26154EB4"/>
    <w:rsid w:val="28060F58"/>
    <w:rsid w:val="29842A7C"/>
    <w:rsid w:val="2C1B0D4A"/>
    <w:rsid w:val="2F68074A"/>
    <w:rsid w:val="375A4E1C"/>
    <w:rsid w:val="378D125D"/>
    <w:rsid w:val="38523D46"/>
    <w:rsid w:val="39F41558"/>
    <w:rsid w:val="3A4C0E33"/>
    <w:rsid w:val="3A744447"/>
    <w:rsid w:val="3ACC7DDF"/>
    <w:rsid w:val="3BB23479"/>
    <w:rsid w:val="3DCF50A2"/>
    <w:rsid w:val="42925DB2"/>
    <w:rsid w:val="45992FB4"/>
    <w:rsid w:val="45B50693"/>
    <w:rsid w:val="46A221CE"/>
    <w:rsid w:val="477C493B"/>
    <w:rsid w:val="4800731A"/>
    <w:rsid w:val="4916491B"/>
    <w:rsid w:val="492C413F"/>
    <w:rsid w:val="49724248"/>
    <w:rsid w:val="4C080E93"/>
    <w:rsid w:val="4EEF00E8"/>
    <w:rsid w:val="4FAC0B58"/>
    <w:rsid w:val="50265D8C"/>
    <w:rsid w:val="50830AE8"/>
    <w:rsid w:val="51F0263D"/>
    <w:rsid w:val="525955B1"/>
    <w:rsid w:val="52C35B14"/>
    <w:rsid w:val="531F76EA"/>
    <w:rsid w:val="558A46C7"/>
    <w:rsid w:val="55E4027B"/>
    <w:rsid w:val="55ED2635"/>
    <w:rsid w:val="591075D9"/>
    <w:rsid w:val="59A65B29"/>
    <w:rsid w:val="5A557999"/>
    <w:rsid w:val="5C06522C"/>
    <w:rsid w:val="5CAF2C65"/>
    <w:rsid w:val="6222317D"/>
    <w:rsid w:val="64D12312"/>
    <w:rsid w:val="657B5DDA"/>
    <w:rsid w:val="669C06FE"/>
    <w:rsid w:val="69270753"/>
    <w:rsid w:val="6D5238C5"/>
    <w:rsid w:val="6E360992"/>
    <w:rsid w:val="6FA56875"/>
    <w:rsid w:val="70765B1C"/>
    <w:rsid w:val="71816E6E"/>
    <w:rsid w:val="71C04142"/>
    <w:rsid w:val="71D90A58"/>
    <w:rsid w:val="74F160B9"/>
    <w:rsid w:val="76796366"/>
    <w:rsid w:val="76F31C74"/>
    <w:rsid w:val="771F2A69"/>
    <w:rsid w:val="7ADB314B"/>
    <w:rsid w:val="7BBA0FB3"/>
    <w:rsid w:val="7CED360A"/>
    <w:rsid w:val="7E924469"/>
    <w:rsid w:val="7E9401E1"/>
    <w:rsid w:val="7F8C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character" w:customStyle="1" w:styleId="9">
    <w:name w:val="font11"/>
    <w:basedOn w:val="6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2334</Words>
  <Characters>14336</Characters>
  <Lines>0</Lines>
  <Paragraphs>0</Paragraphs>
  <TotalTime>0</TotalTime>
  <ScaleCrop>false</ScaleCrop>
  <LinksUpToDate>false</LinksUpToDate>
  <CharactersWithSpaces>15991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2025-09-21T04:10:00Z</dcterms:created>
  <dc:creator>方子</dc:creator>
  <cp:lastModifiedBy>方子</cp:lastModifiedBy>
  <dcterms:modified xsi:type="dcterms:W3CDTF">2025-11-22T16:06:30Z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622FA8F7F9374A01B3329F3CE1A817CA_11</vt:lpwstr>
  </property>
  <property fmtid="{D5CDD505-2E9C-101B-9397-08002B2CF9AE}" pid="4" name="KSOTemplateDocerSaveRecord">
    <vt:lpwstr>eyJoZGlkIjoiNDAzNTcwOTNjMmVjN2RiZDc0NWU5ODJlMzc3OGZiZGIiLCJ1c2VySWQiOiI0MjI1NDQ1NTMifQ==</vt:lpwstr>
  </property>
</Properties>
</file>