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E04FF">
      <w:pPr>
        <w:spacing w:before="60" w:after="120" w:line="276" w:lineRule="auto"/>
        <w:jc w:val="center"/>
        <w:rPr>
          <w:rFonts w:hint="default" w:ascii="Times New Roman" w:hAnsi="Times New Roman" w:eastAsia="MS Mincho" w:cs="Times New Roman"/>
          <w:b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MS Mincho" w:cs="Times New Roman"/>
          <w:b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Supplemental Materials to</w:t>
      </w:r>
    </w:p>
    <w:p w14:paraId="63028A97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sz w:val="32"/>
          <w:szCs w:val="32"/>
          <w:lang w:val="en-US"/>
        </w:rPr>
        <w:t>Improved</w:t>
      </w:r>
      <w:r>
        <w:rPr>
          <w:rFonts w:hint="default" w:ascii="Times New Roman" w:hAnsi="Times New Roman" w:eastAsia="宋体" w:cs="Times New Roman"/>
          <w:b/>
          <w:sz w:val="32"/>
          <w:szCs w:val="32"/>
          <w:lang w:val="en-US"/>
        </w:rPr>
        <w:t xml:space="preserve"> sex-specific </w:t>
      </w:r>
      <w:r>
        <w:rPr>
          <w:rFonts w:hint="default" w:ascii="Times New Roman" w:hAnsi="Times New Roman" w:cs="Times New Roman"/>
          <w:b/>
          <w:sz w:val="32"/>
          <w:szCs w:val="32"/>
          <w:lang w:val="en-US"/>
        </w:rPr>
        <w:t xml:space="preserve">cardiovascular risk prediction with multi-omics data </w:t>
      </w:r>
      <w:r>
        <w:rPr>
          <w:rFonts w:hint="default" w:ascii="Times New Roman" w:hAnsi="Times New Roman" w:eastAsia="宋体" w:cs="Times New Roman"/>
          <w:b/>
          <w:sz w:val="32"/>
          <w:szCs w:val="32"/>
          <w:lang w:val="en-US"/>
        </w:rPr>
        <w:t>in</w:t>
      </w:r>
      <w:r>
        <w:rPr>
          <w:rFonts w:hint="default"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/>
          <w:sz w:val="32"/>
          <w:szCs w:val="32"/>
          <w:lang w:val="en-US"/>
        </w:rPr>
        <w:t>people with type 2</w:t>
      </w:r>
      <w:r>
        <w:rPr>
          <w:rFonts w:hint="default" w:ascii="Times New Roman" w:hAnsi="Times New Roman" w:cs="Times New Roman"/>
          <w:b/>
          <w:sz w:val="32"/>
          <w:szCs w:val="32"/>
          <w:lang w:val="en-US"/>
        </w:rPr>
        <w:t xml:space="preserve"> diabetes</w:t>
      </w:r>
    </w:p>
    <w:p w14:paraId="74FFCEF2">
      <w:pPr>
        <w:spacing w:line="360" w:lineRule="auto"/>
        <w:jc w:val="both"/>
        <w:rPr>
          <w:rFonts w:hint="default" w:ascii="Times New Roman" w:hAnsi="Times New Roman" w:eastAsia="宋体" w:cs="Times New Roman"/>
          <w:b/>
          <w:sz w:val="32"/>
          <w:szCs w:val="32"/>
          <w:lang w:val="en-US"/>
        </w:rPr>
      </w:pPr>
      <w:bookmarkStart w:id="25" w:name="_GoBack"/>
      <w:bookmarkEnd w:id="25"/>
    </w:p>
    <w:sdt>
      <w:sdtPr>
        <w:rPr>
          <w:rStyle w:val="56"/>
          <w:rFonts w:hint="default" w:ascii="Times New Roman" w:hAnsi="Times New Roman" w:cs="Times New Roman"/>
          <w:color w:val="00B0F0"/>
          <w:lang w:val="de-DE" w:eastAsia="zh-CN"/>
        </w:rPr>
        <w:id w:val="1240993099"/>
        <w:docPartObj>
          <w:docPartGallery w:val="Table of Contents"/>
          <w:docPartUnique/>
        </w:docPartObj>
      </w:sdtPr>
      <w:sdtEndPr>
        <w:rPr>
          <w:rStyle w:val="56"/>
          <w:rFonts w:hint="default" w:ascii="Times New Roman" w:hAnsi="Times New Roman" w:cs="Times New Roman"/>
          <w:b w:val="0"/>
          <w:bCs w:val="0"/>
          <w:iCs/>
          <w:color w:val="auto"/>
          <w:sz w:val="24"/>
          <w:szCs w:val="24"/>
          <w:lang w:val="de-DE" w:eastAsia="zh-CN"/>
        </w:rPr>
      </w:sdtEndPr>
      <w:sdtContent>
        <w:p w14:paraId="634101D2">
          <w:pPr>
            <w:spacing w:line="288" w:lineRule="auto"/>
            <w:ind w:left="2951" w:hanging="2941" w:hangingChars="1050"/>
            <w:rPr>
              <w:rFonts w:hint="default" w:ascii="Times New Roman" w:hAnsi="Times New Roman" w:cs="Times New Roman"/>
              <w:iCs/>
            </w:rPr>
          </w:pPr>
          <w:r>
            <w:rPr>
              <w:rStyle w:val="56"/>
              <w:rFonts w:hint="default" w:ascii="Times New Roman" w:hAnsi="Times New Roman" w:cs="Times New Roman"/>
              <w:color w:val="2F5597" w:themeColor="accent1" w:themeShade="BF"/>
            </w:rPr>
            <w:t>Table of Contents</w:t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TOC \o "1-3" \h \z \u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</w:p>
        <w:p w14:paraId="117F9522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"_Toc31994"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>Supplemental Table S</w:t>
          </w:r>
          <w:r>
            <w:rPr>
              <w:rFonts w:hint="default" w:ascii="Times New Roman" w:hAnsi="Times New Roman" w:eastAsia="宋体" w:cs="Times New Roman"/>
              <w:i w:val="0"/>
              <w:iCs w:val="0"/>
              <w:lang w:val="en-US"/>
            </w:rPr>
            <w:t>1</w:t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 xml:space="preserve">. 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>Selected multi-omic biomarkers and data sources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_Toc31994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2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5E3F426A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"_Toc3681"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>Supplemental Table S</w:t>
          </w:r>
          <w:r>
            <w:rPr>
              <w:rFonts w:hint="default" w:ascii="Times New Roman" w:hAnsi="Times New Roman" w:eastAsia="宋体" w:cs="Times New Roman"/>
              <w:i w:val="0"/>
              <w:iCs w:val="0"/>
              <w:lang w:val="en-US"/>
            </w:rPr>
            <w:t>2</w:t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 xml:space="preserve">. 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>Definition of endpoint major cardiovascular event (MACE)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_Toc3681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3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4408372A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"_Toc7752"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 xml:space="preserve">Supplemental Table S3.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 w:eastAsia="en-US"/>
            </w:rPr>
            <w:t>ß-coefficients of the variables of the SCORE2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-Diabetes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 w:eastAsia="en-US"/>
            </w:rPr>
            <w:t xml:space="preserve"> model extended by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15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 w:eastAsia="en-US"/>
            </w:rPr>
            <w:t xml:space="preserve">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protein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 w:eastAsia="en-US"/>
            </w:rPr>
            <w:t>s for 10-year prediction of major cardiovascular events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_Toc7752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4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0BC571D8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"_Toc25393"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>Supplemental Table S</w:t>
          </w:r>
          <w:r>
            <w:rPr>
              <w:rFonts w:hint="default" w:ascii="Times New Roman" w:hAnsi="Times New Roman" w:eastAsia="宋体" w:cs="Times New Roman"/>
              <w:i w:val="0"/>
              <w:iCs w:val="0"/>
              <w:lang w:val="en-US"/>
            </w:rPr>
            <w:t>4</w:t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>.</w:t>
          </w:r>
          <w:r>
            <w:rPr>
              <w:rFonts w:hint="default" w:ascii="Times New Roman" w:hAnsi="Times New Roman" w:cs="Times New Roman"/>
              <w:i w:val="0"/>
              <w:iCs w:val="0"/>
              <w:lang w:val="en-US" w:eastAsia="en-US"/>
            </w:rPr>
            <w:t xml:space="preserve"> 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 w:eastAsia="en-US"/>
            </w:rPr>
            <w:t>NRI and IDI for 10-year MACE prediction by extending the SCORE2-Diabetes model with single- and multi-omics data (N=990)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_Toc25393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6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08E054EE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"_Toc13259"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 xml:space="preserve">Supplemental Table S5.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 w:eastAsia="en-US"/>
            </w:rPr>
            <w:t>ß-coefficients of the variables of the SCORE2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-Diabetes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 w:eastAsia="en-US"/>
            </w:rPr>
            <w:t xml:space="preserve"> model extended by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 xml:space="preserve"> selected multi-omics biomarkers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 w:eastAsia="en-US"/>
            </w:rPr>
            <w:t xml:space="preserve"> for 10-year prediction of major cardiovascular events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_Toc13259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7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50B6ADFE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"_Toc11368"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Supplemental Figure S1.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</w:rPr>
            <w:t xml:space="preserve"> Flow charts of participant selection for proteomics-based and multi-omics-based cardiovascular risk prediction analyses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_Toc11368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9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09B4654D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"_Toc27141"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Supplemental Figure S</w:t>
          </w:r>
          <w:r>
            <w:rPr>
              <w:rFonts w:hint="default" w:ascii="Times New Roman" w:hAnsi="Times New Roman" w:eastAsia="宋体" w:cs="Times New Roman"/>
              <w:i w:val="0"/>
              <w:iCs w:val="0"/>
            </w:rPr>
            <w:t>2</w:t>
          </w:r>
          <w:r>
            <w:rPr>
              <w:rFonts w:hint="default" w:ascii="Times New Roman" w:hAnsi="Times New Roman" w:cs="Times New Roman"/>
              <w:i w:val="0"/>
              <w:iCs w:val="0"/>
            </w:rPr>
            <w:t xml:space="preserve">. 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</w:rPr>
            <w:t xml:space="preserve">ROC curves comparing the discrimination of the SCORE2-Diabetes model with and without proteomics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</w:rPr>
            <w:t xml:space="preserve">extension 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</w:rPr>
            <w:t>for 10-year MACE risk (N=1,751)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_Toc27141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10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0C24AC67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"_Toc18119"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>Supplemental Figure S</w:t>
          </w:r>
          <w:r>
            <w:rPr>
              <w:rFonts w:hint="default" w:ascii="Times New Roman" w:hAnsi="Times New Roman" w:eastAsia="宋体" w:cs="Times New Roman"/>
              <w:i w:val="0"/>
              <w:iCs w:val="0"/>
              <w:lang w:val="en-US"/>
            </w:rPr>
            <w:t>3</w:t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 xml:space="preserve">. 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Calibration curves of the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SCORE2-Diabetes model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 with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 xml:space="preserve"> and without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proteomics extension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 for 10-year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MACE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 risk prediction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 xml:space="preserve"> (N=1,751)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_Toc18119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11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719426EF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"_Toc3045"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Supplemental Figure S</w:t>
          </w:r>
          <w:r>
            <w:rPr>
              <w:rFonts w:hint="default" w:ascii="Times New Roman" w:hAnsi="Times New Roman" w:eastAsia="宋体" w:cs="Times New Roman"/>
              <w:i w:val="0"/>
              <w:iCs w:val="0"/>
            </w:rPr>
            <w:t>4</w:t>
          </w:r>
          <w:r>
            <w:rPr>
              <w:rFonts w:hint="default" w:ascii="Times New Roman" w:hAnsi="Times New Roman" w:cs="Times New Roman"/>
              <w:i w:val="0"/>
              <w:iCs w:val="0"/>
            </w:rPr>
            <w:t xml:space="preserve">. 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</w:rPr>
            <w:t xml:space="preserve">ROC curves comparing the discrimination of the SCORE2-Diabetes model with and without multi-omics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</w:rPr>
            <w:t>extension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</w:rPr>
            <w:t xml:space="preserve"> for 10-year MACE risk (N=990)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_Toc3045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12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73281E66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"_Toc5582"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>Supplemental Figure S</w:t>
          </w:r>
          <w:r>
            <w:rPr>
              <w:rFonts w:hint="default" w:ascii="Times New Roman" w:hAnsi="Times New Roman" w:eastAsia="宋体" w:cs="Times New Roman"/>
              <w:i w:val="0"/>
              <w:iCs w:val="0"/>
              <w:lang w:val="en-US"/>
            </w:rPr>
            <w:t>5</w:t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 xml:space="preserve">. 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Calibration curves of the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SCORE2-Diabetes model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 with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 xml:space="preserve"> and without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multi-omics extension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 for 10-year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MACE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  <w:lang w:val="en-US"/>
            </w:rPr>
            <w:t xml:space="preserve"> risk prediction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 xml:space="preserve"> (N=990)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_Toc5582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13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5F5BE984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"_Toc27128"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Supplemental Figure S</w:t>
          </w:r>
          <w:r>
            <w:rPr>
              <w:rFonts w:hint="default" w:ascii="Times New Roman" w:hAnsi="Times New Roman" w:eastAsia="宋体" w:cs="Times New Roman"/>
              <w:i w:val="0"/>
              <w:iCs w:val="0"/>
            </w:rPr>
            <w:t>6</w:t>
          </w:r>
          <w:r>
            <w:rPr>
              <w:rFonts w:hint="default" w:ascii="Times New Roman" w:hAnsi="Times New Roman" w:cs="Times New Roman"/>
              <w:i w:val="0"/>
              <w:iCs w:val="0"/>
            </w:rPr>
            <w:t xml:space="preserve">. 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</w:rPr>
            <w:t xml:space="preserve">Associations of selected multi-omics biomarkers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</w:rPr>
            <w:t>and</w:t>
          </w:r>
          <w:r>
            <w:rPr>
              <w:rFonts w:hint="default" w:ascii="Times New Roman" w:hAnsi="Times New Roman" w:cs="Times New Roman"/>
              <w:b w:val="0"/>
              <w:bCs w:val="0"/>
              <w:i w:val="0"/>
              <w:iCs w:val="0"/>
            </w:rPr>
            <w:t xml:space="preserve"> 10-year risk of MACE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</w:rPr>
            <w:t>(N=990)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_Toc27128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14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7E2C4122">
          <w:pPr>
            <w:pStyle w:val="15"/>
            <w:tabs>
              <w:tab w:val="right" w:leader="dot" w:pos="10466"/>
            </w:tabs>
            <w:spacing w:line="360" w:lineRule="auto"/>
            <w:rPr>
              <w:rFonts w:hint="default" w:ascii="Times New Roman" w:hAnsi="Times New Roman" w:cs="Times New Roman"/>
              <w:i w:val="0"/>
              <w:iCs w:val="0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"_Toc24250"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  <w:lang w:val="en-US"/>
            </w:rPr>
            <w:t xml:space="preserve">Supplemental </w:t>
          </w:r>
          <w:r>
            <w:rPr>
              <w:rFonts w:hint="default" w:ascii="Times New Roman" w:hAnsi="Times New Roman" w:eastAsia="宋体" w:cs="Times New Roman"/>
              <w:i w:val="0"/>
              <w:iCs w:val="0"/>
              <w:lang w:val="en-US"/>
            </w:rPr>
            <w:t xml:space="preserve">Figure S7. </w:t>
          </w:r>
          <w:r>
            <w:rPr>
              <w:rFonts w:hint="default" w:ascii="Times New Roman" w:hAnsi="Times New Roman" w:eastAsia="宋体" w:cs="Times New Roman"/>
              <w:b w:val="0"/>
              <w:bCs w:val="0"/>
              <w:i w:val="0"/>
              <w:iCs w:val="0"/>
              <w:lang w:val="en-US"/>
            </w:rPr>
            <w:t>Spearman correlation matrices for selected multi-omics biomarkers (N=990)</w:t>
          </w:r>
          <w:r>
            <w:rPr>
              <w:rFonts w:hint="default" w:ascii="Times New Roman" w:hAnsi="Times New Roman" w:cs="Times New Roman"/>
              <w:i w:val="0"/>
              <w:iCs w:val="0"/>
            </w:rPr>
            <w:tab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begin"/>
          </w:r>
          <w:r>
            <w:rPr>
              <w:rFonts w:hint="default" w:ascii="Times New Roman" w:hAnsi="Times New Roman" w:cs="Times New Roman"/>
              <w:i w:val="0"/>
              <w:iCs w:val="0"/>
            </w:rPr>
            <w:instrText xml:space="preserve"> PAGEREF _Toc24250 \h </w:instrTex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separate"/>
          </w:r>
          <w:r>
            <w:rPr>
              <w:rFonts w:hint="default" w:ascii="Times New Roman" w:hAnsi="Times New Roman" w:cs="Times New Roman"/>
              <w:i w:val="0"/>
              <w:iCs w:val="0"/>
            </w:rPr>
            <w:t>15</w:t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  <w:r>
            <w:rPr>
              <w:rFonts w:hint="default" w:ascii="Times New Roman" w:hAnsi="Times New Roman" w:cs="Times New Roman"/>
              <w:i w:val="0"/>
              <w:iCs w:val="0"/>
            </w:rPr>
            <w:fldChar w:fldCharType="end"/>
          </w:r>
        </w:p>
        <w:p w14:paraId="1118EF15">
          <w:pPr>
            <w:spacing w:line="288" w:lineRule="auto"/>
            <w:ind w:left="2520" w:hanging="2520" w:hangingChars="1050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iCs/>
            </w:rPr>
            <w:fldChar w:fldCharType="end"/>
          </w:r>
        </w:p>
      </w:sdtContent>
    </w:sdt>
    <w:p w14:paraId="64249489">
      <w:pPr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bookmarkStart w:id="0" w:name="_Toc139038028"/>
      <w:r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br w:type="page"/>
      </w:r>
    </w:p>
    <w:p w14:paraId="64556443">
      <w:pPr>
        <w:tabs>
          <w:tab w:val="center" w:pos="6979"/>
        </w:tabs>
        <w:spacing w:before="120" w:after="120" w:line="360" w:lineRule="auto"/>
        <w:outlineLvl w:val="0"/>
        <w:rPr>
          <w:rFonts w:hint="default" w:ascii="Times New Roman" w:hAnsi="Times New Roman" w:cs="Times New Roman"/>
          <w:lang w:val="en-US"/>
        </w:rPr>
      </w:pPr>
      <w:bookmarkStart w:id="1" w:name="_Toc31994"/>
      <w:r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Supplemental </w:t>
      </w:r>
      <w:r>
        <w:rPr>
          <w:rFonts w:hint="default" w:ascii="Times New Roman" w:hAnsi="Times New Roman" w:cs="Times New Roman"/>
          <w:b/>
          <w:bCs/>
          <w:lang w:val="en-US"/>
        </w:rPr>
        <w:t>Table S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1</w:t>
      </w:r>
      <w:r>
        <w:rPr>
          <w:rFonts w:hint="default" w:ascii="Times New Roman" w:hAnsi="Times New Roman" w:cs="Times New Roman"/>
          <w:b/>
          <w:bCs/>
          <w:lang w:val="en-US"/>
        </w:rPr>
        <w:t>.</w:t>
      </w:r>
      <w:r>
        <w:rPr>
          <w:rFonts w:hint="default" w:ascii="Times New Roman" w:hAnsi="Times New Roman" w:cs="Times New Roman"/>
          <w:lang w:val="en-US"/>
        </w:rPr>
        <w:t xml:space="preserve"> Selected multi-omic biomarkers and data sources</w:t>
      </w:r>
      <w:bookmarkEnd w:id="1"/>
    </w:p>
    <w:tbl>
      <w:tblPr>
        <w:tblStyle w:val="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971"/>
        <w:gridCol w:w="2529"/>
        <w:gridCol w:w="3832"/>
      </w:tblGrid>
      <w:tr w14:paraId="6188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445C31C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  <w:t>Omics</w:t>
            </w:r>
          </w:p>
        </w:tc>
        <w:tc>
          <w:tcPr>
            <w:tcW w:w="3024" w:type="dxa"/>
          </w:tcPr>
          <w:p w14:paraId="5ADE83F7">
            <w:pPr>
              <w:tabs>
                <w:tab w:val="center" w:pos="6979"/>
              </w:tabs>
              <w:spacing w:before="12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  <w:t>Males</w:t>
            </w:r>
          </w:p>
        </w:tc>
        <w:tc>
          <w:tcPr>
            <w:tcW w:w="2497" w:type="dxa"/>
          </w:tcPr>
          <w:p w14:paraId="74830A7C">
            <w:pPr>
              <w:tabs>
                <w:tab w:val="center" w:pos="6979"/>
              </w:tabs>
              <w:spacing w:before="120" w:after="120"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  <w:t>Females</w:t>
            </w:r>
          </w:p>
        </w:tc>
        <w:tc>
          <w:tcPr>
            <w:tcW w:w="3731" w:type="dxa"/>
          </w:tcPr>
          <w:p w14:paraId="3D8C863D">
            <w:pPr>
              <w:tabs>
                <w:tab w:val="center" w:pos="6979"/>
              </w:tabs>
              <w:spacing w:before="120" w:after="120" w:line="360" w:lineRule="auto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  <w:t>Reference</w:t>
            </w:r>
          </w:p>
        </w:tc>
      </w:tr>
      <w:tr w14:paraId="08DA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4D95431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Genes</w:t>
            </w:r>
          </w:p>
        </w:tc>
        <w:tc>
          <w:tcPr>
            <w:tcW w:w="3024" w:type="dxa"/>
          </w:tcPr>
          <w:p w14:paraId="66E03266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PRS for CVD with 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1.42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million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non-zero SNP variants</w:t>
            </w:r>
          </w:p>
        </w:tc>
        <w:tc>
          <w:tcPr>
            <w:tcW w:w="2497" w:type="dxa"/>
          </w:tcPr>
          <w:p w14:paraId="3A74A063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PRS for CVD with 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1.42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million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non-zero SNP variants</w:t>
            </w:r>
          </w:p>
        </w:tc>
        <w:tc>
          <w:tcPr>
            <w:tcW w:w="3731" w:type="dxa"/>
          </w:tcPr>
          <w:p w14:paraId="6FB38F7B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The CVD-PRS was derived using a genome-wide meta-analysis of 9 external GWAS datasets comprising 1,840,289 individuals and has been previously published </w:t>
            </w:r>
            <w:r>
              <w:rPr>
                <w:rFonts w:hint="default" w:ascii="Times New Roman" w:hAnsi="Times New Roman" w:cs="Times New Roman"/>
                <w:lang w:val="en-US"/>
              </w:rPr>
              <w:fldChar w:fldCharType="begin">
                <w:fldData xml:space="preserve">PEVuZE5vdGU+PENpdGU+PEF1dGhvcj5UaG9tcHNvbjwvQXV0aG9yPjxZZWFyPjIwMjQ8L1llYXI+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</w:fldData>
              </w:fldChar>
            </w:r>
            <w:r>
              <w:rPr>
                <w:rFonts w:hint="default"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hint="default" w:ascii="Times New Roman" w:hAnsi="Times New Roman" w:cs="Times New Roman"/>
                <w:lang w:val="en-US"/>
              </w:rPr>
              <w:fldChar w:fldCharType="begin">
                <w:fldData xml:space="preserve">PEVuZE5vdGU+PENpdGU+PEF1dGhvcj5UaG9tcHNvbjwvQXV0aG9yPjxZZWFyPjIwMjQ8L1llYXI+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</w:fldData>
              </w:fldChar>
            </w:r>
            <w:r>
              <w:rPr>
                <w:rFonts w:hint="default"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hint="default" w:ascii="Times New Roman" w:hAnsi="Times New Roman" w:cs="Times New Roman"/>
                <w:lang w:val="en-US"/>
              </w:rPr>
              <w:fldChar w:fldCharType="end"/>
            </w:r>
            <w:r>
              <w:rPr>
                <w:rFonts w:hint="default"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hint="default" w:ascii="Times New Roman" w:hAnsi="Times New Roman" w:cs="Times New Roman"/>
                <w:lang w:val="en-US"/>
              </w:rPr>
              <w:t>[21]</w:t>
            </w:r>
            <w:r>
              <w:rPr>
                <w:rFonts w:hint="default" w:ascii="Times New Roman" w:hAnsi="Times New Roman" w:cs="Times New Roman"/>
                <w:lang w:val="en-US"/>
              </w:rPr>
              <w:fldChar w:fldCharType="end"/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. </w:t>
            </w:r>
          </w:p>
        </w:tc>
      </w:tr>
      <w:tr w14:paraId="15196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3807429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Metabolites</w:t>
            </w:r>
          </w:p>
        </w:tc>
        <w:tc>
          <w:tcPr>
            <w:tcW w:w="0" w:type="auto"/>
          </w:tcPr>
          <w:p w14:paraId="028C9E10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Acetate, 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a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lbumin, 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creatinine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omega-3-pct</w:t>
            </w:r>
            <w:r>
              <w:rPr>
                <w:rFonts w:hint="default" w:ascii="Times New Roman" w:hAnsi="Times New Roman" w:cs="Times New Roman"/>
                <w:lang w:val="en-US"/>
              </w:rPr>
              <w:t>, VLDL-size</w:t>
            </w:r>
          </w:p>
        </w:tc>
        <w:tc>
          <w:tcPr>
            <w:tcW w:w="0" w:type="auto"/>
          </w:tcPr>
          <w:p w14:paraId="3A62088A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Albumin, 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creatinine, 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GlycA, 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lactate</w:t>
            </w:r>
          </w:p>
        </w:tc>
        <w:tc>
          <w:tcPr>
            <w:tcW w:w="0" w:type="auto"/>
          </w:tcPr>
          <w:p w14:paraId="164B0D2B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The metabolites were selected using sex-specific LASSO regression in 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the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UKB 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(</w:t>
            </w:r>
            <w:r>
              <w:rPr>
                <w:rFonts w:hint="default" w:ascii="Times New Roman" w:hAnsi="Times New Roman" w:cs="Times New Roman"/>
                <w:lang w:val="en-US"/>
              </w:rPr>
              <w:t>n=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7</w:t>
            </w:r>
            <w:r>
              <w:rPr>
                <w:rFonts w:hint="default" w:ascii="Times New Roman" w:hAnsi="Times New Roman" w:cs="Times New Roman"/>
                <w:lang w:val="en-US"/>
              </w:rPr>
              <w:t>,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180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). See previous work </w:t>
            </w:r>
            <w:r>
              <w:rPr>
                <w:rFonts w:hint="default" w:ascii="Times New Roman" w:hAnsi="Times New Roman" w:cs="Times New Roman"/>
                <w:lang w:val="en-US"/>
              </w:rPr>
              <w:fldChar w:fldCharType="begin"/>
            </w:r>
            <w:r>
              <w:rPr>
                <w:rFonts w:hint="default" w:ascii="Times New Roman" w:hAnsi="Times New Roman" w:cs="Times New Roman"/>
                <w:lang w:val="en-US"/>
              </w:rPr>
              <w:instrText xml:space="preserve"> ADDIN EN.CITE &lt;EndNote&gt;&lt;Cite&gt;&lt;Author&gt;Xie&lt;/Author&gt;&lt;Year&gt;2025&lt;/Year&gt;&lt;RecNum&gt;1114&lt;/RecNum&gt;&lt;DisplayText&gt;[22]&lt;/DisplayText&gt;&lt;record&gt;&lt;rec-number&gt;1114&lt;/rec-number&gt;&lt;foreign-keys&gt;&lt;key app="EN" db-id="02v0swwfua55xjed5tspt5fu2t9rw5dv09va" timestamp="1737634829"&gt;1114&lt;/key&gt;&lt;/foreign-keys&gt;&lt;ref-type name="Journal Article"&gt;17&lt;/ref-type&gt;&lt;contributors&gt;&lt;authors&gt;&lt;author&gt;Xie, R.&lt;/author&gt;&lt;author&gt;Seum, T.&lt;/author&gt;&lt;author&gt;Sha, S.&lt;/author&gt;&lt;author&gt;Trares, K.&lt;/author&gt;&lt;author&gt;Holleczek, B.&lt;/author&gt;&lt;author&gt;Brenner, H.&lt;/author&gt;&lt;author&gt;Schöttker, B.&lt;/author&gt;&lt;/authors&gt;&lt;/contributors&gt;&lt;auth-address&gt;Division of Clinical Epidemiology and Aging Research, German Cancer Research Center, Im Neuenheimer Feld 581, 69120, Heidelberg, Germany.&amp;#xD;Faculty of Medicine, University of Heidelberg, 69115, Heidelberg, Germany.&amp;#xD;Saarland Cancer Registry, Neugeländstraße 9, 66117, Saarbrücken, Germany.&amp;#xD;Division of Clinical Epidemiology and Aging Research, German Cancer Research Center, Im Neuenheimer Feld 581, 69120, Heidelberg, Germany. b.schoettker@dkfz.de.&lt;/auth-address&gt;&lt;titles&gt;&lt;title&gt;Improving 10-year cardiovascular risk prediction in patients with type 2 diabetes with metabolomics&lt;/title&gt;&lt;secondary-title&gt;Cardiovasc Diabetol&lt;/secondary-title&gt;&lt;/titles&gt;&lt;periodical&gt;&lt;full-title&gt;Cardiovascular Diabetology&lt;/full-title&gt;&lt;abbr-1&gt;Cardiovasc. Diabetol.&lt;/abbr-1&gt;&lt;abbr-2&gt;Cardiovasc Diabetol&lt;/abbr-2&gt;&lt;/periodical&gt;&lt;pages&gt;18&lt;/pages&gt;&lt;volume&gt;24&lt;/volume&gt;&lt;number&gt;1&lt;/number&gt;&lt;edition&gt;2025/01/14&lt;/edition&gt;&lt;dates&gt;&lt;year&gt;2025&lt;/year&gt;&lt;pub-dates&gt;&lt;date&gt;Jan 13&lt;/date&gt;&lt;/pub-dates&gt;&lt;/dates&gt;&lt;isbn&gt;1475-2840&lt;/isbn&gt;&lt;accession-num&gt;39806417&lt;/accession-num&gt;&lt;urls&gt;&lt;/urls&gt;&lt;custom2&gt;PMC11730797&lt;/custom2&gt;&lt;electronic-resource-num&gt;10.1186/s12933-025-02581-3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hint="default"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hint="default" w:ascii="Times New Roman" w:hAnsi="Times New Roman" w:cs="Times New Roman"/>
                <w:lang w:val="en-US"/>
              </w:rPr>
              <w:t>[22]</w:t>
            </w:r>
            <w:r>
              <w:rPr>
                <w:rFonts w:hint="default" w:ascii="Times New Roman" w:hAnsi="Times New Roman" w:cs="Times New Roman"/>
                <w:lang w:val="en-US"/>
              </w:rPr>
              <w:fldChar w:fldCharType="end"/>
            </w:r>
            <w:r>
              <w:rPr>
                <w:rFonts w:hint="default" w:ascii="Times New Roman" w:hAnsi="Times New Roman" w:cs="Times New Roman"/>
                <w:lang w:val="en-US"/>
              </w:rPr>
              <w:t>.</w:t>
            </w:r>
          </w:p>
        </w:tc>
      </w:tr>
      <w:tr w14:paraId="47705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1CCA31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Proteins</w:t>
            </w:r>
          </w:p>
        </w:tc>
        <w:tc>
          <w:tcPr>
            <w:tcW w:w="0" w:type="auto"/>
          </w:tcPr>
          <w:p w14:paraId="4C2F03F2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CTA2, CHGA, </w:t>
            </w:r>
            <w:r>
              <w:rPr>
                <w:rFonts w:hint="default" w:ascii="Times New Roman" w:hAnsi="Times New Roman" w:cs="Times New Roman"/>
                <w:lang w:val="en-US"/>
              </w:rPr>
              <w:t>C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RNN, ENPP5, GAST, </w:t>
            </w:r>
            <w:r>
              <w:rPr>
                <w:rFonts w:hint="default" w:ascii="Times New Roman" w:hAnsi="Times New Roman" w:cs="Times New Roman"/>
                <w:lang w:val="en-US"/>
              </w:rPr>
              <w:t>NT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proBNP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, POSTN, TRIM21, </w:t>
            </w:r>
            <w:r>
              <w:rPr>
                <w:rFonts w:hint="default" w:ascii="Times New Roman" w:hAnsi="Times New Roman" w:cs="Times New Roman"/>
                <w:lang w:val="en-US"/>
              </w:rPr>
              <w:t>WFDC2</w:t>
            </w:r>
          </w:p>
        </w:tc>
        <w:tc>
          <w:tcPr>
            <w:tcW w:w="0" w:type="auto"/>
          </w:tcPr>
          <w:p w14:paraId="57384B43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CTRC, EFHD1, HS3ST3B1, IL22, SMOC1, TNC, </w:t>
            </w:r>
            <w:r>
              <w:rPr>
                <w:rFonts w:hint="default" w:ascii="Times New Roman" w:hAnsi="Times New Roman" w:cs="Times New Roman"/>
                <w:lang w:val="en-US"/>
              </w:rPr>
              <w:t>WFDC2</w:t>
            </w:r>
          </w:p>
        </w:tc>
        <w:tc>
          <w:tcPr>
            <w:tcW w:w="0" w:type="auto"/>
          </w:tcPr>
          <w:p w14:paraId="436A9954">
            <w:pPr>
              <w:tabs>
                <w:tab w:val="center" w:pos="6979"/>
              </w:tabs>
              <w:spacing w:before="120" w:after="120" w:line="360" w:lineRule="auto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The proteins were selected using sex-specific LASSO regression in this study using UK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B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 data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/>
              </w:rPr>
              <w:t>(n=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lang w:val="en-US"/>
              </w:rPr>
              <w:t>,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751</w:t>
            </w:r>
            <w:r>
              <w:rPr>
                <w:rFonts w:hint="default" w:ascii="Times New Roman" w:hAnsi="Times New Roman" w:cs="Times New Roman"/>
                <w:lang w:val="en-US"/>
              </w:rPr>
              <w:t xml:space="preserve">). </w:t>
            </w:r>
          </w:p>
        </w:tc>
      </w:tr>
    </w:tbl>
    <w:p w14:paraId="22BE42D4">
      <w:pPr>
        <w:tabs>
          <w:tab w:val="center" w:pos="6979"/>
        </w:tabs>
        <w:spacing w:before="120" w:after="120" w:line="360" w:lineRule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Abbreviations:</w:t>
      </w:r>
      <w:r>
        <w:rPr>
          <w:rFonts w:hint="default" w:ascii="Times New Roman" w:hAnsi="Times New Roman" w:cs="Times New Roman"/>
          <w:lang w:val="en-US"/>
        </w:rPr>
        <w:t xml:space="preserve"> ACTA2, Actin Alpha 2</w:t>
      </w:r>
      <w:r>
        <w:rPr>
          <w:rFonts w:hint="default" w:ascii="Times New Roman" w:hAnsi="Times New Roman" w:cs="Times New Roman"/>
          <w:lang w:val="en-US" w:eastAsia="en-US"/>
        </w:rPr>
        <w:t xml:space="preserve">; </w:t>
      </w:r>
      <w:r>
        <w:rPr>
          <w:rFonts w:hint="default" w:ascii="Times New Roman" w:hAnsi="Times New Roman" w:cs="Times New Roman"/>
          <w:lang w:val="en-US"/>
        </w:rPr>
        <w:t xml:space="preserve">CHGA, Chromogranin-A; CRNN, Cornulin; CTRC, Chymotrypsin-C; </w:t>
      </w:r>
      <w:r>
        <w:rPr>
          <w:rFonts w:hint="default" w:ascii="Times New Roman" w:hAnsi="Times New Roman" w:eastAsia="宋体" w:cs="Times New Roman"/>
          <w:lang w:val="en-US"/>
        </w:rPr>
        <w:t xml:space="preserve">CVD, Cardiovascular Disease; </w:t>
      </w:r>
      <w:r>
        <w:rPr>
          <w:rFonts w:hint="default" w:ascii="Times New Roman" w:hAnsi="Times New Roman" w:cs="Times New Roman"/>
          <w:lang w:val="en-US"/>
        </w:rPr>
        <w:t>EFHD1, EF-hand domain-containing protein D1; ENPP5, Ectonucleotide pyrophosphatase/phosphodiesterase family member 5; GAST, Gastrin; HS3ST3B1, Heparan sulfate glucosamine 3-O-sulfotransferase 3B1; IL22, Interleukin-22; NT</w:t>
      </w:r>
      <w:r>
        <w:rPr>
          <w:rFonts w:hint="default" w:ascii="Times New Roman" w:hAnsi="Times New Roman" w:eastAsia="宋体" w:cs="Times New Roman"/>
          <w:lang w:val="en-US"/>
        </w:rPr>
        <w:t>-</w:t>
      </w:r>
      <w:r>
        <w:rPr>
          <w:rFonts w:hint="default" w:ascii="Times New Roman" w:hAnsi="Times New Roman" w:cs="Times New Roman"/>
          <w:lang w:val="en-US"/>
        </w:rPr>
        <w:t xml:space="preserve">proBNP, N-terminal prohormone of brain natriuretic peptide; Omega-3-pct, Omega-3 fatty acids percentage of total fatty acids; </w:t>
      </w:r>
      <w:r>
        <w:rPr>
          <w:rFonts w:hint="default" w:ascii="Times New Roman" w:hAnsi="Times New Roman" w:eastAsia="宋体" w:cs="Times New Roman"/>
          <w:lang w:val="en-US"/>
        </w:rPr>
        <w:t xml:space="preserve">PRS, polygenic risk score; </w:t>
      </w:r>
      <w:r>
        <w:rPr>
          <w:rFonts w:hint="default" w:ascii="Times New Roman" w:hAnsi="Times New Roman" w:cs="Times New Roman"/>
          <w:lang w:val="en-US"/>
        </w:rPr>
        <w:t xml:space="preserve">SMOC1, SPARC-related modular calcium-binding protein 1; SNP, single nucleotide polymorphism; TNC, Tenascin-C; TRIM21; E3 ubiquitin-protein ligase TRIM21; VLDL-size, Average diameter for very-low-density lipoprotein particles; </w:t>
      </w:r>
      <w:r>
        <w:rPr>
          <w:rFonts w:hint="default" w:ascii="Times New Roman" w:hAnsi="Times New Roman" w:cs="Times New Roman"/>
          <w:lang w:val="en-US" w:eastAsia="en-US"/>
        </w:rPr>
        <w:t>WFDC2, WAP four-disulfide core domain protein.</w:t>
      </w:r>
    </w:p>
    <w:p w14:paraId="47805C56">
      <w:pPr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br w:type="page"/>
      </w:r>
    </w:p>
    <w:p w14:paraId="0231256D">
      <w:pPr>
        <w:spacing w:line="360" w:lineRule="auto"/>
        <w:outlineLvl w:val="0"/>
        <w:rPr>
          <w:rFonts w:hint="default" w:ascii="Times New Roman" w:hAnsi="Times New Roman" w:eastAsia="宋体" w:cs="Times New Roman"/>
          <w:lang w:val="en-US"/>
        </w:rPr>
      </w:pPr>
      <w:bookmarkStart w:id="2" w:name="_Toc3681"/>
      <w:r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Supplemental </w:t>
      </w:r>
      <w:r>
        <w:rPr>
          <w:rFonts w:hint="default" w:ascii="Times New Roman" w:hAnsi="Times New Roman" w:cs="Times New Roman"/>
          <w:b/>
          <w:bCs/>
          <w:lang w:val="en-US"/>
        </w:rPr>
        <w:t>Table S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2</w:t>
      </w:r>
      <w:r>
        <w:rPr>
          <w:rFonts w:hint="default" w:ascii="Times New Roman" w:hAnsi="Times New Roman" w:cs="Times New Roman"/>
          <w:b/>
          <w:bCs/>
          <w:lang w:val="en-US"/>
        </w:rPr>
        <w:t>.</w:t>
      </w:r>
      <w:r>
        <w:rPr>
          <w:rFonts w:hint="default" w:ascii="Times New Roman" w:hAnsi="Times New Roman" w:cs="Times New Roman"/>
          <w:lang w:val="en-US"/>
        </w:rPr>
        <w:t xml:space="preserve"> </w:t>
      </w:r>
      <w:bookmarkEnd w:id="0"/>
      <w:bookmarkStart w:id="3" w:name="_Toc159857109"/>
      <w:r>
        <w:rPr>
          <w:rFonts w:hint="default" w:ascii="Times New Roman" w:hAnsi="Times New Roman" w:cs="Times New Roman"/>
          <w:lang w:val="en-US"/>
        </w:rPr>
        <w:t>Definition of endpoint major cardiovascular event (MACE)</w:t>
      </w:r>
      <w:bookmarkEnd w:id="2"/>
    </w:p>
    <w:tbl>
      <w:tblPr>
        <w:tblStyle w:val="54"/>
        <w:tblW w:w="79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9"/>
        <w:gridCol w:w="1968"/>
      </w:tblGrid>
      <w:tr w14:paraId="733DE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7937" w:type="dxa"/>
            <w:gridSpan w:val="2"/>
            <w:tcBorders>
              <w:top w:val="single" w:color="auto" w:sz="4" w:space="0"/>
            </w:tcBorders>
            <w:vAlign w:val="bottom"/>
          </w:tcPr>
          <w:p w14:paraId="69B699D0">
            <w:pPr>
              <w:rPr>
                <w:rFonts w:hint="default" w:ascii="Times New Roman" w:hAnsi="Times New Roman" w:cs="Times New Roman"/>
                <w:bCs/>
                <w:i/>
                <w:iCs/>
                <w:color w:val="000000"/>
                <w:lang w:val="en-US" w:eastAsia="nl-NL"/>
              </w:rPr>
            </w:pPr>
            <w:r>
              <w:rPr>
                <w:rFonts w:hint="default" w:ascii="Times New Roman" w:hAnsi="Times New Roman" w:eastAsia="Calibri" w:cs="Times New Roman"/>
                <w:b/>
                <w:lang w:val="en-US"/>
              </w:rPr>
              <w:t>Fatal MACE – cause-specific mortality due to any of the following:</w:t>
            </w:r>
          </w:p>
        </w:tc>
      </w:tr>
      <w:tr w14:paraId="3EE51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bottom"/>
          </w:tcPr>
          <w:p w14:paraId="18344057">
            <w:pPr>
              <w:spacing w:line="360" w:lineRule="auto"/>
              <w:rPr>
                <w:rFonts w:hint="default" w:ascii="Times New Roman" w:hAnsi="Times New Roman" w:cs="Times New Roman"/>
                <w:i/>
                <w:iCs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lang w:eastAsia="nl-NL"/>
              </w:rPr>
              <w:t>Endpoints included</w:t>
            </w:r>
          </w:p>
        </w:tc>
        <w:tc>
          <w:tcPr>
            <w:tcW w:w="1968" w:type="dxa"/>
            <w:vAlign w:val="bottom"/>
          </w:tcPr>
          <w:p w14:paraId="40051736">
            <w:pPr>
              <w:spacing w:line="360" w:lineRule="auto"/>
              <w:rPr>
                <w:rFonts w:hint="default" w:ascii="Times New Roman" w:hAnsi="Times New Roman" w:cs="Times New Roman"/>
                <w:bCs/>
                <w:i/>
                <w:iCs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bCs/>
                <w:i/>
                <w:iCs/>
                <w:color w:val="000000"/>
                <w:lang w:eastAsia="nl-NL"/>
              </w:rPr>
              <w:t>ICD10-codes</w:t>
            </w:r>
          </w:p>
        </w:tc>
      </w:tr>
      <w:tr w14:paraId="32066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46C1F72B">
            <w:pPr>
              <w:tabs>
                <w:tab w:val="left" w:pos="1944"/>
              </w:tabs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Hypertensive disease</w:t>
            </w:r>
          </w:p>
        </w:tc>
        <w:tc>
          <w:tcPr>
            <w:tcW w:w="1968" w:type="dxa"/>
            <w:vAlign w:val="bottom"/>
          </w:tcPr>
          <w:p w14:paraId="4D0CDF28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I10-16</w:t>
            </w:r>
          </w:p>
        </w:tc>
      </w:tr>
      <w:tr w14:paraId="709AC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05497BEC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Ischemic heart disease</w:t>
            </w:r>
          </w:p>
        </w:tc>
        <w:tc>
          <w:tcPr>
            <w:tcW w:w="1968" w:type="dxa"/>
            <w:vAlign w:val="bottom"/>
          </w:tcPr>
          <w:p w14:paraId="1CE06E4A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I20-25</w:t>
            </w:r>
          </w:p>
        </w:tc>
      </w:tr>
      <w:tr w14:paraId="4ED3B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7C1AB764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Arrhythmias, heart failure</w:t>
            </w:r>
          </w:p>
        </w:tc>
        <w:tc>
          <w:tcPr>
            <w:tcW w:w="1968" w:type="dxa"/>
            <w:vAlign w:val="bottom"/>
          </w:tcPr>
          <w:p w14:paraId="0BC4696E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I46-52</w:t>
            </w:r>
          </w:p>
        </w:tc>
      </w:tr>
      <w:tr w14:paraId="170DA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03524143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Cerebrovascular disease</w:t>
            </w:r>
          </w:p>
        </w:tc>
        <w:tc>
          <w:tcPr>
            <w:tcW w:w="1968" w:type="dxa"/>
            <w:vAlign w:val="bottom"/>
          </w:tcPr>
          <w:p w14:paraId="593AF88B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I60-69</w:t>
            </w:r>
          </w:p>
        </w:tc>
      </w:tr>
      <w:tr w14:paraId="4BFB3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6C1C1FA3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Atherosclerosis/aortic aneurysm</w:t>
            </w:r>
          </w:p>
        </w:tc>
        <w:tc>
          <w:tcPr>
            <w:tcW w:w="1968" w:type="dxa"/>
            <w:vAlign w:val="bottom"/>
          </w:tcPr>
          <w:p w14:paraId="46ACE1F2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I70-73</w:t>
            </w:r>
          </w:p>
        </w:tc>
      </w:tr>
      <w:tr w14:paraId="4FA2E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29D4CB24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val="en-US"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en-US" w:eastAsia="nl-NL"/>
              </w:rPr>
              <w:t>Sudden death and death within 24 hours of symptom onset</w:t>
            </w:r>
          </w:p>
        </w:tc>
        <w:tc>
          <w:tcPr>
            <w:tcW w:w="1968" w:type="dxa"/>
            <w:vAlign w:val="bottom"/>
          </w:tcPr>
          <w:p w14:paraId="31CFC027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R96.0-96.1</w:t>
            </w:r>
          </w:p>
        </w:tc>
      </w:tr>
      <w:tr w14:paraId="5C0D9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670963C7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968" w:type="dxa"/>
            <w:vAlign w:val="bottom"/>
          </w:tcPr>
          <w:p w14:paraId="7BAEB423"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53312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0CBA1448">
            <w:pPr>
              <w:spacing w:line="360" w:lineRule="auto"/>
              <w:rPr>
                <w:rFonts w:hint="default" w:ascii="Times New Roman" w:hAnsi="Times New Roman" w:cs="Times New Roman"/>
                <w:i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lang w:val="en-US"/>
              </w:rPr>
              <w:t>Endpoints excluded from the above endpoint:</w:t>
            </w:r>
          </w:p>
        </w:tc>
        <w:tc>
          <w:tcPr>
            <w:tcW w:w="1968" w:type="dxa"/>
            <w:vAlign w:val="center"/>
          </w:tcPr>
          <w:p w14:paraId="6718E15F">
            <w:pPr>
              <w:spacing w:line="360" w:lineRule="auto"/>
              <w:rPr>
                <w:rFonts w:hint="default" w:ascii="Times New Roman" w:hAnsi="Times New Roman" w:cs="Times New Roman"/>
                <w:i/>
              </w:rPr>
            </w:pPr>
            <w:r>
              <w:rPr>
                <w:rFonts w:hint="default" w:ascii="Times New Roman" w:hAnsi="Times New Roman" w:cs="Times New Roman"/>
                <w:bCs/>
                <w:i/>
                <w:iCs/>
                <w:color w:val="000000"/>
                <w:lang w:eastAsia="nl-NL"/>
              </w:rPr>
              <w:t>ICD10-codes</w:t>
            </w:r>
          </w:p>
        </w:tc>
      </w:tr>
      <w:tr w14:paraId="5D948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52CB8219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Myocarditis, unspecified</w:t>
            </w:r>
          </w:p>
        </w:tc>
        <w:tc>
          <w:tcPr>
            <w:tcW w:w="1968" w:type="dxa"/>
            <w:vAlign w:val="bottom"/>
          </w:tcPr>
          <w:p w14:paraId="35BBAFF9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I51.4</w:t>
            </w:r>
          </w:p>
        </w:tc>
      </w:tr>
      <w:tr w14:paraId="28747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03357AAA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Subarachnoid haemorrhage</w:t>
            </w:r>
          </w:p>
        </w:tc>
        <w:tc>
          <w:tcPr>
            <w:tcW w:w="1968" w:type="dxa"/>
            <w:vAlign w:val="bottom"/>
          </w:tcPr>
          <w:p w14:paraId="7CF60963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I60</w:t>
            </w:r>
          </w:p>
        </w:tc>
      </w:tr>
      <w:tr w14:paraId="0BC14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4A125EBB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 xml:space="preserve">Subdural hemorrhage </w:t>
            </w:r>
          </w:p>
        </w:tc>
        <w:tc>
          <w:tcPr>
            <w:tcW w:w="1968" w:type="dxa"/>
            <w:vAlign w:val="bottom"/>
          </w:tcPr>
          <w:p w14:paraId="7B18963D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I62</w:t>
            </w:r>
          </w:p>
        </w:tc>
      </w:tr>
      <w:tr w14:paraId="281C6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6CE12ABF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Cerebral aneurysm</w:t>
            </w:r>
          </w:p>
        </w:tc>
        <w:tc>
          <w:tcPr>
            <w:tcW w:w="1968" w:type="dxa"/>
            <w:vAlign w:val="bottom"/>
          </w:tcPr>
          <w:p w14:paraId="60E73A22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I67.1</w:t>
            </w:r>
          </w:p>
        </w:tc>
      </w:tr>
      <w:tr w14:paraId="597F8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969" w:type="dxa"/>
            <w:vAlign w:val="center"/>
          </w:tcPr>
          <w:p w14:paraId="0AF4B112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Cerebral arteritis</w:t>
            </w:r>
          </w:p>
        </w:tc>
        <w:tc>
          <w:tcPr>
            <w:tcW w:w="1968" w:type="dxa"/>
            <w:vAlign w:val="bottom"/>
          </w:tcPr>
          <w:p w14:paraId="1DC1A6DC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I68.2</w:t>
            </w:r>
          </w:p>
        </w:tc>
      </w:tr>
      <w:tr w14:paraId="527ED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46989688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color w:val="000000"/>
                <w:lang w:eastAsia="nl-NL"/>
              </w:rPr>
              <w:t>Moyamoya</w:t>
            </w:r>
          </w:p>
        </w:tc>
        <w:tc>
          <w:tcPr>
            <w:tcW w:w="1968" w:type="dxa"/>
            <w:vAlign w:val="bottom"/>
          </w:tcPr>
          <w:p w14:paraId="07B13192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I67.5</w:t>
            </w:r>
          </w:p>
        </w:tc>
      </w:tr>
      <w:tr w14:paraId="736F5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vAlign w:val="center"/>
          </w:tcPr>
          <w:p w14:paraId="29E1351B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968" w:type="dxa"/>
            <w:vAlign w:val="bottom"/>
          </w:tcPr>
          <w:p w14:paraId="34FA909F">
            <w:pPr>
              <w:spacing w:line="360" w:lineRule="auto"/>
              <w:rPr>
                <w:rFonts w:hint="default" w:ascii="Times New Roman" w:hAnsi="Times New Roman" w:cs="Times New Roman"/>
                <w:bCs/>
                <w:i/>
                <w:iCs/>
                <w:color w:val="000000"/>
                <w:lang w:eastAsia="nl-NL"/>
              </w:rPr>
            </w:pPr>
          </w:p>
        </w:tc>
      </w:tr>
      <w:tr w14:paraId="4574A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969" w:type="dxa"/>
            <w:vAlign w:val="center"/>
          </w:tcPr>
          <w:p w14:paraId="5F1E0BB3">
            <w:pPr>
              <w:spacing w:line="360" w:lineRule="auto"/>
              <w:rPr>
                <w:rFonts w:hint="default" w:ascii="Times New Roman" w:hAnsi="Times New Roman" w:cs="Times New Roman"/>
                <w:bCs/>
                <w:iCs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Non-fatal MACE</w:t>
            </w:r>
          </w:p>
        </w:tc>
        <w:tc>
          <w:tcPr>
            <w:tcW w:w="1968" w:type="dxa"/>
            <w:vAlign w:val="center"/>
          </w:tcPr>
          <w:p w14:paraId="1FBD73EA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Cs/>
                <w:i/>
                <w:iCs/>
                <w:color w:val="000000"/>
                <w:lang w:eastAsia="nl-NL"/>
              </w:rPr>
              <w:t>ICD10-codes</w:t>
            </w:r>
          </w:p>
        </w:tc>
      </w:tr>
      <w:tr w14:paraId="74919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69" w:type="dxa"/>
          </w:tcPr>
          <w:p w14:paraId="7118C09C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Non-fatal myocardial infarction</w:t>
            </w:r>
          </w:p>
        </w:tc>
        <w:tc>
          <w:tcPr>
            <w:tcW w:w="1968" w:type="dxa"/>
          </w:tcPr>
          <w:p w14:paraId="06BC2991">
            <w:pPr>
              <w:spacing w:line="360" w:lineRule="auto"/>
              <w:rPr>
                <w:rFonts w:hint="default" w:ascii="Times New Roman" w:hAnsi="Times New Roman" w:cs="Times New Roman"/>
                <w:bCs/>
                <w:i/>
                <w:iCs/>
                <w:color w:val="000000"/>
                <w:lang w:eastAsia="nl-NL"/>
              </w:rPr>
            </w:pPr>
            <w:r>
              <w:rPr>
                <w:rFonts w:hint="default" w:ascii="Times New Roman" w:hAnsi="Times New Roman" w:cs="Times New Roman"/>
              </w:rPr>
              <w:t>I21-I23</w:t>
            </w:r>
          </w:p>
        </w:tc>
      </w:tr>
      <w:tr w14:paraId="0C651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69" w:type="dxa"/>
            <w:tcBorders>
              <w:bottom w:val="single" w:color="auto" w:sz="4" w:space="0"/>
            </w:tcBorders>
          </w:tcPr>
          <w:p w14:paraId="52065D10"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Non-fatal stroke</w:t>
            </w:r>
          </w:p>
        </w:tc>
        <w:tc>
          <w:tcPr>
            <w:tcW w:w="1968" w:type="dxa"/>
            <w:tcBorders>
              <w:bottom w:val="single" w:color="auto" w:sz="4" w:space="0"/>
            </w:tcBorders>
          </w:tcPr>
          <w:p w14:paraId="22E79BEF">
            <w:pPr>
              <w:spacing w:line="360" w:lineRule="auto"/>
              <w:rPr>
                <w:rFonts w:hint="default" w:ascii="Times New Roman" w:hAnsi="Times New Roman" w:cs="Times New Roman"/>
                <w:bCs/>
                <w:i/>
                <w:iCs/>
                <w:color w:val="000000"/>
                <w:lang w:val="en-US"/>
              </w:rPr>
            </w:pPr>
            <w:r>
              <w:rPr>
                <w:rFonts w:hint="default" w:ascii="Times New Roman" w:hAnsi="Times New Roman" w:cs="Times New Roman"/>
                <w:lang w:val="it-IT"/>
              </w:rPr>
              <w:t>I61, I63-I66, I69</w:t>
            </w:r>
          </w:p>
        </w:tc>
      </w:tr>
    </w:tbl>
    <w:p w14:paraId="0025D256">
      <w:pPr>
        <w:rPr>
          <w:rFonts w:hint="default" w:ascii="Times New Roman" w:hAnsi="Times New Roman" w:eastAsia="宋体" w:cs="Times New Roman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/>
        </w:rPr>
        <w:br w:type="page"/>
      </w:r>
    </w:p>
    <w:bookmarkEnd w:id="3"/>
    <w:p w14:paraId="1F798362">
      <w:pPr>
        <w:pStyle w:val="2"/>
        <w:spacing w:before="0" w:after="120"/>
        <w:ind w:firstLine="0"/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en-US"/>
        </w:rPr>
      </w:pPr>
      <w:bookmarkStart w:id="4" w:name="_Toc24831"/>
      <w:bookmarkStart w:id="5" w:name="_Toc7752"/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  <w:lang w:val="en-US" w:eastAsia="zh-CN"/>
        </w:rPr>
        <w:t xml:space="preserve">Supplemental </w:t>
      </w:r>
      <w:bookmarkStart w:id="6" w:name="_Toc5458"/>
      <w:bookmarkStart w:id="7" w:name="_Toc17236"/>
      <w:bookmarkStart w:id="8" w:name="_Toc1650"/>
      <w:bookmarkStart w:id="9" w:name="_Toc20726"/>
      <w:bookmarkStart w:id="10" w:name="_Toc22200"/>
      <w:bookmarkStart w:id="11" w:name="_Toc167707618"/>
      <w:bookmarkStart w:id="12" w:name="_Toc155972015"/>
      <w:bookmarkStart w:id="13" w:name="_Toc550"/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  <w:lang w:val="en-US" w:eastAsia="zh-CN"/>
        </w:rPr>
        <w:t>Table S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  <w:lang w:val="en-US" w:eastAsia="zh-CN"/>
        </w:rPr>
        <w:t xml:space="preserve">. 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en-US"/>
        </w:rPr>
        <w:t>ß-coefficients of the variables of the SCORE2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-Diabetes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en-US"/>
        </w:rPr>
        <w:t xml:space="preserve"> model extended by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en-US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protein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en-US"/>
        </w:rPr>
        <w:t>s for 10-year prediction of major cardiovascular events</w:t>
      </w:r>
      <w:bookmarkEnd w:id="4"/>
      <w:bookmarkEnd w:id="5"/>
    </w:p>
    <w:tbl>
      <w:tblPr>
        <w:tblStyle w:val="55"/>
        <w:tblW w:w="666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5"/>
        <w:gridCol w:w="1077"/>
        <w:gridCol w:w="1091"/>
      </w:tblGrid>
      <w:tr w14:paraId="6BBB1C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49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94191EE">
            <w:pPr>
              <w:spacing w:before="48" w:beforeLines="20" w:after="48" w:afterLines="20"/>
              <w:rPr>
                <w:rFonts w:hint="default" w:ascii="Times New Roman" w:hAnsi="Times New Roman" w:cs="Times New Roman"/>
                <w:b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lang w:eastAsia="en-GB"/>
              </w:rPr>
              <w:t>Risk factor (units)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8F49499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b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lang w:val="en-US"/>
              </w:rPr>
              <w:t>Coefficient</w:t>
            </w:r>
          </w:p>
        </w:tc>
      </w:tr>
      <w:tr w14:paraId="0717BB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449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4EAED7F">
            <w:pPr>
              <w:spacing w:before="48" w:beforeLines="20" w:after="48" w:afterLines="20"/>
              <w:rPr>
                <w:rFonts w:hint="default" w:ascii="Times New Roman" w:hAnsi="Times New Roman" w:eastAsia="Calibri" w:cs="Times New Roman"/>
                <w:b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681BC6D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b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Male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D411DB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b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Female</w:t>
            </w:r>
          </w:p>
        </w:tc>
      </w:tr>
      <w:tr w14:paraId="70C605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495" w:type="dxa"/>
            <w:tcBorders>
              <w:top w:val="single" w:color="auto" w:sz="4" w:space="0"/>
              <w:bottom w:val="nil"/>
            </w:tcBorders>
          </w:tcPr>
          <w:p w14:paraId="3D619D07">
            <w:pPr>
              <w:spacing w:before="20" w:after="20"/>
              <w:rPr>
                <w:rFonts w:hint="default" w:ascii="Times New Roman" w:hAnsi="Times New Roman" w:cs="Times New Roman"/>
                <w:b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lang w:eastAsia="en-GB"/>
              </w:rPr>
              <w:t>SCORE2</w:t>
            </w: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-Diabetes</w:t>
            </w:r>
            <w:r>
              <w:rPr>
                <w:rFonts w:hint="default" w:ascii="Times New Roman" w:hAnsi="Times New Roman" w:cs="Times New Roman"/>
                <w:b/>
                <w:lang w:eastAsia="en-GB"/>
              </w:rPr>
              <w:t xml:space="preserve"> variables</w:t>
            </w:r>
          </w:p>
        </w:tc>
        <w:tc>
          <w:tcPr>
            <w:tcW w:w="1077" w:type="dxa"/>
            <w:tcBorders>
              <w:top w:val="single" w:color="auto" w:sz="4" w:space="0"/>
              <w:bottom w:val="nil"/>
            </w:tcBorders>
          </w:tcPr>
          <w:p w14:paraId="2616A662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color="auto" w:sz="4" w:space="0"/>
              <w:bottom w:val="nil"/>
            </w:tcBorders>
          </w:tcPr>
          <w:p w14:paraId="3D75C6CE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22BE3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495" w:type="dxa"/>
            <w:tcBorders>
              <w:top w:val="nil"/>
            </w:tcBorders>
          </w:tcPr>
          <w:p w14:paraId="70AF779D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Age (per 5 years)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C3947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-0.0897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C5EA3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6155</w:t>
            </w:r>
          </w:p>
        </w:tc>
      </w:tr>
      <w:tr w14:paraId="78FEFF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shd w:val="clear" w:color="auto" w:fill="FFFFFF" w:themeFill="background1"/>
          </w:tcPr>
          <w:p w14:paraId="476E96CC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Current smoking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EFDC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-0.1200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81C86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0700</w:t>
            </w:r>
          </w:p>
        </w:tc>
      </w:tr>
      <w:tr w14:paraId="14F0DE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495" w:type="dxa"/>
            <w:shd w:val="clear" w:color="auto" w:fill="FFFFFF" w:themeFill="background1"/>
          </w:tcPr>
          <w:p w14:paraId="69550C0F">
            <w:pPr>
              <w:spacing w:before="20" w:after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S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BP</w:t>
            </w:r>
            <w:r>
              <w:rPr>
                <w:rFonts w:hint="default" w:ascii="Times New Roman" w:hAnsi="Times New Roman" w:cs="Times New Roman"/>
                <w:lang w:eastAsia="en-GB"/>
              </w:rPr>
              <w:t xml:space="preserve"> (per 20 mmHg)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FF83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-0.0720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AA6E7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0787</w:t>
            </w:r>
          </w:p>
        </w:tc>
      </w:tr>
      <w:tr w14:paraId="4A907F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shd w:val="clear" w:color="auto" w:fill="FFFFFF" w:themeFill="background1"/>
          </w:tcPr>
          <w:p w14:paraId="70E73388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Total cholesterol (per 1 mmol/L)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14B4C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2928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4361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1959</w:t>
            </w:r>
          </w:p>
        </w:tc>
      </w:tr>
      <w:tr w14:paraId="783447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shd w:val="clear" w:color="auto" w:fill="FFFFFF" w:themeFill="background1"/>
          </w:tcPr>
          <w:p w14:paraId="3EB23FD9">
            <w:pPr>
              <w:spacing w:before="20" w:after="20"/>
              <w:rPr>
                <w:rFonts w:hint="default" w:ascii="Times New Roman" w:hAnsi="Times New Roman" w:cs="Times New Roman"/>
                <w:lang w:val="it-IT" w:eastAsia="en-GB"/>
              </w:rPr>
            </w:pPr>
            <w:r>
              <w:rPr>
                <w:rFonts w:hint="default" w:ascii="Times New Roman" w:hAnsi="Times New Roman" w:cs="Times New Roman"/>
                <w:lang w:val="it-IT" w:eastAsia="en-GB"/>
              </w:rPr>
              <w:t>HDL cholesterol (per 0.5 mmol/L)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CE5F5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0420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F839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2396</w:t>
            </w:r>
          </w:p>
        </w:tc>
      </w:tr>
      <w:tr w14:paraId="4E0D3F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3272FC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Smoking interaction with 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A4207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0378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D4BE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0678</w:t>
            </w:r>
          </w:p>
        </w:tc>
      </w:tr>
      <w:tr w14:paraId="2E7E83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shd w:val="clear" w:color="auto" w:fill="FFFFFF" w:themeFill="background1"/>
          </w:tcPr>
          <w:p w14:paraId="655C499F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SBP interaction with 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6629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0.1047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EA55E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1130</w:t>
            </w:r>
          </w:p>
        </w:tc>
      </w:tr>
      <w:tr w14:paraId="108596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bottom w:val="nil"/>
            </w:tcBorders>
            <w:shd w:val="clear" w:color="auto" w:fill="FFFFFF" w:themeFill="background1"/>
          </w:tcPr>
          <w:p w14:paraId="72B359F7">
            <w:pPr>
              <w:spacing w:before="20" w:after="20"/>
              <w:rPr>
                <w:rFonts w:hint="default" w:ascii="Times New Roman" w:hAnsi="Times New Roman" w:eastAsia="Calibri" w:cs="Times New Roman"/>
                <w:vertAlign w:val="superscript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en-GB"/>
              </w:rPr>
              <w:t>Total cholesterol interaction with 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DB24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0626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A170F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1599</w:t>
            </w:r>
          </w:p>
        </w:tc>
      </w:tr>
      <w:tr w14:paraId="5742E0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DC8E53">
            <w:pPr>
              <w:spacing w:before="20" w:after="20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HDL interaction with 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D5FE0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0.0193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7434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2325</w:t>
            </w:r>
          </w:p>
        </w:tc>
      </w:tr>
      <w:tr w14:paraId="4EB3BE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433151">
            <w:pPr>
              <w:spacing w:before="20" w:after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eastAsia="Calibri" w:cs="Times New Roman"/>
                <w:lang w:val="en-US"/>
              </w:rPr>
              <w:t>Diabetes age at diagnosis (per 5 years)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F4BC8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0.0113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4114C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-0.0997</w:t>
            </w:r>
          </w:p>
        </w:tc>
      </w:tr>
      <w:tr w14:paraId="76EB41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3BF396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eastAsia="Calibri" w:cs="Times New Roman"/>
              </w:rPr>
              <w:t>HbA</w:t>
            </w:r>
            <w:r>
              <w:rPr>
                <w:rFonts w:hint="default" w:ascii="Times New Roman" w:hAnsi="Times New Roman" w:eastAsia="Calibri" w:cs="Times New Roman"/>
                <w:vertAlign w:val="subscript"/>
              </w:rPr>
              <w:t>1c</w:t>
            </w:r>
            <w:r>
              <w:rPr>
                <w:rFonts w:hint="default" w:ascii="Times New Roman" w:hAnsi="Times New Roman" w:eastAsia="Calibri" w:cs="Times New Roman"/>
              </w:rPr>
              <w:t xml:space="preserve"> (per 9.34 mmol/mol)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B3D3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0.1009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B1278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-0.0455</w:t>
            </w:r>
          </w:p>
        </w:tc>
      </w:tr>
      <w:tr w14:paraId="796B4F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AC7EBE">
            <w:pPr>
              <w:spacing w:before="20" w:after="20"/>
              <w:rPr>
                <w:rFonts w:hint="default" w:ascii="Times New Roman" w:hAnsi="Times New Roman" w:cs="Times New Roman"/>
                <w:lang w:val="it-IT" w:eastAsia="en-GB"/>
              </w:rPr>
            </w:pPr>
            <w:r>
              <w:rPr>
                <w:rFonts w:hint="default" w:ascii="Times New Roman" w:hAnsi="Times New Roman" w:eastAsia="Calibri" w:cs="Times New Roman"/>
                <w:lang w:val="it-IT"/>
              </w:rPr>
              <w:t>Ln eGFR (per 0.15 ml/min/1.73m</w:t>
            </w:r>
            <w:r>
              <w:rPr>
                <w:rFonts w:hint="default" w:ascii="Times New Roman" w:hAnsi="Times New Roman" w:eastAsia="Calibri" w:cs="Times New Roman"/>
                <w:vertAlign w:val="superscript"/>
                <w:lang w:val="it-IT"/>
              </w:rPr>
              <w:t>2</w:t>
            </w:r>
            <w:r>
              <w:rPr>
                <w:rFonts w:hint="default" w:ascii="Times New Roman" w:hAnsi="Times New Roman" w:eastAsia="Calibri" w:cs="Times New Roman"/>
                <w:lang w:val="it-IT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CD425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0.2262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8551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0.1099</w:t>
            </w:r>
          </w:p>
        </w:tc>
      </w:tr>
      <w:tr w14:paraId="013255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AD40E2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eastAsia="Calibri" w:cs="Times New Roman"/>
              </w:rPr>
              <w:t>Ln eGFR</w:t>
            </w:r>
            <w:r>
              <w:rPr>
                <w:rFonts w:hint="default" w:ascii="Times New Roman" w:hAnsi="Times New Roman" w:eastAsia="Calibri" w:cs="Times New Roman"/>
                <w:vertAlign w:val="superscript"/>
              </w:rPr>
              <w:t>2</w:t>
            </w:r>
            <w:r>
              <w:rPr>
                <w:rFonts w:hint="default" w:ascii="Times New Roman" w:hAnsi="Times New Roman" w:eastAsia="Calibri" w:cs="Times New Roman"/>
              </w:rPr>
              <w:t xml:space="preserve"> (quadratic term)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D906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0.0101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43A1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0.0137</w:t>
            </w:r>
          </w:p>
        </w:tc>
      </w:tr>
      <w:tr w14:paraId="254CD8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D8D877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eastAsia="Calibri" w:cs="Times New Roman"/>
              </w:rPr>
              <w:t>HbA</w:t>
            </w:r>
            <w:r>
              <w:rPr>
                <w:rFonts w:hint="default" w:ascii="Times New Roman" w:hAnsi="Times New Roman" w:eastAsia="Calibri" w:cs="Times New Roman"/>
                <w:vertAlign w:val="subscript"/>
              </w:rPr>
              <w:t>1c</w:t>
            </w:r>
            <w:r>
              <w:rPr>
                <w:rFonts w:hint="default" w:ascii="Times New Roman" w:hAnsi="Times New Roman" w:eastAsia="Calibri" w:cs="Times New Roman"/>
              </w:rPr>
              <w:t xml:space="preserve"> interaction with 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06B0C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0.0192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C50D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-0.1586</w:t>
            </w:r>
          </w:p>
        </w:tc>
      </w:tr>
      <w:tr w14:paraId="7F5273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04EF11">
            <w:pPr>
              <w:spacing w:before="20" w:after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eastAsia="Calibri" w:cs="Times New Roman"/>
                <w:lang w:val="en-US"/>
              </w:rPr>
              <w:t>Ln eGFR interaction with 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67E51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0.0197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10CB7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0.0691</w:t>
            </w:r>
          </w:p>
        </w:tc>
      </w:tr>
      <w:tr w14:paraId="1B8B91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944C739">
            <w:pPr>
              <w:spacing w:before="48" w:beforeLines="20" w:after="48" w:afterLines="20"/>
              <w:rPr>
                <w:rFonts w:hint="default" w:ascii="Times New Roman" w:hAnsi="Times New Roman" w:eastAsia="Calibri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A</w:t>
            </w:r>
            <w:r>
              <w:rPr>
                <w:rFonts w:hint="default" w:ascii="Times New Roman" w:hAnsi="Times New Roman" w:eastAsia="Calibri" w:cs="Times New Roman"/>
                <w:b/>
              </w:rPr>
              <w:t>dditional proteins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  <w:t>(per 1 SD)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F3D11F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1631014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85216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5F2C4C8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ACTA2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DCC8BE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0.3303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6B1A9C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</w:p>
        </w:tc>
      </w:tr>
      <w:tr w14:paraId="7E356D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45C086F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CHGA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45C83F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0.1079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F0B7DE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</w:t>
            </w:r>
          </w:p>
        </w:tc>
      </w:tr>
      <w:tr w14:paraId="1BF14F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4DC0D3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CRNN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C79130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2856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078CD2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3609F2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13C22AC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CTRC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04A01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C3A735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-0.7099</w:t>
            </w:r>
          </w:p>
        </w:tc>
      </w:tr>
      <w:tr w14:paraId="392AD8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70D112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EFHD1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26E171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5748BE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0.5865</w:t>
            </w:r>
          </w:p>
        </w:tc>
      </w:tr>
      <w:tr w14:paraId="1D18BE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8FF3B84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ENPP5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B9387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-0.3111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EC57177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</w:p>
        </w:tc>
      </w:tr>
      <w:tr w14:paraId="0771B0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5306A25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GAST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D769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0.0965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E17EE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2E932E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16B4E6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HS3ST3B1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60C03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66463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0.4250</w:t>
            </w:r>
          </w:p>
        </w:tc>
      </w:tr>
      <w:tr w14:paraId="25255D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BAF338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it-IT" w:eastAsia="en-GB"/>
              </w:rPr>
            </w:pPr>
            <w:r>
              <w:rPr>
                <w:rFonts w:hint="default" w:ascii="Times New Roman" w:hAnsi="Times New Roman" w:cs="Times New Roman"/>
              </w:rPr>
              <w:t>IL22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DCBE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5E1D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0.4918</w:t>
            </w:r>
          </w:p>
        </w:tc>
      </w:tr>
      <w:tr w14:paraId="7EC2C3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4FF4941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</w:rPr>
              <w:t>NT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</w:rPr>
              <w:t>proBNP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BFDE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0.2030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F9476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4401A8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BD1DE6E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</w:rPr>
              <w:t>POSTN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DD61F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0.3851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FC618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682F33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095F7F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</w:rPr>
              <w:t>SMOC1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0F905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FECA7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0.4752</w:t>
            </w:r>
          </w:p>
        </w:tc>
      </w:tr>
      <w:tr w14:paraId="17E140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99F5EC3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</w:rPr>
              <w:t>TNC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4C9D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F1F93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0.6270</w:t>
            </w:r>
          </w:p>
        </w:tc>
      </w:tr>
      <w:tr w14:paraId="3CC974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449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81A9BCB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TRIM21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6D81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-0.3095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646C1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3BE375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4495" w:type="dxa"/>
            <w:tcBorders>
              <w:top w:val="nil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79561D06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WFDC2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0F35E8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0.8349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8EB36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0.4915</w:t>
            </w:r>
          </w:p>
        </w:tc>
      </w:tr>
    </w:tbl>
    <w:p w14:paraId="3934A163">
      <w:pPr>
        <w:spacing w:before="60" w:line="264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b/>
          <w:bCs/>
        </w:rPr>
        <w:t>Abbreviations:</w:t>
      </w:r>
      <w:r>
        <w:rPr>
          <w:rFonts w:hint="default" w:ascii="Times New Roman" w:hAnsi="Times New Roman" w:cs="Times New Roman"/>
        </w:rPr>
        <w:t xml:space="preserve"> ACTA2</w:t>
      </w:r>
      <w:r>
        <w:rPr>
          <w:rFonts w:hint="default" w:ascii="Times New Roman" w:hAnsi="Times New Roman" w:eastAsia="宋体" w:cs="Times New Roman"/>
        </w:rPr>
        <w:t xml:space="preserve">, Actin Alpha 2; CHGA, Chromogranin-A; CRNN, Cornulin; CTRC, Chymotrypsin-C; EFHD1, EF-hand domain-containing protein D1; eGFR, estimated glomerular filtration rate; ENPP5, Ectonucleotide pyrophosphatase/phosphodiesterase family member 5; GAST, Gastrin; </w:t>
      </w:r>
      <w:r>
        <w:rPr>
          <w:rFonts w:hint="default" w:ascii="Times New Roman" w:hAnsi="Times New Roman" w:cs="Times New Roman"/>
        </w:rPr>
        <w:t>HbA</w:t>
      </w:r>
      <w:r>
        <w:rPr>
          <w:rFonts w:hint="default" w:ascii="Times New Roman" w:hAnsi="Times New Roman" w:cs="Times New Roman"/>
          <w:vertAlign w:val="subscript"/>
        </w:rPr>
        <w:t>1c</w:t>
      </w:r>
      <w:r>
        <w:rPr>
          <w:rFonts w:hint="default" w:ascii="Times New Roman" w:hAnsi="Times New Roman" w:cs="Times New Roman"/>
        </w:rPr>
        <w:t xml:space="preserve">, glycated hemoglobin; </w:t>
      </w:r>
      <w:r>
        <w:rPr>
          <w:rFonts w:hint="default" w:ascii="Times New Roman" w:hAnsi="Times New Roman" w:cs="Times New Roman"/>
          <w:lang w:eastAsia="en-US"/>
        </w:rPr>
        <w:t>HDL, High-density lipoprotein;</w:t>
      </w:r>
      <w:r>
        <w:rPr>
          <w:rFonts w:hint="default" w:ascii="Times New Roman" w:hAnsi="Times New Roman" w:cs="Times New Roman"/>
        </w:rPr>
        <w:t xml:space="preserve"> HS3ST3B1</w:t>
      </w:r>
      <w:r>
        <w:rPr>
          <w:rFonts w:hint="default" w:ascii="Times New Roman" w:hAnsi="Times New Roman" w:eastAsia="宋体" w:cs="Times New Roman"/>
        </w:rPr>
        <w:t xml:space="preserve">, Heparan sulfate glucosamine 3-O-sulfotransferase 3B1; IL22, Interleukin-22; NT-proBNP, N-terminal prohormone of brain natriuretic peptide; POSTN, Periostin; </w:t>
      </w:r>
      <w:r>
        <w:rPr>
          <w:rFonts w:hint="default" w:ascii="Times New Roman" w:hAnsi="Times New Roman" w:cs="Times New Roman"/>
        </w:rPr>
        <w:t>SBP, systolic blood pressure; SD, standard deviation; SMOC1</w:t>
      </w:r>
      <w:r>
        <w:rPr>
          <w:rFonts w:hint="default" w:ascii="Times New Roman" w:hAnsi="Times New Roman" w:eastAsia="宋体" w:cs="Times New Roman"/>
        </w:rPr>
        <w:t xml:space="preserve">, SPARC-related modular calcium-binding protein 1; TNC, Tenascin-C; TRIM21; E3 ubiquitin-protein ligase TRIM21; </w:t>
      </w:r>
      <w:r>
        <w:rPr>
          <w:rFonts w:hint="default" w:ascii="Times New Roman" w:hAnsi="Times New Roman" w:cs="Times New Roman"/>
        </w:rPr>
        <w:t xml:space="preserve">WFDC2, </w:t>
      </w:r>
      <w:bookmarkStart w:id="14" w:name="_Hlk177746125"/>
      <w:r>
        <w:rPr>
          <w:rFonts w:hint="default" w:ascii="Times New Roman" w:hAnsi="Times New Roman" w:cs="Times New Roman"/>
        </w:rPr>
        <w:t>WAP four-disulfide core domain protein</w:t>
      </w:r>
      <w:bookmarkEnd w:id="14"/>
      <w:r>
        <w:rPr>
          <w:rFonts w:hint="default" w:ascii="Times New Roman" w:hAnsi="Times New Roman" w:eastAsia="宋体" w:cs="Times New Roman"/>
        </w:rPr>
        <w:t xml:space="preserve">. </w:t>
      </w:r>
    </w:p>
    <w:p w14:paraId="38E92892">
      <w:pP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134" w:right="720" w:bottom="1134" w:left="720" w:header="708" w:footer="709" w:gutter="0"/>
          <w:cols w:space="0" w:num="1"/>
          <w:docGrid w:linePitch="360" w:charSpace="0"/>
        </w:sectPr>
      </w:pPr>
      <w:r>
        <w:rPr>
          <w:rFonts w:hint="default" w:ascii="Times New Roman" w:hAnsi="Times New Roman" w:cs="Times New Roman"/>
          <w:lang w:eastAsia="en-US"/>
        </w:rPr>
        <w:br w:type="page"/>
      </w:r>
    </w:p>
    <w:p w14:paraId="502283B8">
      <w:pPr>
        <w:spacing w:before="60" w:line="360" w:lineRule="auto"/>
        <w:outlineLvl w:val="0"/>
        <w:rPr>
          <w:rFonts w:hint="default" w:ascii="Times New Roman" w:hAnsi="Times New Roman" w:cs="Times New Roman"/>
          <w:color w:val="000000" w:themeColor="text1"/>
          <w:lang w:val="en-US" w:eastAsia="en-US"/>
          <w14:textFill>
            <w14:solidFill>
              <w14:schemeClr w14:val="tx1"/>
            </w14:solidFill>
          </w14:textFill>
        </w:rPr>
      </w:pPr>
      <w:bookmarkStart w:id="15" w:name="_Toc25393"/>
      <w:r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Supplemental Table S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/>
          <w:bCs/>
          <w:color w:val="000000" w:themeColor="text1"/>
          <w:lang w:val="en-US"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en-US"/>
          <w14:textFill>
            <w14:solidFill>
              <w14:schemeClr w14:val="tx1"/>
            </w14:solidFill>
          </w14:textFill>
        </w:rPr>
        <w:t>NRI and IDI for 10-year MACE prediction by extending the SCORE2-Diabetes model with single- and multi-omics data (N=990)</w:t>
      </w:r>
      <w:bookmarkEnd w:id="15"/>
    </w:p>
    <w:tbl>
      <w:tblPr>
        <w:tblStyle w:val="24"/>
        <w:tblW w:w="154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8"/>
        <w:gridCol w:w="1162"/>
        <w:gridCol w:w="797"/>
        <w:gridCol w:w="1232"/>
        <w:gridCol w:w="784"/>
        <w:gridCol w:w="1162"/>
        <w:gridCol w:w="784"/>
        <w:gridCol w:w="238"/>
        <w:gridCol w:w="927"/>
        <w:gridCol w:w="798"/>
        <w:gridCol w:w="983"/>
        <w:gridCol w:w="798"/>
        <w:gridCol w:w="1002"/>
        <w:gridCol w:w="406"/>
        <w:gridCol w:w="391"/>
      </w:tblGrid>
      <w:tr w14:paraId="2DB3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vMerge w:val="restart"/>
            <w:tcBorders>
              <w:left w:val="nil"/>
              <w:bottom w:val="nil"/>
              <w:right w:val="nil"/>
            </w:tcBorders>
          </w:tcPr>
          <w:p w14:paraId="36983B05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592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43C53B6F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NRI</w:t>
            </w:r>
          </w:p>
        </w:tc>
        <w:tc>
          <w:tcPr>
            <w:tcW w:w="238" w:type="dxa"/>
            <w:vMerge w:val="restart"/>
            <w:tcBorders>
              <w:left w:val="nil"/>
              <w:bottom w:val="nil"/>
              <w:right w:val="nil"/>
            </w:tcBorders>
          </w:tcPr>
          <w:p w14:paraId="01FE264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5305" w:type="dxa"/>
            <w:gridSpan w:val="7"/>
            <w:tcBorders>
              <w:left w:val="nil"/>
              <w:bottom w:val="single" w:color="auto" w:sz="4" w:space="0"/>
              <w:right w:val="nil"/>
            </w:tcBorders>
          </w:tcPr>
          <w:p w14:paraId="69EDF98B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IDI</w:t>
            </w:r>
          </w:p>
        </w:tc>
      </w:tr>
      <w:tr w14:paraId="73907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E2AA969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56CFD4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Total</w:t>
            </w: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F52431E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Male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3DC8D4E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Female</w:t>
            </w:r>
          </w:p>
        </w:tc>
        <w:tc>
          <w:tcPr>
            <w:tcW w:w="23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277C30B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D2BC37A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Total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798A0E8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Male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513E73B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Female</w:t>
            </w:r>
          </w:p>
        </w:tc>
      </w:tr>
      <w:tr w14:paraId="742C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8947450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659EDD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NRI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vertAlign w:val="subscript"/>
              </w:rPr>
              <w:t xml:space="preserve">total(%)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(95% CI)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717E7CE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P-value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3FB898B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NRI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vertAlign w:val="subscript"/>
              </w:rPr>
              <w:t xml:space="preserve">total(%)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(95% CI)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9F0A443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P-value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02BB1FA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NRI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vertAlign w:val="subscript"/>
              </w:rPr>
              <w:t xml:space="preserve">total(%)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(95% CI)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4FAA1FE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P-value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60ED20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C44BA5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IDI   (95%CI)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4CBAF2C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P-value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C5D80C1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IDI   (95% CI)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2CF5F5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P-value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E34CE52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IDI   (95% CI)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A0E62E6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P-value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14:paraId="2DDD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1" w:type="dxa"/>
        </w:trPr>
        <w:tc>
          <w:tcPr>
            <w:tcW w:w="1502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6D2CCBA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Panel A</w:t>
            </w:r>
          </w:p>
        </w:tc>
      </w:tr>
      <w:tr w14:paraId="5A613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BE0AE29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SCORE2-Diabetes (ref)</w:t>
            </w:r>
          </w:p>
        </w:tc>
        <w:tc>
          <w:tcPr>
            <w:tcW w:w="5921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3228150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B95B5EA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5305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229DBD4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</w:tr>
      <w:tr w14:paraId="53780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79BE4F2C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SCORE2-Diabetes+PRS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27D555D8">
            <w:pPr>
              <w:pStyle w:val="21"/>
              <w:spacing w:before="100" w:after="100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2.6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(-4.1, 11.8)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CAD884A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0.526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28DF606F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15.5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(-3.0, 32.9)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24408BF2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0.090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EE3436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6.0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(-4.2, 11.4)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E41D338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0.130</w:t>
            </w:r>
          </w:p>
        </w:tc>
        <w:tc>
          <w:tcPr>
            <w:tcW w:w="23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B94FD3D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B490944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0.015 (0.003, 0.029)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65C736D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0.040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1413BAB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0.019 (0.001, 0.035)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462C2168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0.040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68F223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0.002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(-0.021, 0.020)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2A52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0.832</w:t>
            </w:r>
          </w:p>
        </w:tc>
      </w:tr>
      <w:tr w14:paraId="1F049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7A1A5700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SCORE2-Diabetes+Metabolomics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41F0044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3.8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(-8.7, 11.4)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08965B2C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0.462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2EA3F8C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7.7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(-10.5, 16.2)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542342AB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0.258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167419CA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4.1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(-8.0, 16.1)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10C00365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0.502</w:t>
            </w:r>
          </w:p>
        </w:tc>
        <w:tc>
          <w:tcPr>
            <w:tcW w:w="23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9EDD56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632D01BB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0.003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(-0.016, 0.027)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E5F3BA4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0.812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0FAE077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0.005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(-0.019, 0.033)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76B3918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0.535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9DF1216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0.006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(-0.028, 0.040)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3A9E4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0.693</w:t>
            </w:r>
          </w:p>
        </w:tc>
      </w:tr>
      <w:tr w14:paraId="4996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D05BA56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SCORE2-Diabetes+Proteomics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8CFFFA8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 xml:space="preserve">30.6 </w:t>
            </w: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(23.8, 47.8)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D4A2216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&lt;0.001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EE4CF03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 xml:space="preserve">51.2 </w:t>
            </w: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(18.3, 67.9)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F3C1E9E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&lt;0.001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A771C57">
            <w:pPr>
              <w:pStyle w:val="21"/>
              <w:spacing w:before="100" w:after="100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 xml:space="preserve">29.5 </w:t>
            </w: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(18.4, 42.1)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6D59A5A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&lt;0.001</w:t>
            </w:r>
          </w:p>
        </w:tc>
        <w:tc>
          <w:tcPr>
            <w:tcW w:w="23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EE5C653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3936602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0.098 (0.052, 0.130)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4E88DDC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&lt;0.001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468B254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0.105 (0.058, 0.146)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0C8384F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&lt;0.001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17291F4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0.111 (0.028, 0.210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DD57966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&lt;0.001</w:t>
            </w:r>
          </w:p>
        </w:tc>
      </w:tr>
      <w:tr w14:paraId="2DF2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1" w:type="dxa"/>
        </w:trPr>
        <w:tc>
          <w:tcPr>
            <w:tcW w:w="1502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3AF122B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Panel B</w:t>
            </w:r>
          </w:p>
        </w:tc>
      </w:tr>
      <w:tr w14:paraId="50DE4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F4D8F2D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SCORE2-Diabetes+Proteomics (ref)</w:t>
            </w:r>
          </w:p>
        </w:tc>
        <w:tc>
          <w:tcPr>
            <w:tcW w:w="5921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EA7146F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41FE9F5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5305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267EFFE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</w:tr>
      <w:tr w14:paraId="6D939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4522250D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SCORE2-Diabetes+Proteomics+PRS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3117C32B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3.1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(-4.5, 3.3)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5E8169E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0.948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2F2B0825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-1.5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(-7.0, 4.1)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75263BB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0.595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14:paraId="6C4C9D6D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1.9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(-6.3, 5.9)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78701E82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0.538</w:t>
            </w:r>
          </w:p>
        </w:tc>
        <w:tc>
          <w:tcPr>
            <w:tcW w:w="23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ACB04F8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65DE2D6D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-0.003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(-0.010, 0.003)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6E6FD5D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0.535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502F4D63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-0.005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(-0.017, 0.003)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6FA2C91A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0.238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AFFCFF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0.000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(-0.006, 0.006)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AE21A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0.931</w:t>
            </w:r>
          </w:p>
        </w:tc>
      </w:tr>
      <w:tr w14:paraId="7939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230470F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SCORE2-Diabetes+Proteomics+Metabolomics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A09E6A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-0.8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(-5.3, 7.7)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9E498D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0.811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4C84D40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9.8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(-5.4, 17.0)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CEA550D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0.086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9F3B812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1.9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(-9.5, 12.4)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8C3488D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0.733</w:t>
            </w:r>
          </w:p>
        </w:tc>
        <w:tc>
          <w:tcPr>
            <w:tcW w:w="23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218312D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789203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0.001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(-0.023, 0.027)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9FF8F21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0.812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8ECFF62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-0.005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(-0.037, 0.027)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8CBFFA1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0.792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1F77A84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-0.002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(-0.022, 0.028)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135D2FC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0.832</w:t>
            </w:r>
          </w:p>
        </w:tc>
      </w:tr>
      <w:tr w14:paraId="3A01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1" w:type="dxa"/>
          <w:trHeight w:val="205" w:hRule="atLeast"/>
        </w:trPr>
        <w:tc>
          <w:tcPr>
            <w:tcW w:w="1502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F64D36E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sz w:val="20"/>
                <w:szCs w:val="20"/>
              </w:rPr>
              <w:t>Panel C</w:t>
            </w:r>
          </w:p>
        </w:tc>
      </w:tr>
      <w:tr w14:paraId="37720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29815C2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fr-FR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fr-FR"/>
              </w:rPr>
              <w:t>SCORE2-Diabetes+Proteomics+Metabolomics (ref)</w:t>
            </w:r>
          </w:p>
        </w:tc>
        <w:tc>
          <w:tcPr>
            <w:tcW w:w="5921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F94CB4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fr-FR"/>
              </w:rPr>
            </w:pPr>
          </w:p>
        </w:tc>
        <w:tc>
          <w:tcPr>
            <w:tcW w:w="23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ACD7625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fr-FR"/>
              </w:rPr>
            </w:pPr>
          </w:p>
        </w:tc>
        <w:tc>
          <w:tcPr>
            <w:tcW w:w="5305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630DF57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fr-FR"/>
              </w:rPr>
            </w:pPr>
          </w:p>
        </w:tc>
      </w:tr>
      <w:tr w14:paraId="5F70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8" w:type="dxa"/>
            <w:tcBorders>
              <w:top w:val="nil"/>
              <w:left w:val="nil"/>
              <w:right w:val="nil"/>
            </w:tcBorders>
          </w:tcPr>
          <w:p w14:paraId="3B839FDF">
            <w:pPr>
              <w:pStyle w:val="21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SCORE2-Diabetes+Multi-omics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A90546">
            <w:pPr>
              <w:pStyle w:val="21"/>
              <w:jc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-1.4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(-3.7, 1.9)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</w:tcPr>
          <w:p w14:paraId="0A35FAAB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0.339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</w:tcPr>
          <w:p w14:paraId="29333AB1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-2.6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(-4.4, 3.9)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</w:tcPr>
          <w:p w14:paraId="0FE069A6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0.220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</w:tcPr>
          <w:p w14:paraId="2B787129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0.3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(-4.6, 4.4)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</w:tcPr>
          <w:p w14:paraId="323078E5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0.895</w:t>
            </w:r>
          </w:p>
        </w:tc>
        <w:tc>
          <w:tcPr>
            <w:tcW w:w="238" w:type="dxa"/>
            <w:vMerge w:val="continue"/>
            <w:tcBorders>
              <w:top w:val="nil"/>
              <w:left w:val="nil"/>
              <w:right w:val="nil"/>
            </w:tcBorders>
          </w:tcPr>
          <w:p w14:paraId="41BF8458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</w:tcPr>
          <w:p w14:paraId="54B253B8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-0.002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(-0.005, 0.002)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14:paraId="60B5A304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0.455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</w:tcPr>
          <w:p w14:paraId="267EFA66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-0.002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(-0.009, 0.003)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</w:tcPr>
          <w:p w14:paraId="39AD1A96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0.495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</w:tcPr>
          <w:p w14:paraId="76CAEBCA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-0.001 </w:t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br w:type="textWrapping" w:clear="all"/>
            </w: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(-0.006, 0.003)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right w:val="nil"/>
            </w:tcBorders>
          </w:tcPr>
          <w:p w14:paraId="19A03DEE">
            <w:pPr>
              <w:pStyle w:val="21"/>
              <w:jc w:val="center"/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Style w:val="26"/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0.752</w:t>
            </w:r>
          </w:p>
        </w:tc>
      </w:tr>
    </w:tbl>
    <w:p w14:paraId="44C92551">
      <w:pPr>
        <w:pStyle w:val="21"/>
        <w:spacing w:beforeAutospacing="0" w:afterAutospacing="0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  <w:vertAlign w:val="superscript"/>
        </w:rPr>
        <w:t>a</w:t>
      </w:r>
      <w:r>
        <w:rPr>
          <w:rFonts w:hint="default" w:ascii="Times New Roman" w:hAnsi="Times New Roman" w:cs="Times New Roman"/>
          <w:i/>
          <w:iCs/>
          <w:sz w:val="22"/>
          <w:szCs w:val="22"/>
        </w:rPr>
        <w:t>P</w:t>
      </w:r>
      <w:r>
        <w:rPr>
          <w:rFonts w:hint="default" w:ascii="Times New Roman" w:hAnsi="Times New Roman" w:cs="Times New Roman"/>
          <w:sz w:val="22"/>
          <w:szCs w:val="22"/>
        </w:rPr>
        <w:t>-values indicate the statistical significance of the change in NRI or IDI compared to the reference (ref) model in each respective panel. The NRI was calculated based on predefined 10-year MACE risk categories: 0–15%, &gt;15–30%, and &gt;30%.</w:t>
      </w:r>
      <w:r>
        <w:rPr>
          <w:rFonts w:hint="default" w:ascii="Times New Roman" w:hAnsi="Times New Roman" w:eastAsia="宋体" w:cs="Times New Roman"/>
          <w:sz w:val="22"/>
          <w:szCs w:val="22"/>
        </w:rPr>
        <w:t xml:space="preserve"> Statistically significant values (</w:t>
      </w:r>
      <w:r>
        <w:rPr>
          <w:rFonts w:hint="default" w:ascii="Times New Roman" w:hAnsi="Times New Roman" w:eastAsia="宋体" w:cs="Times New Roman"/>
          <w:i/>
          <w:iCs/>
          <w:sz w:val="22"/>
          <w:szCs w:val="22"/>
        </w:rPr>
        <w:t>P</w:t>
      </w:r>
      <w:r>
        <w:rPr>
          <w:rFonts w:hint="default" w:ascii="Times New Roman" w:hAnsi="Times New Roman" w:eastAsia="宋体" w:cs="Times New Roman"/>
          <w:sz w:val="22"/>
          <w:szCs w:val="22"/>
        </w:rPr>
        <w:t xml:space="preserve"> &lt; 0.05) are shown in bold.</w:t>
      </w:r>
    </w:p>
    <w:p w14:paraId="6E997C48">
      <w:pPr>
        <w:pStyle w:val="21"/>
        <w:spacing w:beforeAutospacing="0" w:afterAutospacing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Abbreviations:</w:t>
      </w:r>
      <w:r>
        <w:rPr>
          <w:rFonts w:hint="default" w:ascii="Times New Roman" w:hAnsi="Times New Roman" w:cs="Times New Roman"/>
          <w:sz w:val="22"/>
          <w:szCs w:val="22"/>
        </w:rPr>
        <w:t xml:space="preserve"> CI, confidence interval; IDI, integrated discrimination index; MACE, major adverse cardiovascular event; NRI, net reclassification index; PRS, polygenic risk score.</w:t>
      </w:r>
    </w:p>
    <w:p w14:paraId="4066F66F">
      <w:pPr>
        <w:pStyle w:val="2"/>
        <w:spacing w:before="0" w:after="120" w:line="360" w:lineRule="auto"/>
        <w:ind w:firstLine="0"/>
        <w:rPr>
          <w:rFonts w:hint="default"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134" w:right="720" w:bottom="1134" w:left="720" w:header="708" w:footer="709" w:gutter="0"/>
          <w:cols w:space="0" w:num="1"/>
          <w:docGrid w:linePitch="360" w:charSpace="0"/>
        </w:sectPr>
      </w:pPr>
    </w:p>
    <w:p w14:paraId="38D76058">
      <w:pPr>
        <w:pStyle w:val="2"/>
        <w:spacing w:before="0" w:after="120" w:line="360" w:lineRule="auto"/>
        <w:ind w:firstLine="0"/>
        <w:rPr>
          <w:rFonts w:hint="default" w:ascii="Times New Roman" w:hAnsi="Times New Roman" w:eastAsia="宋体" w:cs="Times New Roman"/>
          <w:sz w:val="20"/>
          <w:szCs w:val="20"/>
          <w:lang w:val="en-US" w:eastAsia="en-US"/>
        </w:rPr>
      </w:pPr>
      <w:bookmarkStart w:id="16" w:name="_Toc13259"/>
      <w:r>
        <w:rPr>
          <w:rFonts w:hint="default"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Supplemental Table S</w:t>
      </w:r>
      <w:r>
        <w:rPr>
          <w:rFonts w:hint="default"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en-US"/>
        </w:rPr>
        <w:t>ß-coefficients of the variables of the SCORE2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-Diabetes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en-US"/>
        </w:rPr>
        <w:t xml:space="preserve"> model extended by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selected multi-omics biomarkers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en-US"/>
        </w:rPr>
        <w:t xml:space="preserve"> for 10-year prediction of major cardiovascular events</w:t>
      </w:r>
      <w:bookmarkEnd w:id="16"/>
    </w:p>
    <w:tbl>
      <w:tblPr>
        <w:tblStyle w:val="5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9"/>
        <w:gridCol w:w="956"/>
        <w:gridCol w:w="963"/>
      </w:tblGrid>
      <w:tr w14:paraId="2D3B9F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7319917">
            <w:pPr>
              <w:spacing w:before="48" w:beforeLines="20" w:after="48" w:afterLines="20"/>
              <w:rPr>
                <w:rFonts w:hint="default" w:ascii="Times New Roman" w:hAnsi="Times New Roman" w:cs="Times New Roman"/>
                <w:b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lang w:eastAsia="en-GB"/>
              </w:rPr>
              <w:t>Risk factor (units)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3BC5995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b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lang w:val="en-US"/>
              </w:rPr>
              <w:t>Coefficient</w:t>
            </w:r>
          </w:p>
        </w:tc>
      </w:tr>
      <w:tr w14:paraId="7E3B71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tblHeader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29C2293">
            <w:pPr>
              <w:spacing w:before="48" w:beforeLines="20" w:after="48" w:afterLines="20"/>
              <w:rPr>
                <w:rFonts w:hint="default" w:ascii="Times New Roman" w:hAnsi="Times New Roman" w:eastAsia="Calibri" w:cs="Times New Roman"/>
                <w:b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5E94D3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CAF11E3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lang w:val="en-US"/>
              </w:rPr>
              <w:t>Female</w:t>
            </w:r>
          </w:p>
        </w:tc>
      </w:tr>
      <w:tr w14:paraId="7A7604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949" w:type="dxa"/>
            <w:tcBorders>
              <w:top w:val="single" w:color="auto" w:sz="4" w:space="0"/>
              <w:bottom w:val="nil"/>
            </w:tcBorders>
          </w:tcPr>
          <w:p w14:paraId="3C7CC3C1">
            <w:pPr>
              <w:spacing w:before="20" w:after="20"/>
              <w:rPr>
                <w:rFonts w:hint="default" w:ascii="Times New Roman" w:hAnsi="Times New Roman" w:cs="Times New Roman"/>
                <w:b/>
                <w:lang w:eastAsia="en-GB"/>
              </w:rPr>
            </w:pPr>
            <w:r>
              <w:rPr>
                <w:rFonts w:hint="default" w:ascii="Times New Roman" w:hAnsi="Times New Roman" w:cs="Times New Roman"/>
                <w:b/>
                <w:lang w:eastAsia="en-GB"/>
              </w:rPr>
              <w:t>SCORE2</w:t>
            </w: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-Diabetes</w:t>
            </w:r>
            <w:r>
              <w:rPr>
                <w:rFonts w:hint="default" w:ascii="Times New Roman" w:hAnsi="Times New Roman" w:cs="Times New Roman"/>
                <w:b/>
                <w:lang w:eastAsia="en-GB"/>
              </w:rPr>
              <w:t xml:space="preserve"> variables</w:t>
            </w:r>
          </w:p>
        </w:tc>
        <w:tc>
          <w:tcPr>
            <w:tcW w:w="956" w:type="dxa"/>
            <w:tcBorders>
              <w:top w:val="single" w:color="auto" w:sz="4" w:space="0"/>
              <w:bottom w:val="nil"/>
            </w:tcBorders>
          </w:tcPr>
          <w:p w14:paraId="047D0E47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color="auto" w:sz="4" w:space="0"/>
              <w:bottom w:val="nil"/>
            </w:tcBorders>
          </w:tcPr>
          <w:p w14:paraId="2A6A501B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7778F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949" w:type="dxa"/>
            <w:tcBorders>
              <w:top w:val="nil"/>
            </w:tcBorders>
          </w:tcPr>
          <w:p w14:paraId="5F02B857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Age (per 5 years)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2174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-0.6712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3938C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9063</w:t>
            </w:r>
          </w:p>
        </w:tc>
      </w:tr>
      <w:tr w14:paraId="2C6FC1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shd w:val="clear" w:color="auto" w:fill="FFFFFF" w:themeFill="background1"/>
          </w:tcPr>
          <w:p w14:paraId="3F4515C6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Current smoking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15616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-0.3326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222A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0181</w:t>
            </w:r>
          </w:p>
        </w:tc>
      </w:tr>
      <w:tr w14:paraId="505590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949" w:type="dxa"/>
            <w:shd w:val="clear" w:color="auto" w:fill="FFFFFF" w:themeFill="background1"/>
          </w:tcPr>
          <w:p w14:paraId="4DACB2AA">
            <w:pPr>
              <w:spacing w:before="20" w:after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S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BP</w:t>
            </w:r>
            <w:r>
              <w:rPr>
                <w:rFonts w:hint="default" w:ascii="Times New Roman" w:hAnsi="Times New Roman" w:cs="Times New Roman"/>
                <w:lang w:eastAsia="en-GB"/>
              </w:rPr>
              <w:t xml:space="preserve"> (per 20 mmHg)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817D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-0.2602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D808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0900</w:t>
            </w:r>
          </w:p>
        </w:tc>
      </w:tr>
      <w:tr w14:paraId="5AE70F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shd w:val="clear" w:color="auto" w:fill="FFFFFF" w:themeFill="background1"/>
          </w:tcPr>
          <w:p w14:paraId="53C04755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Total cholesterol (per 1 mmol/L)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AB16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2097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C6156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2351</w:t>
            </w:r>
          </w:p>
        </w:tc>
      </w:tr>
      <w:tr w14:paraId="2B58BC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shd w:val="clear" w:color="auto" w:fill="FFFFFF" w:themeFill="background1"/>
          </w:tcPr>
          <w:p w14:paraId="3F199FA5">
            <w:pPr>
              <w:spacing w:before="20" w:after="20"/>
              <w:rPr>
                <w:rFonts w:hint="default" w:ascii="Times New Roman" w:hAnsi="Times New Roman" w:cs="Times New Roman"/>
                <w:lang w:val="it-IT" w:eastAsia="en-GB"/>
              </w:rPr>
            </w:pPr>
            <w:r>
              <w:rPr>
                <w:rFonts w:hint="default" w:ascii="Times New Roman" w:hAnsi="Times New Roman" w:cs="Times New Roman"/>
                <w:lang w:val="it-IT" w:eastAsia="en-GB"/>
              </w:rPr>
              <w:t>HDL cholesterol (per 0.5 mmol/L)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765E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0064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F073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5594</w:t>
            </w:r>
          </w:p>
        </w:tc>
      </w:tr>
      <w:tr w14:paraId="2D2DCB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7306ADE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Smoking interaction with age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42D0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0378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FB213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0678</w:t>
            </w:r>
          </w:p>
        </w:tc>
      </w:tr>
      <w:tr w14:paraId="1B4EF0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shd w:val="clear" w:color="auto" w:fill="FFFFFF" w:themeFill="background1"/>
          </w:tcPr>
          <w:p w14:paraId="08102CC0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SBP interaction with age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2AAA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0.2976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9FDDC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0918</w:t>
            </w:r>
          </w:p>
        </w:tc>
      </w:tr>
      <w:tr w14:paraId="200A77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bottom w:val="nil"/>
            </w:tcBorders>
            <w:shd w:val="clear" w:color="auto" w:fill="FFFFFF" w:themeFill="background1"/>
          </w:tcPr>
          <w:p w14:paraId="33C5CB0C">
            <w:pPr>
              <w:spacing w:before="20" w:after="20"/>
              <w:rPr>
                <w:rFonts w:hint="default" w:ascii="Times New Roman" w:hAnsi="Times New Roman" w:eastAsia="Calibri" w:cs="Times New Roman"/>
                <w:vertAlign w:val="superscript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en-GB"/>
              </w:rPr>
              <w:t>Total cholesterol interaction with age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5F61D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2730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21E3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-0.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0340</w:t>
            </w:r>
          </w:p>
        </w:tc>
      </w:tr>
      <w:tr w14:paraId="271FF8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44C5F1">
            <w:pPr>
              <w:spacing w:before="20" w:after="20"/>
              <w:rPr>
                <w:rFonts w:hint="default" w:ascii="Times New Roman" w:hAnsi="Times New Roman" w:eastAsia="Calibri" w:cs="Times New Roman"/>
              </w:rPr>
            </w:pPr>
            <w:r>
              <w:rPr>
                <w:rFonts w:hint="default" w:ascii="Times New Roman" w:hAnsi="Times New Roman" w:cs="Times New Roman"/>
                <w:lang w:eastAsia="en-GB"/>
              </w:rPr>
              <w:t>HDL interaction with age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934A6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-0.0264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54F05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2162</w:t>
            </w:r>
          </w:p>
        </w:tc>
      </w:tr>
      <w:tr w14:paraId="5970FF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75A6CC">
            <w:pPr>
              <w:spacing w:before="20" w:after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eastAsia="Calibri" w:cs="Times New Roman"/>
                <w:lang w:val="en-US"/>
              </w:rPr>
              <w:t>Diabetes age at diagnosis (per 5 years)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32BB4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0.0051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E5687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-0.1638</w:t>
            </w:r>
          </w:p>
        </w:tc>
      </w:tr>
      <w:tr w14:paraId="6BEF5F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D1170F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eastAsia="Calibri" w:cs="Times New Roman"/>
              </w:rPr>
              <w:t>HbA</w:t>
            </w:r>
            <w:r>
              <w:rPr>
                <w:rFonts w:hint="default" w:ascii="Times New Roman" w:hAnsi="Times New Roman" w:eastAsia="Calibri" w:cs="Times New Roman"/>
                <w:vertAlign w:val="subscript"/>
              </w:rPr>
              <w:t>1c</w:t>
            </w:r>
            <w:r>
              <w:rPr>
                <w:rFonts w:hint="default" w:ascii="Times New Roman" w:hAnsi="Times New Roman" w:eastAsia="Calibri" w:cs="Times New Roman"/>
              </w:rPr>
              <w:t xml:space="preserve"> (per 9.34 mmol/mol)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87E5D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0.0470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065A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0.0147</w:t>
            </w:r>
          </w:p>
        </w:tc>
      </w:tr>
      <w:tr w14:paraId="244468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27CC19">
            <w:pPr>
              <w:spacing w:before="20" w:after="20"/>
              <w:rPr>
                <w:rFonts w:hint="default" w:ascii="Times New Roman" w:hAnsi="Times New Roman" w:cs="Times New Roman"/>
                <w:lang w:val="it-IT" w:eastAsia="en-GB"/>
              </w:rPr>
            </w:pPr>
            <w:r>
              <w:rPr>
                <w:rFonts w:hint="default" w:ascii="Times New Roman" w:hAnsi="Times New Roman" w:eastAsia="Calibri" w:cs="Times New Roman"/>
                <w:lang w:val="it-IT"/>
              </w:rPr>
              <w:t>Ln eGFR (per 0.15 ml/min/1.73m</w:t>
            </w:r>
            <w:r>
              <w:rPr>
                <w:rFonts w:hint="default" w:ascii="Times New Roman" w:hAnsi="Times New Roman" w:eastAsia="Calibri" w:cs="Times New Roman"/>
                <w:vertAlign w:val="superscript"/>
                <w:lang w:val="it-IT"/>
              </w:rPr>
              <w:t>2</w:t>
            </w:r>
            <w:r>
              <w:rPr>
                <w:rFonts w:hint="default" w:ascii="Times New Roman" w:hAnsi="Times New Roman" w:eastAsia="Calibri" w:cs="Times New Roman"/>
                <w:lang w:val="it-IT"/>
              </w:rPr>
              <w:t>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E3243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-0.2007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85A1E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-0.1060</w:t>
            </w:r>
          </w:p>
        </w:tc>
      </w:tr>
      <w:tr w14:paraId="60DBED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D80981A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eastAsia="Calibri" w:cs="Times New Roman"/>
              </w:rPr>
              <w:t>Ln eGFR</w:t>
            </w:r>
            <w:r>
              <w:rPr>
                <w:rFonts w:hint="default" w:ascii="Times New Roman" w:hAnsi="Times New Roman" w:eastAsia="Calibri" w:cs="Times New Roman"/>
                <w:vertAlign w:val="superscript"/>
              </w:rPr>
              <w:t>2</w:t>
            </w:r>
            <w:r>
              <w:rPr>
                <w:rFonts w:hint="default" w:ascii="Times New Roman" w:hAnsi="Times New Roman" w:eastAsia="Calibri" w:cs="Times New Roman"/>
              </w:rPr>
              <w:t xml:space="preserve"> (quadratic term)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5C2C9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-0.0115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B89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0.0291</w:t>
            </w:r>
          </w:p>
        </w:tc>
      </w:tr>
      <w:tr w14:paraId="3DF0CA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4DD2D3">
            <w:pPr>
              <w:spacing w:before="20" w:after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eastAsia="Calibri" w:cs="Times New Roman"/>
              </w:rPr>
              <w:t>HbA</w:t>
            </w:r>
            <w:r>
              <w:rPr>
                <w:rFonts w:hint="default" w:ascii="Times New Roman" w:hAnsi="Times New Roman" w:eastAsia="Calibri" w:cs="Times New Roman"/>
                <w:vertAlign w:val="subscript"/>
              </w:rPr>
              <w:t>1c</w:t>
            </w:r>
            <w:r>
              <w:rPr>
                <w:rFonts w:hint="default" w:ascii="Times New Roman" w:hAnsi="Times New Roman" w:eastAsia="Calibri" w:cs="Times New Roman"/>
              </w:rPr>
              <w:t xml:space="preserve"> interaction with age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A7975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-0.0093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DBDE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-0.2434</w:t>
            </w:r>
          </w:p>
        </w:tc>
      </w:tr>
      <w:tr w14:paraId="0F0AA5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5ED5D5">
            <w:pPr>
              <w:spacing w:before="20" w:after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eastAsia="Calibri" w:cs="Times New Roman"/>
                <w:lang w:val="en-US"/>
              </w:rPr>
              <w:t>Ln eGFR interaction with age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A346C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0.0085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6824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0.0364</w:t>
            </w:r>
          </w:p>
        </w:tc>
      </w:tr>
      <w:tr w14:paraId="3E451D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</w:tcPr>
          <w:p w14:paraId="30FF768C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A</w:t>
            </w:r>
            <w:r>
              <w:rPr>
                <w:rFonts w:hint="default" w:ascii="Times New Roman" w:hAnsi="Times New Roman" w:eastAsia="Calibri" w:cs="Times New Roman"/>
                <w:b/>
              </w:rPr>
              <w:t xml:space="preserve">dditional </w:t>
            </w: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PRS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  <w:t>(per 1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9CED7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95CBF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4863BE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</w:tcPr>
          <w:p w14:paraId="2CE94D1A">
            <w:pPr>
              <w:spacing w:before="48" w:beforeLines="20" w:after="48" w:afterLines="20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CVD-PRS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0FC5E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BF8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0.0403</w:t>
            </w:r>
          </w:p>
        </w:tc>
      </w:tr>
      <w:tr w14:paraId="5EE9E1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</w:tcPr>
          <w:p w14:paraId="4A284679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A</w:t>
            </w:r>
            <w:r>
              <w:rPr>
                <w:rFonts w:hint="default" w:ascii="Times New Roman" w:hAnsi="Times New Roman" w:eastAsia="Calibri" w:cs="Times New Roman"/>
                <w:b/>
              </w:rPr>
              <w:t xml:space="preserve">dditional </w:t>
            </w: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metabolite</w:t>
            </w:r>
            <w:r>
              <w:rPr>
                <w:rFonts w:hint="default" w:ascii="Times New Roman" w:hAnsi="Times New Roman" w:eastAsia="Calibri" w:cs="Times New Roman"/>
                <w:b/>
              </w:rPr>
              <w:t>s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  <w:t>(per 1 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FBD0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CBC13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224B8A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6C1A10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Acetate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2E63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-0.1210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0B0D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6142A1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334650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Albumin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5E9F0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0.3158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AC3C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0.1281</w:t>
            </w:r>
          </w:p>
        </w:tc>
      </w:tr>
      <w:tr w14:paraId="55F695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1FA20C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Creatinine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E64B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-0.3306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E848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-0.3978</w:t>
            </w:r>
          </w:p>
        </w:tc>
      </w:tr>
      <w:tr w14:paraId="36EAA3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3B0B11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GlycA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2B218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67C8F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-0.0636</w:t>
            </w:r>
          </w:p>
        </w:tc>
      </w:tr>
      <w:tr w14:paraId="0001EB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BAFB7F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Omega-3-pct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8AF7F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-0.1954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4A04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10DC97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CD6EC1">
            <w:pPr>
              <w:spacing w:before="48" w:beforeLines="20" w:after="48" w:afterLines="20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Lactate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51EC7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5818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0.1075</w:t>
            </w:r>
          </w:p>
        </w:tc>
      </w:tr>
      <w:tr w14:paraId="5FA084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4C978F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VLDL-size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A27B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-0.0901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E8B1F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029296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</w:tcPr>
          <w:p w14:paraId="4EA7606E">
            <w:pPr>
              <w:spacing w:before="48" w:beforeLines="20" w:after="48" w:afterLines="20"/>
              <w:rPr>
                <w:rFonts w:hint="default" w:ascii="Times New Roman" w:hAnsi="Times New Roman" w:eastAsia="Calibri" w:cs="Times New Roman"/>
                <w:b/>
              </w:rPr>
            </w:pPr>
            <w:r>
              <w:rPr>
                <w:rFonts w:hint="default" w:ascii="Times New Roman" w:hAnsi="Times New Roman" w:eastAsia="宋体" w:cs="Times New Roman"/>
                <w:b/>
                <w:lang w:val="en-US"/>
              </w:rPr>
              <w:t>A</w:t>
            </w:r>
            <w:r>
              <w:rPr>
                <w:rFonts w:hint="default" w:ascii="Times New Roman" w:hAnsi="Times New Roman" w:eastAsia="Calibri" w:cs="Times New Roman"/>
                <w:b/>
              </w:rPr>
              <w:t>dditional proteins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  <w:t>(per 1 SD)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B91822B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4332586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BBC35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E56EC0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ACTA2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35FC4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1979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8F3116D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</w:p>
        </w:tc>
      </w:tr>
      <w:tr w14:paraId="1749CC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135917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CHGA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B213899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0.0220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512A34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2D40C0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3C6BEBA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CRNN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7FBEDFF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1997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26C3B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0D6B16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4E21305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CTRC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D05315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89CA915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-0.8490</w:t>
            </w:r>
          </w:p>
        </w:tc>
      </w:tr>
      <w:tr w14:paraId="5A18AE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BC5D147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EFHD1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800B7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056AA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0.1114</w:t>
            </w:r>
          </w:p>
        </w:tc>
      </w:tr>
      <w:tr w14:paraId="6F7293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9885E0F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ENPP5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08E67E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  <w:lang w:val="en-US"/>
              </w:rPr>
              <w:t>0.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3899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8B3C1F1">
            <w:pPr>
              <w:spacing w:before="48" w:beforeLines="20" w:after="48" w:afterLines="2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</w:t>
            </w:r>
          </w:p>
        </w:tc>
      </w:tr>
      <w:tr w14:paraId="513B91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0098B0E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GAST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9353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0.2080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5A4BF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5DAC53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68E6B2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HS3ST3B1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3EDE6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6DD10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0.5037</w:t>
            </w:r>
          </w:p>
        </w:tc>
      </w:tr>
      <w:tr w14:paraId="488D2E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18131E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it-IT" w:eastAsia="en-GB"/>
              </w:rPr>
            </w:pPr>
            <w:r>
              <w:rPr>
                <w:rFonts w:hint="default" w:ascii="Times New Roman" w:hAnsi="Times New Roman" w:cs="Times New Roman"/>
              </w:rPr>
              <w:t>IL22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AB52E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FCBA8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0.5579</w:t>
            </w:r>
          </w:p>
        </w:tc>
      </w:tr>
      <w:tr w14:paraId="7902EA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97DDB2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</w:rPr>
              <w:t>NT</w:t>
            </w: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  <w:r>
              <w:rPr>
                <w:rFonts w:hint="default" w:ascii="Times New Roman" w:hAnsi="Times New Roman" w:cs="Times New Roman"/>
              </w:rPr>
              <w:t>proBNP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1EF61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0.1940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AE860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lang w:val="en-US"/>
              </w:rPr>
              <w:t>-</w:t>
            </w:r>
          </w:p>
        </w:tc>
      </w:tr>
      <w:tr w14:paraId="442874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CA6D69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</w:rPr>
              <w:t>POSTN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B1CB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0.4796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F2CA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-</w:t>
            </w:r>
          </w:p>
        </w:tc>
      </w:tr>
      <w:tr w14:paraId="039B91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92977CC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</w:rPr>
              <w:t>SMOC1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1109C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187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0.2765</w:t>
            </w:r>
          </w:p>
        </w:tc>
      </w:tr>
      <w:tr w14:paraId="77031A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052CA1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eastAsia="en-GB"/>
              </w:rPr>
            </w:pPr>
            <w:r>
              <w:rPr>
                <w:rFonts w:hint="default" w:ascii="Times New Roman" w:hAnsi="Times New Roman" w:cs="Times New Roman"/>
              </w:rPr>
              <w:t>TNC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3399B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CC46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0.6748</w:t>
            </w:r>
          </w:p>
        </w:tc>
      </w:tr>
      <w:tr w14:paraId="19E4B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394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5704FB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</w:rPr>
              <w:t>TRIM21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0D4A5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-0.4930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CB4C2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-</w:t>
            </w:r>
          </w:p>
        </w:tc>
      </w:tr>
      <w:tr w14:paraId="2A84DC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3949" w:type="dxa"/>
            <w:tcBorders>
              <w:top w:val="nil"/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0BD296F4">
            <w:pPr>
              <w:spacing w:before="48" w:beforeLines="20" w:after="48" w:afterLines="20"/>
              <w:rPr>
                <w:rFonts w:hint="default" w:ascii="Times New Roman" w:hAnsi="Times New Roman" w:cs="Times New Roman"/>
                <w:lang w:val="en-US" w:eastAsia="en-GB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WFDC2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31E625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0.8517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5B274A">
            <w:pPr>
              <w:spacing w:before="48" w:beforeLines="20" w:after="48" w:afterLines="20"/>
              <w:jc w:val="center"/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lang w:val="en-US"/>
              </w:rPr>
              <w:t>0.5199</w:t>
            </w:r>
          </w:p>
        </w:tc>
      </w:tr>
    </w:tbl>
    <w:p w14:paraId="688F5D8D">
      <w:pPr>
        <w:pStyle w:val="21"/>
        <w:rPr>
          <w:rStyle w:val="26"/>
          <w:rFonts w:hint="default" w:ascii="Times New Roman" w:hAnsi="Times New Roman" w:eastAsia="宋体" w:cs="Times New Roman"/>
          <w:lang w:val="de-DE"/>
        </w:rPr>
      </w:pPr>
      <w:r>
        <w:rPr>
          <w:rFonts w:hint="default" w:ascii="Times New Roman" w:hAnsi="Times New Roman" w:cs="Times New Roman"/>
          <w:b/>
          <w:bCs/>
          <w:lang w:val="de-DE"/>
        </w:rPr>
        <w:t xml:space="preserve">Abbreviations: </w:t>
      </w:r>
      <w:r>
        <w:rPr>
          <w:rFonts w:hint="default" w:ascii="Times New Roman" w:hAnsi="Times New Roman" w:cs="Times New Roman"/>
          <w:lang w:val="de-DE"/>
        </w:rPr>
        <w:t>ACTA2, Actin Alpha 2</w:t>
      </w:r>
      <w:r>
        <w:rPr>
          <w:rFonts w:hint="default" w:ascii="Times New Roman" w:hAnsi="Times New Roman" w:cs="Times New Roman"/>
          <w:lang w:val="de-DE" w:eastAsia="en-US"/>
        </w:rPr>
        <w:t xml:space="preserve">; </w:t>
      </w:r>
      <w:r>
        <w:rPr>
          <w:rFonts w:hint="default" w:ascii="Times New Roman" w:hAnsi="Times New Roman" w:cs="Times New Roman"/>
          <w:lang w:val="de-DE"/>
        </w:rPr>
        <w:t xml:space="preserve">CHGA, Chromogranin-A; CRNN, Cornulin; CTRC, Chymotrypsin-C; </w:t>
      </w:r>
      <w:r>
        <w:rPr>
          <w:rFonts w:hint="default" w:ascii="Times New Roman" w:hAnsi="Times New Roman" w:eastAsia="宋体" w:cs="Times New Roman"/>
          <w:lang w:val="de-DE"/>
        </w:rPr>
        <w:t xml:space="preserve">CVD, Cardiovascular Disease; </w:t>
      </w:r>
      <w:r>
        <w:rPr>
          <w:rFonts w:hint="default" w:ascii="Times New Roman" w:hAnsi="Times New Roman" w:cs="Times New Roman"/>
          <w:lang w:val="de-DE"/>
        </w:rPr>
        <w:t xml:space="preserve">EFHD1, EF-hand domain-containing protein D1; </w:t>
      </w:r>
      <w:r>
        <w:rPr>
          <w:rFonts w:hint="default" w:ascii="Times New Roman" w:hAnsi="Times New Roman" w:eastAsia="宋体" w:cs="Times New Roman"/>
          <w:lang w:val="de-DE" w:bidi="ar"/>
        </w:rPr>
        <w:t xml:space="preserve">eGFR, </w:t>
      </w:r>
      <w:r>
        <w:rPr>
          <w:rFonts w:hint="default" w:ascii="Times New Roman" w:hAnsi="Times New Roman" w:eastAsia="Calibri" w:cs="Times New Roman"/>
          <w:lang w:val="de-DE" w:eastAsia="en-US" w:bidi="ar"/>
        </w:rPr>
        <w:t>estimated glomerular filtration rate;</w:t>
      </w:r>
      <w:r>
        <w:rPr>
          <w:rFonts w:hint="default" w:ascii="Times New Roman" w:hAnsi="Times New Roman" w:eastAsia="宋体" w:cs="Times New Roman"/>
          <w:lang w:val="de-DE" w:bidi="ar"/>
        </w:rPr>
        <w:t xml:space="preserve"> </w:t>
      </w:r>
      <w:r>
        <w:rPr>
          <w:rFonts w:hint="default" w:ascii="Times New Roman" w:hAnsi="Times New Roman" w:cs="Times New Roman"/>
          <w:lang w:val="de-DE"/>
        </w:rPr>
        <w:t>ENPP5, Ectonucleotide pyrophosphatase/phosphodiesterase family member 5; GAST, Gastrin; HbA</w:t>
      </w:r>
      <w:r>
        <w:rPr>
          <w:rFonts w:hint="default" w:ascii="Times New Roman" w:hAnsi="Times New Roman" w:cs="Times New Roman"/>
          <w:vertAlign w:val="subscript"/>
          <w:lang w:val="de-DE"/>
        </w:rPr>
        <w:t>1c</w:t>
      </w:r>
      <w:r>
        <w:rPr>
          <w:rFonts w:hint="default" w:ascii="Times New Roman" w:hAnsi="Times New Roman" w:cs="Times New Roman"/>
          <w:lang w:val="de-DE"/>
        </w:rPr>
        <w:t xml:space="preserve">, glycated hemoglobin; </w:t>
      </w:r>
      <w:r>
        <w:rPr>
          <w:rFonts w:hint="default" w:ascii="Times New Roman" w:hAnsi="Times New Roman" w:eastAsia="Calibri" w:cs="Times New Roman"/>
          <w:lang w:val="de-DE" w:eastAsia="en-US" w:bidi="ar"/>
        </w:rPr>
        <w:t>HDL, High-density lipoprotein;</w:t>
      </w:r>
      <w:r>
        <w:rPr>
          <w:rFonts w:hint="default" w:ascii="Times New Roman" w:hAnsi="Times New Roman" w:eastAsia="宋体" w:cs="Times New Roman"/>
          <w:lang w:val="de-DE" w:bidi="ar"/>
        </w:rPr>
        <w:t xml:space="preserve"> </w:t>
      </w:r>
      <w:r>
        <w:rPr>
          <w:rFonts w:hint="default" w:ascii="Times New Roman" w:hAnsi="Times New Roman" w:cs="Times New Roman"/>
          <w:lang w:val="de-DE"/>
        </w:rPr>
        <w:t>HS3ST3B1, Heparan sulfate glucosamine 3-O-sulfotransferase 3B1; IL22, Interleukin-22; NT</w:t>
      </w:r>
      <w:r>
        <w:rPr>
          <w:rFonts w:hint="default" w:ascii="Times New Roman" w:hAnsi="Times New Roman" w:eastAsia="宋体" w:cs="Times New Roman"/>
          <w:lang w:val="de-DE"/>
        </w:rPr>
        <w:t>-</w:t>
      </w:r>
      <w:r>
        <w:rPr>
          <w:rFonts w:hint="default" w:ascii="Times New Roman" w:hAnsi="Times New Roman" w:cs="Times New Roman"/>
          <w:lang w:val="de-DE"/>
        </w:rPr>
        <w:t xml:space="preserve">proBNP, N-terminal prohormone of brain natriuretic peptide; Omega-3-pct, The Omega-3 fatty acids percentage of total fatty acids; </w:t>
      </w:r>
      <w:r>
        <w:rPr>
          <w:rFonts w:hint="default" w:ascii="Times New Roman" w:hAnsi="Times New Roman" w:eastAsia="宋体" w:cs="Times New Roman"/>
          <w:lang w:val="de-DE"/>
        </w:rPr>
        <w:t xml:space="preserve">PRS, polygenic risk score; </w:t>
      </w:r>
      <w:r>
        <w:rPr>
          <w:rFonts w:hint="default" w:ascii="Times New Roman" w:hAnsi="Times New Roman" w:eastAsia="Calibri" w:cs="Times New Roman"/>
          <w:lang w:val="de-DE" w:eastAsia="en-US" w:bidi="ar"/>
        </w:rPr>
        <w:t>SBP, Systolic blood pressure;</w:t>
      </w:r>
      <w:r>
        <w:rPr>
          <w:rFonts w:hint="default" w:ascii="Times New Roman" w:hAnsi="Times New Roman" w:eastAsia="宋体" w:cs="Times New Roman"/>
          <w:lang w:val="de-DE" w:bidi="ar"/>
        </w:rPr>
        <w:t xml:space="preserve"> </w:t>
      </w:r>
      <w:r>
        <w:rPr>
          <w:rFonts w:hint="default" w:ascii="Times New Roman" w:hAnsi="Times New Roman" w:eastAsia="宋体" w:cs="Times New Roman"/>
          <w:lang w:val="de-DE"/>
        </w:rPr>
        <w:t xml:space="preserve">SD, standard deviation; </w:t>
      </w:r>
      <w:r>
        <w:rPr>
          <w:rFonts w:hint="default" w:ascii="Times New Roman" w:hAnsi="Times New Roman" w:cs="Times New Roman"/>
          <w:lang w:val="de-DE"/>
        </w:rPr>
        <w:t xml:space="preserve">SMOC1, SPARC-related modular calcium-binding protein 1; TNC, Tenascin-C; TRIM21; E3 ubiquitin-protein ligase TRIM21;  VLDL-size, Average diameter for very-low-density lipoprotein particles; </w:t>
      </w:r>
      <w:r>
        <w:rPr>
          <w:rFonts w:hint="default" w:ascii="Times New Roman" w:hAnsi="Times New Roman" w:cs="Times New Roman"/>
          <w:lang w:val="de-DE" w:eastAsia="en-US"/>
        </w:rPr>
        <w:t>WFDC2, WAP four-disulfide core domain protein.</w:t>
      </w:r>
    </w:p>
    <w:p w14:paraId="7AA5F468">
      <w:pPr>
        <w:pStyle w:val="21"/>
        <w:rPr>
          <w:rStyle w:val="26"/>
          <w:rFonts w:hint="default" w:ascii="Times New Roman" w:hAnsi="Times New Roman" w:eastAsia="宋体" w:cs="Times New Roman"/>
        </w:rPr>
      </w:pPr>
      <w:r>
        <w:rPr>
          <w:rStyle w:val="26"/>
          <w:rFonts w:hint="default" w:ascii="Times New Roman" w:hAnsi="Times New Roman" w:eastAsia="宋体" w:cs="Times New Roman"/>
          <w:lang w:val="de-DE" w:eastAsia="de-DE"/>
        </w:rPr>
        <w:drawing>
          <wp:inline distT="0" distB="0" distL="114300" distR="114300">
            <wp:extent cx="6637020" cy="5743575"/>
            <wp:effectExtent l="0" t="0" r="0" b="9525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rcRect l="2875" r="2694" b="1448"/>
                    <a:stretch>
                      <a:fillRect/>
                    </a:stretch>
                  </pic:blipFill>
                  <pic:spPr>
                    <a:xfrm>
                      <a:off x="0" y="0"/>
                      <a:ext cx="6643366" cy="57490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DDC6C">
      <w:pPr>
        <w:pStyle w:val="21"/>
        <w:spacing w:before="100" w:after="100"/>
        <w:outlineLvl w:val="0"/>
        <w:rPr>
          <w:rStyle w:val="26"/>
          <w:rFonts w:hint="default" w:ascii="Times New Roman" w:hAnsi="Times New Roman" w:cs="Times New Roman"/>
        </w:rPr>
      </w:pPr>
      <w:bookmarkStart w:id="17" w:name="_Toc11368"/>
      <w:r>
        <w:rPr>
          <w:rFonts w:hint="default" w:ascii="Times New Roman" w:hAnsi="Times New Roman" w:cs="Times New Roman"/>
          <w:b/>
          <w:bCs/>
        </w:rPr>
        <w:t xml:space="preserve">Supplemental </w:t>
      </w:r>
      <w:r>
        <w:rPr>
          <w:rStyle w:val="26"/>
          <w:rFonts w:hint="default" w:ascii="Times New Roman" w:hAnsi="Times New Roman" w:cs="Times New Roman"/>
        </w:rPr>
        <w:t xml:space="preserve">Figure S1. </w:t>
      </w:r>
      <w:r>
        <w:rPr>
          <w:rStyle w:val="26"/>
          <w:rFonts w:hint="default" w:ascii="Times New Roman" w:hAnsi="Times New Roman" w:cs="Times New Roman"/>
          <w:b w:val="0"/>
          <w:bCs/>
        </w:rPr>
        <w:t>Flow charts of participant selection for proteomics-based and multi-omics-based cardiovascular risk prediction analyses</w:t>
      </w:r>
      <w:bookmarkEnd w:id="17"/>
    </w:p>
    <w:p w14:paraId="57AAD50B">
      <w:pPr>
        <w:pStyle w:val="21"/>
        <w:rPr>
          <w:rStyle w:val="26"/>
          <w:rFonts w:hint="default" w:ascii="Times New Roman" w:hAnsi="Times New Roman" w:eastAsia="宋体" w:cs="Times New Roman"/>
          <w:b w:val="0"/>
          <w:bCs/>
        </w:rPr>
        <w:sectPr>
          <w:pgSz w:w="11906" w:h="16838"/>
          <w:pgMar w:top="1134" w:right="720" w:bottom="1134" w:left="720" w:header="708" w:footer="709" w:gutter="0"/>
          <w:cols w:space="0" w:num="1"/>
          <w:docGrid w:linePitch="360" w:charSpace="0"/>
        </w:sectPr>
      </w:pPr>
      <w:r>
        <w:rPr>
          <w:rStyle w:val="26"/>
          <w:rFonts w:hint="default" w:ascii="Times New Roman" w:hAnsi="Times New Roman" w:eastAsia="宋体" w:cs="Times New Roman"/>
        </w:rPr>
        <w:t>Panel A</w:t>
      </w:r>
      <w:r>
        <w:rPr>
          <w:rStyle w:val="26"/>
          <w:rFonts w:hint="default" w:ascii="Times New Roman" w:hAnsi="Times New Roman" w:eastAsia="宋体" w:cs="Times New Roman"/>
          <w:b w:val="0"/>
          <w:bCs/>
        </w:rPr>
        <w:t xml:space="preserve"> shows participant selection for the proteomics-based cohort; </w:t>
      </w:r>
      <w:r>
        <w:rPr>
          <w:rStyle w:val="26"/>
          <w:rFonts w:hint="default" w:ascii="Times New Roman" w:hAnsi="Times New Roman" w:eastAsia="宋体" w:cs="Times New Roman"/>
        </w:rPr>
        <w:t>Panel B</w:t>
      </w:r>
      <w:r>
        <w:rPr>
          <w:rStyle w:val="26"/>
          <w:rFonts w:hint="default" w:ascii="Times New Roman" w:hAnsi="Times New Roman" w:eastAsia="宋体" w:cs="Times New Roman"/>
          <w:b w:val="0"/>
          <w:bCs/>
        </w:rPr>
        <w:t xml:space="preserve"> shows selection for the multi-omics cohort.</w:t>
      </w:r>
    </w:p>
    <w:p w14:paraId="38F4E5BD">
      <w:pPr>
        <w:spacing w:before="60" w:line="264" w:lineRule="auto"/>
        <w:jc w:val="center"/>
        <w:rPr>
          <w:rFonts w:hint="default" w:ascii="Times New Roman" w:hAnsi="Times New Roman" w:eastAsia="宋体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sz w:val="21"/>
          <w:szCs w:val="21"/>
          <w:lang w:eastAsia="de-DE"/>
        </w:rPr>
        <w:drawing>
          <wp:inline distT="0" distB="0" distL="114300" distR="114300">
            <wp:extent cx="9864725" cy="3013710"/>
            <wp:effectExtent l="0" t="0" r="9525" b="2540"/>
            <wp:docPr id="11" name="图片 11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64725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EC69B">
      <w:pPr>
        <w:pStyle w:val="21"/>
        <w:outlineLvl w:val="0"/>
        <w:rPr>
          <w:rFonts w:hint="default" w:ascii="Times New Roman" w:hAnsi="Times New Roman" w:cs="Times New Roman"/>
        </w:rPr>
      </w:pPr>
      <w:bookmarkStart w:id="18" w:name="_Toc27141"/>
      <w:r>
        <w:rPr>
          <w:rFonts w:hint="default" w:ascii="Times New Roman" w:hAnsi="Times New Roman" w:cs="Times New Roman"/>
          <w:b/>
          <w:bCs/>
        </w:rPr>
        <w:t xml:space="preserve">Supplemental </w:t>
      </w:r>
      <w:r>
        <w:rPr>
          <w:rStyle w:val="26"/>
          <w:rFonts w:hint="default" w:ascii="Times New Roman" w:hAnsi="Times New Roman" w:cs="Times New Roman"/>
        </w:rPr>
        <w:t>Figure S</w:t>
      </w:r>
      <w:r>
        <w:rPr>
          <w:rStyle w:val="26"/>
          <w:rFonts w:hint="default" w:ascii="Times New Roman" w:hAnsi="Times New Roman" w:eastAsia="宋体" w:cs="Times New Roman"/>
        </w:rPr>
        <w:t>2</w:t>
      </w:r>
      <w:r>
        <w:rPr>
          <w:rStyle w:val="26"/>
          <w:rFonts w:hint="default" w:ascii="Times New Roman" w:hAnsi="Times New Roman" w:cs="Times New Roman"/>
        </w:rPr>
        <w:t xml:space="preserve">. </w:t>
      </w:r>
      <w:r>
        <w:rPr>
          <w:rStyle w:val="26"/>
          <w:rFonts w:hint="default" w:ascii="Times New Roman" w:hAnsi="Times New Roman" w:cs="Times New Roman"/>
          <w:b w:val="0"/>
          <w:bCs/>
        </w:rPr>
        <w:t xml:space="preserve">ROC curves comparing the discrimination of the SCORE2-Diabetes model with and without proteomics </w:t>
      </w:r>
      <w:r>
        <w:rPr>
          <w:rFonts w:hint="default" w:ascii="Times New Roman" w:hAnsi="Times New Roman" w:eastAsia="宋体" w:cs="Times New Roman"/>
          <w:iCs/>
        </w:rPr>
        <w:t xml:space="preserve">extension </w:t>
      </w:r>
      <w:r>
        <w:rPr>
          <w:rStyle w:val="26"/>
          <w:rFonts w:hint="default" w:ascii="Times New Roman" w:hAnsi="Times New Roman" w:cs="Times New Roman"/>
          <w:b w:val="0"/>
          <w:bCs/>
        </w:rPr>
        <w:t>for 10-year MACE risk (N=1,751)</w:t>
      </w:r>
      <w:bookmarkEnd w:id="18"/>
    </w:p>
    <w:p w14:paraId="24EA3F02">
      <w:pPr>
        <w:pStyle w:val="2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Panels show receiver operating characteristic (ROC) curves for the SCORE2-Diabetes model (red) and the model extended with sex-specific proteomic signatures (blue) in the total population (</w:t>
      </w:r>
      <w:r>
        <w:rPr>
          <w:rFonts w:hint="default" w:ascii="Times New Roman" w:hAnsi="Times New Roman" w:cs="Times New Roman"/>
          <w:b/>
          <w:bCs/>
        </w:rPr>
        <w:t>Panel A</w:t>
      </w:r>
      <w:r>
        <w:rPr>
          <w:rFonts w:hint="default" w:ascii="Times New Roman" w:hAnsi="Times New Roman" w:cs="Times New Roman"/>
        </w:rPr>
        <w:t>), male participants (</w:t>
      </w:r>
      <w:r>
        <w:rPr>
          <w:rFonts w:hint="default" w:ascii="Times New Roman" w:hAnsi="Times New Roman" w:cs="Times New Roman"/>
          <w:b/>
          <w:bCs/>
        </w:rPr>
        <w:t>Panel B</w:t>
      </w:r>
      <w:r>
        <w:rPr>
          <w:rFonts w:hint="default" w:ascii="Times New Roman" w:hAnsi="Times New Roman" w:cs="Times New Roman"/>
        </w:rPr>
        <w:t>), and female participants (</w:t>
      </w:r>
      <w:r>
        <w:rPr>
          <w:rFonts w:hint="default" w:ascii="Times New Roman" w:hAnsi="Times New Roman" w:cs="Times New Roman"/>
          <w:b/>
          <w:bCs/>
        </w:rPr>
        <w:t>Panel C</w:t>
      </w:r>
      <w:r>
        <w:rPr>
          <w:rFonts w:hint="default" w:ascii="Times New Roman" w:hAnsi="Times New Roman" w:cs="Times New Roman"/>
        </w:rPr>
        <w:t xml:space="preserve">). Shaded areas represent 95% confidence intervals. </w:t>
      </w:r>
    </w:p>
    <w:p w14:paraId="4CBC0998">
      <w:pPr>
        <w:rPr>
          <w:rFonts w:hint="default" w:ascii="Times New Roman" w:hAnsi="Times New Roman" w:eastAsia="Calibri" w:cs="Times New Roman"/>
          <w:lang w:val="en-US"/>
        </w:rPr>
      </w:pPr>
      <w:r>
        <w:rPr>
          <w:rFonts w:hint="default" w:ascii="Times New Roman" w:hAnsi="Times New Roman" w:eastAsia="Calibri" w:cs="Times New Roman"/>
          <w:lang w:val="en-US"/>
        </w:rPr>
        <w:br w:type="page"/>
      </w:r>
    </w:p>
    <w:p w14:paraId="253476E1">
      <w:pPr>
        <w:outlineLvl w:val="0"/>
        <w:rPr>
          <w:rFonts w:hint="default" w:ascii="Times New Roman" w:hAnsi="Times New Roman" w:eastAsia="宋体" w:cs="Times New Roman"/>
          <w:lang w:val="en-US"/>
        </w:rPr>
      </w:pPr>
      <w:bookmarkStart w:id="19" w:name="_Toc18119"/>
      <w:r>
        <w:rPr>
          <w:rFonts w:hint="default" w:ascii="Times New Roman" w:hAnsi="Times New Roman" w:cs="Times New Roman"/>
          <w:b/>
          <w:bCs/>
          <w:lang w:val="en-US"/>
        </w:rPr>
        <w:t>Supplemental Figure S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3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. </w:t>
      </w:r>
      <w:r>
        <w:rPr>
          <w:rFonts w:hint="default" w:ascii="Times New Roman" w:hAnsi="Times New Roman" w:cs="Times New Roman"/>
          <w:bCs/>
          <w:lang w:val="en-US"/>
        </w:rPr>
        <w:t xml:space="preserve">Calibration curves of the </w:t>
      </w:r>
      <w:r>
        <w:rPr>
          <w:rFonts w:hint="default" w:ascii="Times New Roman" w:hAnsi="Times New Roman" w:eastAsia="宋体" w:cs="Times New Roman"/>
          <w:bCs/>
          <w:lang w:val="en-US"/>
        </w:rPr>
        <w:t>SCORE2-Diabetes model</w:t>
      </w:r>
      <w:r>
        <w:rPr>
          <w:rFonts w:hint="default" w:ascii="Times New Roman" w:hAnsi="Times New Roman" w:cs="Times New Roman"/>
          <w:bCs/>
          <w:lang w:val="en-US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>with</w:t>
      </w:r>
      <w:r>
        <w:rPr>
          <w:rFonts w:hint="default" w:ascii="Times New Roman" w:hAnsi="Times New Roman" w:eastAsia="宋体" w:cs="Times New Roman"/>
          <w:lang w:val="en-US"/>
        </w:rPr>
        <w:t xml:space="preserve"> and without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lang w:val="en-US"/>
        </w:rPr>
        <w:t>proteomics extension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  <w:bCs/>
          <w:lang w:val="en-US"/>
        </w:rPr>
        <w:t xml:space="preserve">for 10-year </w:t>
      </w:r>
      <w:r>
        <w:rPr>
          <w:rFonts w:hint="default" w:ascii="Times New Roman" w:hAnsi="Times New Roman" w:eastAsia="宋体" w:cs="Times New Roman"/>
          <w:bCs/>
          <w:lang w:val="en-US"/>
        </w:rPr>
        <w:t>MACE</w:t>
      </w:r>
      <w:r>
        <w:rPr>
          <w:rFonts w:hint="default" w:ascii="Times New Roman" w:hAnsi="Times New Roman" w:cs="Times New Roman"/>
          <w:bCs/>
          <w:lang w:val="en-US"/>
        </w:rPr>
        <w:t xml:space="preserve"> risk prediction</w:t>
      </w:r>
      <w:r>
        <w:rPr>
          <w:rFonts w:hint="default" w:ascii="Times New Roman" w:hAnsi="Times New Roman" w:eastAsia="宋体" w:cs="Times New Roman"/>
          <w:bCs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lang w:val="en-US"/>
        </w:rPr>
        <w:t>(N=1,751)</w:t>
      </w:r>
      <w:r>
        <w:rPr>
          <w:rFonts w:hint="default" w:ascii="Times New Roman" w:hAnsi="Times New Roman" w:cs="Times New Roman"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-535305</wp:posOffset>
            </wp:positionH>
            <wp:positionV relativeFrom="paragraph">
              <wp:posOffset>0</wp:posOffset>
            </wp:positionV>
            <wp:extent cx="10205085" cy="3048000"/>
            <wp:effectExtent l="0" t="0" r="2540" b="0"/>
            <wp:wrapTight wrapText="bothSides">
              <wp:wrapPolygon>
                <wp:start x="0" y="0"/>
                <wp:lineTo x="0" y="21488"/>
                <wp:lineTo x="21538" y="21488"/>
                <wp:lineTo x="21538" y="0"/>
                <wp:lineTo x="0" y="0"/>
              </wp:wrapPolygon>
            </wp:wrapTight>
            <wp:docPr id="17" name="图片 17" descr="Figure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ure S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0508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9"/>
      <w:r>
        <w:rPr>
          <w:rFonts w:hint="default" w:ascii="Times New Roman" w:hAnsi="Times New Roman" w:eastAsia="宋体" w:cs="Times New Roman"/>
          <w:lang w:val="en-US"/>
        </w:rPr>
        <w:t xml:space="preserve"> </w:t>
      </w:r>
    </w:p>
    <w:p w14:paraId="03607FBB">
      <w:pPr>
        <w:rPr>
          <w:rFonts w:hint="default" w:ascii="Times New Roman" w:hAnsi="Times New Roman" w:eastAsia="宋体" w:cs="Times New Roman"/>
          <w:lang w:val="en-US"/>
        </w:rPr>
      </w:pPr>
    </w:p>
    <w:p w14:paraId="0E9F0C68">
      <w:pPr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eastAsia="宋体" w:cs="Times New Roman"/>
          <w:lang w:val="en-US"/>
        </w:rPr>
        <w:t xml:space="preserve">Calibration of the SCORE2-Diabetes model (red) and the extended model incorporating proteomic biomarkers (blue) is shown in the total population </w:t>
      </w:r>
      <w:r>
        <w:rPr>
          <w:rFonts w:hint="default" w:ascii="Times New Roman" w:hAnsi="Times New Roman" w:cs="Times New Roman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Panel 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A</w:t>
      </w:r>
      <w:r>
        <w:rPr>
          <w:rFonts w:hint="default" w:ascii="Times New Roman" w:hAnsi="Times New Roman" w:cs="Times New Roman"/>
          <w:lang w:val="en-US"/>
        </w:rPr>
        <w:t>)</w:t>
      </w:r>
      <w:r>
        <w:rPr>
          <w:rFonts w:hint="default" w:ascii="Times New Roman" w:hAnsi="Times New Roman" w:eastAsia="宋体" w:cs="Times New Roman"/>
          <w:lang w:val="en-US"/>
        </w:rPr>
        <w:t xml:space="preserve">, male participants </w:t>
      </w:r>
      <w:r>
        <w:rPr>
          <w:rFonts w:hint="default" w:ascii="Times New Roman" w:hAnsi="Times New Roman" w:cs="Times New Roman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Panel 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B</w:t>
      </w:r>
      <w:r>
        <w:rPr>
          <w:rFonts w:hint="default" w:ascii="Times New Roman" w:hAnsi="Times New Roman" w:cs="Times New Roman"/>
          <w:lang w:val="en-US"/>
        </w:rPr>
        <w:t>)</w:t>
      </w:r>
      <w:r>
        <w:rPr>
          <w:rFonts w:hint="default" w:ascii="Times New Roman" w:hAnsi="Times New Roman" w:eastAsia="宋体" w:cs="Times New Roman"/>
          <w:lang w:val="en-US"/>
        </w:rPr>
        <w:t xml:space="preserve">, and female participants </w:t>
      </w:r>
      <w:r>
        <w:rPr>
          <w:rFonts w:hint="default" w:ascii="Times New Roman" w:hAnsi="Times New Roman" w:cs="Times New Roman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Panel 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C</w:t>
      </w:r>
      <w:r>
        <w:rPr>
          <w:rFonts w:hint="default" w:ascii="Times New Roman" w:hAnsi="Times New Roman" w:cs="Times New Roman"/>
          <w:lang w:val="en-US"/>
        </w:rPr>
        <w:t>)</w:t>
      </w:r>
      <w:r>
        <w:rPr>
          <w:rFonts w:hint="default" w:ascii="Times New Roman" w:hAnsi="Times New Roman" w:eastAsia="宋体" w:cs="Times New Roman"/>
          <w:lang w:val="en-US"/>
        </w:rPr>
        <w:t>.</w:t>
      </w:r>
    </w:p>
    <w:p w14:paraId="7DACC545">
      <w:pPr>
        <w:rPr>
          <w:rFonts w:hint="default" w:ascii="Times New Roman" w:hAnsi="Times New Roman" w:eastAsia="Calibri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Calibri" w:cs="Times New Roman"/>
          <w:sz w:val="21"/>
          <w:szCs w:val="21"/>
          <w:lang w:val="en-US"/>
        </w:rPr>
        <w:br w:type="page"/>
      </w:r>
    </w:p>
    <w:p w14:paraId="4DD694FF">
      <w:pPr>
        <w:spacing w:before="60" w:line="264" w:lineRule="auto"/>
        <w:jc w:val="center"/>
        <w:rPr>
          <w:rFonts w:hint="default" w:ascii="Times New Roman" w:hAnsi="Times New Roman" w:eastAsia="宋体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sz w:val="21"/>
          <w:szCs w:val="21"/>
          <w:lang w:eastAsia="de-DE"/>
        </w:rPr>
        <w:drawing>
          <wp:inline distT="0" distB="0" distL="114300" distR="114300">
            <wp:extent cx="9839960" cy="3064510"/>
            <wp:effectExtent l="0" t="0" r="2540" b="15240"/>
            <wp:docPr id="18" name="图片 18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ure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3996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E4CD3">
      <w:pPr>
        <w:pStyle w:val="21"/>
        <w:outlineLvl w:val="0"/>
        <w:rPr>
          <w:rFonts w:hint="default" w:ascii="Times New Roman" w:hAnsi="Times New Roman" w:cs="Times New Roman"/>
        </w:rPr>
      </w:pPr>
      <w:bookmarkStart w:id="20" w:name="_Toc3045"/>
      <w:r>
        <w:rPr>
          <w:rFonts w:hint="default" w:ascii="Times New Roman" w:hAnsi="Times New Roman" w:cs="Times New Roman"/>
          <w:b/>
          <w:bCs/>
        </w:rPr>
        <w:t xml:space="preserve">Supplemental </w:t>
      </w:r>
      <w:r>
        <w:rPr>
          <w:rStyle w:val="26"/>
          <w:rFonts w:hint="default" w:ascii="Times New Roman" w:hAnsi="Times New Roman" w:cs="Times New Roman"/>
        </w:rPr>
        <w:t>Figure S</w:t>
      </w:r>
      <w:r>
        <w:rPr>
          <w:rStyle w:val="26"/>
          <w:rFonts w:hint="default" w:ascii="Times New Roman" w:hAnsi="Times New Roman" w:eastAsia="宋体" w:cs="Times New Roman"/>
        </w:rPr>
        <w:t>4</w:t>
      </w:r>
      <w:r>
        <w:rPr>
          <w:rStyle w:val="26"/>
          <w:rFonts w:hint="default" w:ascii="Times New Roman" w:hAnsi="Times New Roman" w:cs="Times New Roman"/>
        </w:rPr>
        <w:t xml:space="preserve">. </w:t>
      </w:r>
      <w:r>
        <w:rPr>
          <w:rStyle w:val="26"/>
          <w:rFonts w:hint="default" w:ascii="Times New Roman" w:hAnsi="Times New Roman" w:cs="Times New Roman"/>
          <w:b w:val="0"/>
          <w:bCs/>
        </w:rPr>
        <w:t xml:space="preserve">ROC curves comparing the discrimination of the SCORE2-Diabetes model with and without multi-omics </w:t>
      </w:r>
      <w:r>
        <w:rPr>
          <w:rFonts w:hint="default" w:ascii="Times New Roman" w:hAnsi="Times New Roman" w:eastAsia="宋体" w:cs="Times New Roman"/>
          <w:iCs/>
        </w:rPr>
        <w:t>extension</w:t>
      </w:r>
      <w:r>
        <w:rPr>
          <w:rStyle w:val="26"/>
          <w:rFonts w:hint="default" w:ascii="Times New Roman" w:hAnsi="Times New Roman" w:cs="Times New Roman"/>
          <w:b w:val="0"/>
          <w:bCs/>
        </w:rPr>
        <w:t xml:space="preserve"> for 10-year MACE risk (N=990)</w:t>
      </w:r>
      <w:bookmarkEnd w:id="20"/>
    </w:p>
    <w:p w14:paraId="4B0E79DB">
      <w:pPr>
        <w:pStyle w:val="2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Panels display receiver operating characteristic (ROC) curves for the SCORE2-Diabetes model (red) and the model extended with multi-omics biomarkers (blue) in the total population (</w:t>
      </w:r>
      <w:r>
        <w:rPr>
          <w:rFonts w:hint="default" w:ascii="Times New Roman" w:hAnsi="Times New Roman" w:cs="Times New Roman"/>
          <w:b/>
          <w:bCs/>
        </w:rPr>
        <w:t>Panel A</w:t>
      </w:r>
      <w:r>
        <w:rPr>
          <w:rFonts w:hint="default" w:ascii="Times New Roman" w:hAnsi="Times New Roman" w:cs="Times New Roman"/>
        </w:rPr>
        <w:t>), male participants (</w:t>
      </w:r>
      <w:r>
        <w:rPr>
          <w:rFonts w:hint="default" w:ascii="Times New Roman" w:hAnsi="Times New Roman" w:cs="Times New Roman"/>
          <w:b/>
          <w:bCs/>
        </w:rPr>
        <w:t>Panel B</w:t>
      </w:r>
      <w:r>
        <w:rPr>
          <w:rFonts w:hint="default" w:ascii="Times New Roman" w:hAnsi="Times New Roman" w:cs="Times New Roman"/>
        </w:rPr>
        <w:t>), and female participants (</w:t>
      </w:r>
      <w:r>
        <w:rPr>
          <w:rFonts w:hint="default" w:ascii="Times New Roman" w:hAnsi="Times New Roman" w:cs="Times New Roman"/>
          <w:b/>
          <w:bCs/>
        </w:rPr>
        <w:t>Panel C</w:t>
      </w:r>
      <w:r>
        <w:rPr>
          <w:rFonts w:hint="default" w:ascii="Times New Roman" w:hAnsi="Times New Roman" w:cs="Times New Roman"/>
        </w:rPr>
        <w:t xml:space="preserve">). The multi-omics model refers to the integration of proteomics, metabolomics, and the CVD-PRS. </w:t>
      </w:r>
    </w:p>
    <w:p w14:paraId="3CAAE200"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en-US"/>
        </w:rPr>
        <w:br w:type="page"/>
      </w:r>
    </w:p>
    <w:p w14:paraId="4C87F6E3">
      <w:pPr>
        <w:outlineLvl w:val="0"/>
        <w:rPr>
          <w:rFonts w:hint="default" w:ascii="Times New Roman" w:hAnsi="Times New Roman" w:cs="Times New Roman"/>
          <w:bCs/>
          <w:lang w:val="en-US"/>
        </w:rPr>
      </w:pPr>
      <w:bookmarkStart w:id="21" w:name="_Toc5582"/>
      <w:r>
        <w:rPr>
          <w:rFonts w:hint="default" w:ascii="Times New Roman" w:hAnsi="Times New Roman" w:cs="Times New Roman"/>
          <w:b/>
          <w:bCs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0</wp:posOffset>
            </wp:positionV>
            <wp:extent cx="10320020" cy="3034665"/>
            <wp:effectExtent l="0" t="0" r="14605" b="13335"/>
            <wp:wrapTight wrapText="bothSides">
              <wp:wrapPolygon>
                <wp:start x="0" y="0"/>
                <wp:lineTo x="0" y="21469"/>
                <wp:lineTo x="21531" y="21469"/>
                <wp:lineTo x="21531" y="0"/>
                <wp:lineTo x="0" y="0"/>
              </wp:wrapPolygon>
            </wp:wrapTight>
            <wp:docPr id="19" name="图片 19" descr="Calib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alibration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2002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lang w:val="en-US"/>
        </w:rPr>
        <w:t>Supplemental Figure S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5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. </w:t>
      </w:r>
      <w:r>
        <w:rPr>
          <w:rFonts w:hint="default" w:ascii="Times New Roman" w:hAnsi="Times New Roman" w:cs="Times New Roman"/>
          <w:bCs/>
          <w:lang w:val="en-US"/>
        </w:rPr>
        <w:t xml:space="preserve">Calibration curves of the </w:t>
      </w:r>
      <w:r>
        <w:rPr>
          <w:rFonts w:hint="default" w:ascii="Times New Roman" w:hAnsi="Times New Roman" w:eastAsia="宋体" w:cs="Times New Roman"/>
          <w:bCs/>
          <w:lang w:val="en-US"/>
        </w:rPr>
        <w:t>SCORE2-Diabetes model</w:t>
      </w:r>
      <w:r>
        <w:rPr>
          <w:rFonts w:hint="default" w:ascii="Times New Roman" w:hAnsi="Times New Roman" w:cs="Times New Roman"/>
          <w:bCs/>
          <w:lang w:val="en-US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>with</w:t>
      </w:r>
      <w:r>
        <w:rPr>
          <w:rFonts w:hint="default" w:ascii="Times New Roman" w:hAnsi="Times New Roman" w:eastAsia="宋体" w:cs="Times New Roman"/>
          <w:lang w:val="en-US"/>
        </w:rPr>
        <w:t xml:space="preserve"> and without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lang w:val="en-US"/>
        </w:rPr>
        <w:t>multi-omics extension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  <w:bCs/>
          <w:lang w:val="en-US"/>
        </w:rPr>
        <w:t xml:space="preserve">for 10-year </w:t>
      </w:r>
      <w:r>
        <w:rPr>
          <w:rFonts w:hint="default" w:ascii="Times New Roman" w:hAnsi="Times New Roman" w:eastAsia="宋体" w:cs="Times New Roman"/>
          <w:bCs/>
          <w:lang w:val="en-US"/>
        </w:rPr>
        <w:t>MACE</w:t>
      </w:r>
      <w:r>
        <w:rPr>
          <w:rFonts w:hint="default" w:ascii="Times New Roman" w:hAnsi="Times New Roman" w:cs="Times New Roman"/>
          <w:bCs/>
          <w:lang w:val="en-US"/>
        </w:rPr>
        <w:t xml:space="preserve"> risk prediction</w:t>
      </w:r>
      <w:r>
        <w:rPr>
          <w:rFonts w:hint="default" w:ascii="Times New Roman" w:hAnsi="Times New Roman" w:eastAsia="宋体" w:cs="Times New Roman"/>
          <w:lang w:val="en-US"/>
        </w:rPr>
        <w:t xml:space="preserve"> (N=990)</w:t>
      </w:r>
      <w:bookmarkEnd w:id="21"/>
    </w:p>
    <w:p w14:paraId="1F23FF03">
      <w:pPr>
        <w:rPr>
          <w:rFonts w:hint="default" w:ascii="Times New Roman" w:hAnsi="Times New Roman" w:cs="Times New Roman"/>
          <w:bCs/>
          <w:lang w:val="en-US"/>
        </w:rPr>
      </w:pPr>
    </w:p>
    <w:p w14:paraId="44EF9D42">
      <w:pPr>
        <w:rPr>
          <w:rFonts w:hint="default" w:ascii="Times New Roman" w:hAnsi="Times New Roman" w:cs="Times New Roman"/>
          <w:bCs/>
          <w:lang w:val="en-US"/>
        </w:rPr>
      </w:pPr>
      <w:r>
        <w:rPr>
          <w:rFonts w:hint="default" w:ascii="Times New Roman" w:hAnsi="Times New Roman" w:eastAsia="宋体" w:cs="Times New Roman"/>
          <w:lang w:val="en-US"/>
        </w:rPr>
        <w:t xml:space="preserve">Calibration of the SCORE2-Diabetes model (red) and the extended model incorporating multi-omic biomarkers (blue) is shown in the total population </w:t>
      </w:r>
      <w:r>
        <w:rPr>
          <w:rFonts w:hint="default" w:ascii="Times New Roman" w:hAnsi="Times New Roman" w:cs="Times New Roman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Panel 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A</w:t>
      </w:r>
      <w:r>
        <w:rPr>
          <w:rFonts w:hint="default" w:ascii="Times New Roman" w:hAnsi="Times New Roman" w:cs="Times New Roman"/>
          <w:lang w:val="en-US"/>
        </w:rPr>
        <w:t>)</w:t>
      </w:r>
      <w:r>
        <w:rPr>
          <w:rFonts w:hint="default" w:ascii="Times New Roman" w:hAnsi="Times New Roman" w:eastAsia="宋体" w:cs="Times New Roman"/>
          <w:lang w:val="en-US"/>
        </w:rPr>
        <w:t xml:space="preserve">, male participants </w:t>
      </w:r>
      <w:r>
        <w:rPr>
          <w:rFonts w:hint="default" w:ascii="Times New Roman" w:hAnsi="Times New Roman" w:cs="Times New Roman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Panel 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B</w:t>
      </w:r>
      <w:r>
        <w:rPr>
          <w:rFonts w:hint="default" w:ascii="Times New Roman" w:hAnsi="Times New Roman" w:cs="Times New Roman"/>
          <w:lang w:val="en-US"/>
        </w:rPr>
        <w:t>)</w:t>
      </w:r>
      <w:r>
        <w:rPr>
          <w:rFonts w:hint="default" w:ascii="Times New Roman" w:hAnsi="Times New Roman" w:eastAsia="宋体" w:cs="Times New Roman"/>
          <w:lang w:val="en-US"/>
        </w:rPr>
        <w:t xml:space="preserve">, and female participants </w:t>
      </w:r>
      <w:r>
        <w:rPr>
          <w:rFonts w:hint="default" w:ascii="Times New Roman" w:hAnsi="Times New Roman" w:cs="Times New Roman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Panel 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C</w:t>
      </w:r>
      <w:r>
        <w:rPr>
          <w:rFonts w:hint="default" w:ascii="Times New Roman" w:hAnsi="Times New Roman" w:cs="Times New Roman"/>
          <w:lang w:val="en-US"/>
        </w:rPr>
        <w:t>)</w:t>
      </w:r>
      <w:r>
        <w:rPr>
          <w:rFonts w:hint="default" w:ascii="Times New Roman" w:hAnsi="Times New Roman" w:eastAsia="宋体" w:cs="Times New Roman"/>
          <w:lang w:val="en-US"/>
        </w:rPr>
        <w:t xml:space="preserve">. </w:t>
      </w:r>
      <w:r>
        <w:rPr>
          <w:rFonts w:hint="default" w:ascii="Times New Roman" w:hAnsi="Times New Roman" w:cs="Times New Roman"/>
          <w:bCs/>
          <w:lang w:val="en-US"/>
        </w:rPr>
        <w:t>The multi-omics model refers to the integration of proteomics, metabolomics, and the CVD-PRS.</w:t>
      </w:r>
    </w:p>
    <w:p w14:paraId="608EF3DF">
      <w:pPr>
        <w:jc w:val="center"/>
        <w:rPr>
          <w:rFonts w:hint="default" w:ascii="Times New Roman" w:hAnsi="Times New Roman" w:eastAsia="Calibri" w:cs="Times New Roman"/>
          <w:sz w:val="21"/>
          <w:szCs w:val="21"/>
          <w:lang w:val="en-US"/>
        </w:rPr>
      </w:pPr>
    </w:p>
    <w:p w14:paraId="7224C380">
      <w:pPr>
        <w:jc w:val="center"/>
        <w:rPr>
          <w:rFonts w:hint="default" w:ascii="Times New Roman" w:hAnsi="Times New Roman" w:eastAsia="Calibri" w:cs="Times New Roman"/>
          <w:sz w:val="21"/>
          <w:szCs w:val="21"/>
          <w:lang w:val="en-US"/>
        </w:rPr>
        <w:sectPr>
          <w:pgSz w:w="16838" w:h="11906" w:orient="landscape"/>
          <w:pgMar w:top="720" w:right="1134" w:bottom="720" w:left="1134" w:header="708" w:footer="709" w:gutter="0"/>
          <w:cols w:space="0" w:num="1"/>
          <w:docGrid w:linePitch="360" w:charSpace="0"/>
        </w:sectPr>
      </w:pPr>
    </w:p>
    <w:p w14:paraId="5E94C0A8">
      <w:pPr>
        <w:jc w:val="center"/>
        <w:rPr>
          <w:rFonts w:hint="default" w:ascii="Times New Roman" w:hAnsi="Times New Roman" w:eastAsia="Calibri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Calibri" w:cs="Times New Roman"/>
          <w:sz w:val="21"/>
          <w:szCs w:val="21"/>
          <w:lang w:eastAsia="de-DE"/>
        </w:rPr>
        <w:drawing>
          <wp:inline distT="0" distB="0" distL="114300" distR="114300">
            <wp:extent cx="6614160" cy="6014085"/>
            <wp:effectExtent l="0" t="0" r="5715" b="2540"/>
            <wp:docPr id="7" name="图片 7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14160" cy="601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A07C0">
      <w:pPr>
        <w:pStyle w:val="21"/>
        <w:outlineLvl w:val="0"/>
        <w:rPr>
          <w:rFonts w:hint="default" w:ascii="Times New Roman" w:hAnsi="Times New Roman" w:eastAsia="宋体" w:cs="Times New Roman"/>
        </w:rPr>
      </w:pPr>
      <w:bookmarkStart w:id="22" w:name="_Toc27128"/>
      <w:r>
        <w:rPr>
          <w:rFonts w:hint="default" w:ascii="Times New Roman" w:hAnsi="Times New Roman" w:cs="Times New Roman"/>
          <w:b/>
          <w:bCs/>
        </w:rPr>
        <w:t xml:space="preserve">Supplemental </w:t>
      </w:r>
      <w:r>
        <w:rPr>
          <w:rStyle w:val="26"/>
          <w:rFonts w:hint="default" w:ascii="Times New Roman" w:hAnsi="Times New Roman" w:cs="Times New Roman"/>
        </w:rPr>
        <w:t>Figure S</w:t>
      </w:r>
      <w:r>
        <w:rPr>
          <w:rStyle w:val="26"/>
          <w:rFonts w:hint="default" w:ascii="Times New Roman" w:hAnsi="Times New Roman" w:eastAsia="宋体" w:cs="Times New Roman"/>
        </w:rPr>
        <w:t>6</w:t>
      </w:r>
      <w:r>
        <w:rPr>
          <w:rStyle w:val="26"/>
          <w:rFonts w:hint="default" w:ascii="Times New Roman" w:hAnsi="Times New Roman" w:cs="Times New Roman"/>
        </w:rPr>
        <w:t xml:space="preserve">. </w:t>
      </w:r>
      <w:r>
        <w:rPr>
          <w:rStyle w:val="26"/>
          <w:rFonts w:hint="default" w:ascii="Times New Roman" w:hAnsi="Times New Roman" w:cs="Times New Roman"/>
          <w:b w:val="0"/>
          <w:bCs/>
        </w:rPr>
        <w:t xml:space="preserve">Associations of selected multi-omics biomarkers </w:t>
      </w:r>
      <w:r>
        <w:rPr>
          <w:rStyle w:val="26"/>
          <w:rFonts w:hint="default" w:ascii="Times New Roman" w:hAnsi="Times New Roman" w:eastAsia="宋体" w:cs="Times New Roman"/>
          <w:b w:val="0"/>
          <w:bCs/>
        </w:rPr>
        <w:t>and</w:t>
      </w:r>
      <w:r>
        <w:rPr>
          <w:rStyle w:val="26"/>
          <w:rFonts w:hint="default" w:ascii="Times New Roman" w:hAnsi="Times New Roman" w:cs="Times New Roman"/>
          <w:b w:val="0"/>
          <w:bCs/>
        </w:rPr>
        <w:t xml:space="preserve"> 10-year risk of MACE </w:t>
      </w:r>
      <w:r>
        <w:rPr>
          <w:rStyle w:val="26"/>
          <w:rFonts w:hint="default" w:ascii="Times New Roman" w:hAnsi="Times New Roman" w:eastAsia="宋体" w:cs="Times New Roman"/>
          <w:b w:val="0"/>
          <w:bCs/>
        </w:rPr>
        <w:t>(N=990)</w:t>
      </w:r>
      <w:bookmarkEnd w:id="22"/>
    </w:p>
    <w:p w14:paraId="2682684B"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en-US"/>
        </w:rPr>
        <w:t>Forest plots display hazard ratios (HRs) and 95% confidence intervals (CIs) for incident MACE per 1-standard deviation (SD) increment in the concentration of each sex-specific biomarker. Analyses were conducted separately for male (</w:t>
      </w:r>
      <w:r>
        <w:rPr>
          <w:rFonts w:hint="default" w:ascii="Times New Roman" w:hAnsi="Times New Roman" w:cs="Times New Roman"/>
          <w:b/>
          <w:bCs/>
          <w:lang w:val="en-US"/>
        </w:rPr>
        <w:t>Panel A</w:t>
      </w:r>
      <w:r>
        <w:rPr>
          <w:rFonts w:hint="default" w:ascii="Times New Roman" w:hAnsi="Times New Roman" w:cs="Times New Roman"/>
          <w:lang w:val="en-US"/>
        </w:rPr>
        <w:t>) and female (</w:t>
      </w:r>
      <w:r>
        <w:rPr>
          <w:rFonts w:hint="default" w:ascii="Times New Roman" w:hAnsi="Times New Roman" w:cs="Times New Roman"/>
          <w:b/>
          <w:bCs/>
          <w:lang w:val="en-US"/>
        </w:rPr>
        <w:t>Panel B</w:t>
      </w:r>
      <w:r>
        <w:rPr>
          <w:rFonts w:hint="default" w:ascii="Times New Roman" w:hAnsi="Times New Roman" w:cs="Times New Roman"/>
          <w:lang w:val="en-US"/>
        </w:rPr>
        <w:t xml:space="preserve">) participants, with adjustments for all clinical covariates in the SCORE2-Diabetes model. Statistically significant associations are indicated by asterisks (* P &lt; 0.05, ** P &lt; 0.01, *** P &lt; 0.001 </w:t>
      </w:r>
      <w:r>
        <w:rPr>
          <w:rFonts w:hint="default" w:ascii="Times New Roman" w:hAnsi="Times New Roman" w:cs="Times New Roman"/>
          <w:highlight w:val="yellow"/>
          <w:lang w:val="en-US"/>
        </w:rPr>
        <w:t>assessed with FDR</w:t>
      </w:r>
      <w:r>
        <w:rPr>
          <w:rFonts w:hint="default" w:ascii="Times New Roman" w:hAnsi="Times New Roman" w:cs="Times New Roman"/>
          <w:lang w:val="en-US"/>
        </w:rPr>
        <w:t xml:space="preserve">). </w:t>
      </w:r>
    </w:p>
    <w:p w14:paraId="77F45668">
      <w:pPr>
        <w:rPr>
          <w:rFonts w:hint="default" w:ascii="Times New Roman" w:hAnsi="Times New Roman" w:eastAsia="Calibri" w:cs="Times New Roman"/>
          <w:sz w:val="21"/>
          <w:szCs w:val="21"/>
          <w:lang w:val="en-US"/>
        </w:rPr>
        <w:sectPr>
          <w:pgSz w:w="11906" w:h="16838"/>
          <w:pgMar w:top="1134" w:right="720" w:bottom="1134" w:left="720" w:header="708" w:footer="709" w:gutter="0"/>
          <w:cols w:space="0" w:num="1"/>
          <w:docGrid w:linePitch="360" w:charSpace="0"/>
        </w:sectPr>
      </w:pPr>
      <w:r>
        <w:rPr>
          <w:rFonts w:hint="default" w:ascii="Times New Roman" w:hAnsi="Times New Roman" w:cs="Times New Roman"/>
          <w:b/>
          <w:bCs/>
          <w:lang w:val="en-US"/>
        </w:rPr>
        <w:t>Abbreviations:</w:t>
      </w:r>
      <w:r>
        <w:rPr>
          <w:rFonts w:hint="default" w:ascii="Times New Roman" w:hAnsi="Times New Roman" w:cs="Times New Roman"/>
          <w:lang w:val="en-US"/>
        </w:rPr>
        <w:t xml:space="preserve"> HR, hazard ratio; CI, confidence interval; </w:t>
      </w:r>
      <w:r>
        <w:rPr>
          <w:rFonts w:hint="default" w:ascii="Times New Roman" w:hAnsi="Times New Roman" w:cs="Times New Roman"/>
          <w:highlight w:val="yellow"/>
          <w:lang w:val="en-US"/>
        </w:rPr>
        <w:t>FDR, false discovery rate</w:t>
      </w:r>
      <w:r>
        <w:rPr>
          <w:rFonts w:hint="default" w:ascii="Times New Roman" w:hAnsi="Times New Roman" w:cs="Times New Roman"/>
          <w:lang w:val="en-US"/>
        </w:rPr>
        <w:t xml:space="preserve">; other protein abbreviations as in 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Figure 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S</w:t>
      </w:r>
      <w:r>
        <w:rPr>
          <w:rFonts w:hint="default" w:ascii="Times New Roman" w:hAnsi="Times New Roman" w:cs="Times New Roman"/>
          <w:b/>
          <w:bCs/>
          <w:lang w:val="en-US"/>
        </w:rPr>
        <w:t>2</w:t>
      </w:r>
      <w:r>
        <w:rPr>
          <w:rFonts w:hint="default" w:ascii="Times New Roman" w:hAnsi="Times New Roman" w:cs="Times New Roman"/>
          <w:lang w:val="en-US"/>
        </w:rPr>
        <w:t>.</w:t>
      </w:r>
    </w:p>
    <w:p w14:paraId="502ECEAB">
      <w:pPr>
        <w:spacing w:before="60" w:line="264" w:lineRule="auto"/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bookmarkStart w:id="23" w:name="_Toc167707622"/>
      <w:r>
        <w:rPr>
          <w:rFonts w:hint="default" w:ascii="Times New Roman" w:hAnsi="Times New Roman" w:eastAsia="宋体" w:cs="Times New Roman"/>
          <w:sz w:val="21"/>
          <w:szCs w:val="21"/>
          <w:lang w:eastAsia="de-DE"/>
        </w:rPr>
        <w:drawing>
          <wp:inline distT="0" distB="0" distL="114300" distR="114300">
            <wp:extent cx="8945245" cy="4188460"/>
            <wp:effectExtent l="0" t="0" r="8255" b="2540"/>
            <wp:docPr id="12" name="图片 1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 S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45245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7555D">
      <w:pPr>
        <w:spacing w:before="60" w:line="360" w:lineRule="auto"/>
        <w:outlineLvl w:val="0"/>
        <w:rPr>
          <w:rStyle w:val="26"/>
          <w:rFonts w:hint="default" w:ascii="Times New Roman" w:hAnsi="Times New Roman" w:eastAsia="宋体" w:cs="Times New Roman"/>
          <w:lang w:val="en-US"/>
        </w:rPr>
      </w:pPr>
      <w:bookmarkStart w:id="24" w:name="_Toc24250"/>
      <w:r>
        <w:rPr>
          <w:rFonts w:hint="default" w:ascii="Times New Roman" w:hAnsi="Times New Roman" w:cs="Times New Roman"/>
          <w:b/>
          <w:bCs/>
          <w:lang w:val="en-US"/>
        </w:rPr>
        <w:t xml:space="preserve">Supplemental </w:t>
      </w:r>
      <w:r>
        <w:rPr>
          <w:rStyle w:val="26"/>
          <w:rFonts w:hint="default" w:ascii="Times New Roman" w:hAnsi="Times New Roman" w:eastAsia="宋体" w:cs="Times New Roman"/>
          <w:lang w:val="en-US"/>
        </w:rPr>
        <w:t xml:space="preserve">Figure S7. </w:t>
      </w:r>
      <w:r>
        <w:rPr>
          <w:rStyle w:val="26"/>
          <w:rFonts w:hint="default" w:ascii="Times New Roman" w:hAnsi="Times New Roman" w:eastAsia="宋体" w:cs="Times New Roman"/>
          <w:b w:val="0"/>
          <w:bCs/>
          <w:lang w:val="en-US"/>
        </w:rPr>
        <w:t>Spearman correlation matrices for selected multi-omics biomarkers (N=990)</w:t>
      </w:r>
      <w:bookmarkEnd w:id="24"/>
    </w:p>
    <w:p w14:paraId="78FB413F">
      <w:pPr>
        <w:spacing w:before="60" w:line="264" w:lineRule="auto"/>
        <w:rPr>
          <w:rFonts w:hint="default" w:ascii="Times New Roman" w:hAnsi="Times New Roman" w:eastAsia="Calibri" w:cs="Times New Roman"/>
          <w:lang w:val="en-US"/>
        </w:rPr>
      </w:pPr>
      <w:r>
        <w:rPr>
          <w:rFonts w:hint="default" w:ascii="Times New Roman" w:hAnsi="Times New Roman" w:eastAsia="Calibri" w:cs="Times New Roman"/>
          <w:lang w:val="en-US"/>
        </w:rPr>
        <w:t>Correlation plots display the pairwise Spearman correlation coefficients among sex-specific multi-omics biomarkers in male</w:t>
      </w:r>
      <w:r>
        <w:rPr>
          <w:rFonts w:hint="default" w:ascii="Times New Roman" w:hAnsi="Times New Roman" w:eastAsia="宋体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lang w:val="en-US"/>
        </w:rPr>
        <w:t>Panel A</w:t>
      </w:r>
      <w:r>
        <w:rPr>
          <w:rFonts w:hint="default" w:ascii="Times New Roman" w:hAnsi="Times New Roman" w:cs="Times New Roman"/>
          <w:lang w:val="en-US"/>
        </w:rPr>
        <w:t>)</w:t>
      </w:r>
      <w:r>
        <w:rPr>
          <w:rFonts w:hint="default" w:ascii="Times New Roman" w:hAnsi="Times New Roman" w:eastAsia="Calibri" w:cs="Times New Roman"/>
          <w:lang w:val="en-US"/>
        </w:rPr>
        <w:t xml:space="preserve"> and female </w:t>
      </w:r>
      <w:r>
        <w:rPr>
          <w:rFonts w:hint="default" w:ascii="Times New Roman" w:hAnsi="Times New Roman" w:cs="Times New Roman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Panel </w:t>
      </w:r>
      <w:r>
        <w:rPr>
          <w:rFonts w:hint="default" w:ascii="Times New Roman" w:hAnsi="Times New Roman" w:eastAsia="宋体" w:cs="Times New Roman"/>
          <w:b/>
          <w:bCs/>
          <w:lang w:val="en-US"/>
        </w:rPr>
        <w:t>B</w:t>
      </w:r>
      <w:r>
        <w:rPr>
          <w:rFonts w:hint="default" w:ascii="Times New Roman" w:hAnsi="Times New Roman" w:cs="Times New Roman"/>
          <w:lang w:val="en-US"/>
        </w:rPr>
        <w:t>)</w:t>
      </w:r>
      <w:r>
        <w:rPr>
          <w:rFonts w:hint="default" w:ascii="Times New Roman" w:hAnsi="Times New Roman" w:eastAsia="宋体" w:cs="Times New Roman"/>
          <w:lang w:val="en-US"/>
        </w:rPr>
        <w:t xml:space="preserve"> </w:t>
      </w:r>
      <w:r>
        <w:rPr>
          <w:rFonts w:hint="default" w:ascii="Times New Roman" w:hAnsi="Times New Roman" w:eastAsia="Calibri" w:cs="Times New Roman"/>
          <w:lang w:val="en-US"/>
        </w:rPr>
        <w:t>participants</w:t>
      </w:r>
    </w:p>
    <w:p w14:paraId="52EAC604">
      <w:pPr>
        <w:spacing w:before="60" w:line="264" w:lineRule="auto"/>
        <w:rPr>
          <w:rFonts w:hint="default" w:ascii="Times New Roman" w:hAnsi="Times New Roman" w:cs="Times New Roman"/>
          <w:bCs/>
          <w:lang w:val="en-US"/>
        </w:rPr>
      </w:pPr>
      <w:r>
        <w:rPr>
          <w:rFonts w:hint="default" w:ascii="Times New Roman" w:hAnsi="Times New Roman" w:eastAsia="Calibri" w:cs="Times New Roman"/>
          <w:b/>
          <w:bCs/>
          <w:lang w:val="en-US"/>
        </w:rPr>
        <w:t>Abbreviations:</w:t>
      </w:r>
      <w:r>
        <w:rPr>
          <w:rFonts w:hint="default" w:ascii="Times New Roman" w:hAnsi="Times New Roman" w:eastAsia="Calibri" w:cs="Times New Roman"/>
          <w:lang w:val="en-US"/>
        </w:rPr>
        <w:t xml:space="preserve"> ACTA2, Actin Alpha 2; CHGA, Chromogranin-A; CRNN, Cornulin; CTRC, Chymotrypsin-C; CVD, cardiovascular disease; EFHD1, EF-hand domain-containing protein D1; ENPP5, Ectonucleotide pyrophosphatase/phosphodiesterase family member 5; GAST, Gastrin; HS3ST3B1, Heparan sulfate glucosamine 3-O-sulfotransferase 3B1; IL22, Interleukin-22; NT-proBNP, N-terminal prohormone of brain natriuretic peptide; Omega-3-pct, The Omega-3 fatty acids percentage of total fatty acids; PRS, polygenic risk score; SMOC1, SPARC-related modular calcium-binding protein 1; TNC, Tenascin-C; TRIM21; E3 ubiquitin-protein ligase TRIM21; VLDL-size, Average diameter for very-low-density lipoprotein particles; WFDC2, WAP four-disulfide core domain protein.</w:t>
      </w:r>
      <w:bookmarkEnd w:id="23"/>
    </w:p>
    <w:sectPr>
      <w:pgSz w:w="16838" w:h="11906" w:orient="landscape"/>
      <w:pgMar w:top="567" w:right="567" w:bottom="567" w:left="567" w:header="709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3631452"/>
    </w:sdtPr>
    <w:sdtContent>
      <w:p w14:paraId="03DCA773">
        <w:pPr>
          <w:pStyle w:val="1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14:paraId="4CAAF11C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42029">
    <w:pPr>
      <w:pStyle w:val="14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noPunctuationKerning w:val="1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2NGM5Yjk2MjEyNGZlYzgzNmViMDQyZTBkMDNlYzY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v0swwfua55xjed5tspt5fu2t9rw5dv09va&quot;&gt;My EndNote Library&lt;record-ids&gt;&lt;item&gt;1114&lt;/item&gt;&lt;item&gt;1180&lt;/item&gt;&lt;item&gt;1199&lt;/item&gt;&lt;item&gt;1200&lt;/item&gt;&lt;item&gt;1201&lt;/item&gt;&lt;item&gt;1202&lt;/item&gt;&lt;item&gt;1203&lt;/item&gt;&lt;item&gt;1204&lt;/item&gt;&lt;item&gt;1205&lt;/item&gt;&lt;item&gt;1206&lt;/item&gt;&lt;item&gt;1207&lt;/item&gt;&lt;item&gt;1208&lt;/item&gt;&lt;item&gt;1209&lt;/item&gt;&lt;item&gt;1210&lt;/item&gt;&lt;item&gt;1211&lt;/item&gt;&lt;item&gt;1212&lt;/item&gt;&lt;item&gt;1213&lt;/item&gt;&lt;item&gt;1214&lt;/item&gt;&lt;item&gt;1215&lt;/item&gt;&lt;item&gt;1216&lt;/item&gt;&lt;item&gt;1217&lt;/item&gt;&lt;item&gt;1218&lt;/item&gt;&lt;/record-ids&gt;&lt;/item&gt;&lt;/Libraries&gt;"/>
  </w:docVars>
  <w:rsids>
    <w:rsidRoot w:val="009A1EAF"/>
    <w:rsid w:val="00005021"/>
    <w:rsid w:val="000162FA"/>
    <w:rsid w:val="00022D5E"/>
    <w:rsid w:val="00022DEB"/>
    <w:rsid w:val="00024705"/>
    <w:rsid w:val="000325A2"/>
    <w:rsid w:val="0004074F"/>
    <w:rsid w:val="0005047E"/>
    <w:rsid w:val="00056A7F"/>
    <w:rsid w:val="00071EBD"/>
    <w:rsid w:val="00074F2A"/>
    <w:rsid w:val="00086888"/>
    <w:rsid w:val="0009522C"/>
    <w:rsid w:val="000B2048"/>
    <w:rsid w:val="000B242F"/>
    <w:rsid w:val="000B6FAF"/>
    <w:rsid w:val="000C137B"/>
    <w:rsid w:val="000C1540"/>
    <w:rsid w:val="000C4841"/>
    <w:rsid w:val="000D2889"/>
    <w:rsid w:val="000D3D8E"/>
    <w:rsid w:val="000E000F"/>
    <w:rsid w:val="000F4C93"/>
    <w:rsid w:val="001024E1"/>
    <w:rsid w:val="001105F0"/>
    <w:rsid w:val="00114263"/>
    <w:rsid w:val="00115B8F"/>
    <w:rsid w:val="00126BDA"/>
    <w:rsid w:val="001277B7"/>
    <w:rsid w:val="001304B0"/>
    <w:rsid w:val="001319BE"/>
    <w:rsid w:val="0013340C"/>
    <w:rsid w:val="00137D3A"/>
    <w:rsid w:val="00137D45"/>
    <w:rsid w:val="00147BF3"/>
    <w:rsid w:val="0015590F"/>
    <w:rsid w:val="00160319"/>
    <w:rsid w:val="00162AAB"/>
    <w:rsid w:val="00165D41"/>
    <w:rsid w:val="001801E3"/>
    <w:rsid w:val="00180810"/>
    <w:rsid w:val="00182B26"/>
    <w:rsid w:val="001874B6"/>
    <w:rsid w:val="001918E5"/>
    <w:rsid w:val="00195776"/>
    <w:rsid w:val="001961F3"/>
    <w:rsid w:val="001A2745"/>
    <w:rsid w:val="001A7603"/>
    <w:rsid w:val="001B4D91"/>
    <w:rsid w:val="001C465D"/>
    <w:rsid w:val="001E013F"/>
    <w:rsid w:val="001E254F"/>
    <w:rsid w:val="001E7830"/>
    <w:rsid w:val="0020020B"/>
    <w:rsid w:val="00201848"/>
    <w:rsid w:val="00203A89"/>
    <w:rsid w:val="00211B46"/>
    <w:rsid w:val="00213D1D"/>
    <w:rsid w:val="00216467"/>
    <w:rsid w:val="00226BB0"/>
    <w:rsid w:val="00227B7E"/>
    <w:rsid w:val="00230256"/>
    <w:rsid w:val="00246ABD"/>
    <w:rsid w:val="00247182"/>
    <w:rsid w:val="00247E20"/>
    <w:rsid w:val="002574D4"/>
    <w:rsid w:val="002610C6"/>
    <w:rsid w:val="00265B39"/>
    <w:rsid w:val="00266769"/>
    <w:rsid w:val="00270FE0"/>
    <w:rsid w:val="00274442"/>
    <w:rsid w:val="00282808"/>
    <w:rsid w:val="00283DC8"/>
    <w:rsid w:val="00297359"/>
    <w:rsid w:val="002A5694"/>
    <w:rsid w:val="002B395F"/>
    <w:rsid w:val="002C3676"/>
    <w:rsid w:val="002E1A93"/>
    <w:rsid w:val="002F7D61"/>
    <w:rsid w:val="003216DF"/>
    <w:rsid w:val="00322E11"/>
    <w:rsid w:val="003269B4"/>
    <w:rsid w:val="00330B55"/>
    <w:rsid w:val="00331D35"/>
    <w:rsid w:val="0033358A"/>
    <w:rsid w:val="00334D4C"/>
    <w:rsid w:val="00335717"/>
    <w:rsid w:val="00340237"/>
    <w:rsid w:val="003531CA"/>
    <w:rsid w:val="00355E57"/>
    <w:rsid w:val="003637F9"/>
    <w:rsid w:val="0036399D"/>
    <w:rsid w:val="00373871"/>
    <w:rsid w:val="003A1B35"/>
    <w:rsid w:val="003A71EA"/>
    <w:rsid w:val="003B28EF"/>
    <w:rsid w:val="003C0C39"/>
    <w:rsid w:val="003D05E9"/>
    <w:rsid w:val="003D2002"/>
    <w:rsid w:val="003D256A"/>
    <w:rsid w:val="003D281F"/>
    <w:rsid w:val="003E245A"/>
    <w:rsid w:val="003E591C"/>
    <w:rsid w:val="003F0087"/>
    <w:rsid w:val="003F2CCA"/>
    <w:rsid w:val="004139DE"/>
    <w:rsid w:val="004317B9"/>
    <w:rsid w:val="00434610"/>
    <w:rsid w:val="00447566"/>
    <w:rsid w:val="004628A8"/>
    <w:rsid w:val="00464B84"/>
    <w:rsid w:val="004701BD"/>
    <w:rsid w:val="00470787"/>
    <w:rsid w:val="004715AA"/>
    <w:rsid w:val="00481C9E"/>
    <w:rsid w:val="0048636E"/>
    <w:rsid w:val="004953B9"/>
    <w:rsid w:val="0049634F"/>
    <w:rsid w:val="00496722"/>
    <w:rsid w:val="004A49CF"/>
    <w:rsid w:val="004E0AD3"/>
    <w:rsid w:val="004E15C9"/>
    <w:rsid w:val="004F05FA"/>
    <w:rsid w:val="004F3B0B"/>
    <w:rsid w:val="004F4A95"/>
    <w:rsid w:val="004F56E0"/>
    <w:rsid w:val="00542D7F"/>
    <w:rsid w:val="00547347"/>
    <w:rsid w:val="005505EE"/>
    <w:rsid w:val="00560723"/>
    <w:rsid w:val="00561E64"/>
    <w:rsid w:val="00571E65"/>
    <w:rsid w:val="005758CB"/>
    <w:rsid w:val="00580CE6"/>
    <w:rsid w:val="005824C9"/>
    <w:rsid w:val="00582717"/>
    <w:rsid w:val="00583685"/>
    <w:rsid w:val="005B10C1"/>
    <w:rsid w:val="005D7247"/>
    <w:rsid w:val="005E4290"/>
    <w:rsid w:val="005E6E3C"/>
    <w:rsid w:val="005F082D"/>
    <w:rsid w:val="00607DB9"/>
    <w:rsid w:val="00613265"/>
    <w:rsid w:val="006148F2"/>
    <w:rsid w:val="00622D15"/>
    <w:rsid w:val="00633CFC"/>
    <w:rsid w:val="00635394"/>
    <w:rsid w:val="00642426"/>
    <w:rsid w:val="006433A9"/>
    <w:rsid w:val="00644480"/>
    <w:rsid w:val="00651D41"/>
    <w:rsid w:val="00652EFF"/>
    <w:rsid w:val="00653065"/>
    <w:rsid w:val="006560F9"/>
    <w:rsid w:val="006642A9"/>
    <w:rsid w:val="00666739"/>
    <w:rsid w:val="00666CBA"/>
    <w:rsid w:val="00674F2E"/>
    <w:rsid w:val="00682762"/>
    <w:rsid w:val="00684DA6"/>
    <w:rsid w:val="006B200B"/>
    <w:rsid w:val="006B645C"/>
    <w:rsid w:val="006B7134"/>
    <w:rsid w:val="006C05D3"/>
    <w:rsid w:val="006D1B0D"/>
    <w:rsid w:val="006D559C"/>
    <w:rsid w:val="006E1F5E"/>
    <w:rsid w:val="006E2349"/>
    <w:rsid w:val="006E6593"/>
    <w:rsid w:val="006E75CD"/>
    <w:rsid w:val="006F1D30"/>
    <w:rsid w:val="007063CA"/>
    <w:rsid w:val="007142A4"/>
    <w:rsid w:val="0071582B"/>
    <w:rsid w:val="00716CE6"/>
    <w:rsid w:val="00721998"/>
    <w:rsid w:val="00735BD0"/>
    <w:rsid w:val="00743F6B"/>
    <w:rsid w:val="00744417"/>
    <w:rsid w:val="00751A39"/>
    <w:rsid w:val="00755CFD"/>
    <w:rsid w:val="0076667A"/>
    <w:rsid w:val="007718A8"/>
    <w:rsid w:val="00773625"/>
    <w:rsid w:val="007767CF"/>
    <w:rsid w:val="00780595"/>
    <w:rsid w:val="007809C3"/>
    <w:rsid w:val="00780E1D"/>
    <w:rsid w:val="0078313C"/>
    <w:rsid w:val="007A16BD"/>
    <w:rsid w:val="007A5B17"/>
    <w:rsid w:val="007A6B26"/>
    <w:rsid w:val="007A760D"/>
    <w:rsid w:val="007B7951"/>
    <w:rsid w:val="007C2372"/>
    <w:rsid w:val="007E7E47"/>
    <w:rsid w:val="007F2B64"/>
    <w:rsid w:val="007F6AF0"/>
    <w:rsid w:val="008078A0"/>
    <w:rsid w:val="00820950"/>
    <w:rsid w:val="00832218"/>
    <w:rsid w:val="00833C09"/>
    <w:rsid w:val="0084035E"/>
    <w:rsid w:val="00865DEA"/>
    <w:rsid w:val="00884A49"/>
    <w:rsid w:val="008A2D07"/>
    <w:rsid w:val="008A4AA5"/>
    <w:rsid w:val="008A5E9F"/>
    <w:rsid w:val="008C6434"/>
    <w:rsid w:val="008D169B"/>
    <w:rsid w:val="00911B21"/>
    <w:rsid w:val="0092279E"/>
    <w:rsid w:val="00944471"/>
    <w:rsid w:val="0095483B"/>
    <w:rsid w:val="0098490A"/>
    <w:rsid w:val="009911AE"/>
    <w:rsid w:val="009A1EAF"/>
    <w:rsid w:val="009B36A0"/>
    <w:rsid w:val="009C0FAC"/>
    <w:rsid w:val="009C5593"/>
    <w:rsid w:val="009D09B9"/>
    <w:rsid w:val="009E19C5"/>
    <w:rsid w:val="009F0EFD"/>
    <w:rsid w:val="009F7270"/>
    <w:rsid w:val="00A048D3"/>
    <w:rsid w:val="00A23AF5"/>
    <w:rsid w:val="00A24F48"/>
    <w:rsid w:val="00A31F80"/>
    <w:rsid w:val="00A35337"/>
    <w:rsid w:val="00A374C1"/>
    <w:rsid w:val="00A57D6C"/>
    <w:rsid w:val="00A635EA"/>
    <w:rsid w:val="00A66372"/>
    <w:rsid w:val="00A75BBF"/>
    <w:rsid w:val="00A93563"/>
    <w:rsid w:val="00A969B8"/>
    <w:rsid w:val="00AA0DE0"/>
    <w:rsid w:val="00AA78C6"/>
    <w:rsid w:val="00AB5F65"/>
    <w:rsid w:val="00AC0E26"/>
    <w:rsid w:val="00AC3BFB"/>
    <w:rsid w:val="00AC4B3A"/>
    <w:rsid w:val="00AD2D6E"/>
    <w:rsid w:val="00AE55BA"/>
    <w:rsid w:val="00AF0B70"/>
    <w:rsid w:val="00AF394A"/>
    <w:rsid w:val="00AF53F0"/>
    <w:rsid w:val="00B0342C"/>
    <w:rsid w:val="00B04FEC"/>
    <w:rsid w:val="00B102EA"/>
    <w:rsid w:val="00B33F79"/>
    <w:rsid w:val="00B478EE"/>
    <w:rsid w:val="00B47A80"/>
    <w:rsid w:val="00B52736"/>
    <w:rsid w:val="00B54FFC"/>
    <w:rsid w:val="00B578A5"/>
    <w:rsid w:val="00B72546"/>
    <w:rsid w:val="00B939B4"/>
    <w:rsid w:val="00B93D0E"/>
    <w:rsid w:val="00BA043B"/>
    <w:rsid w:val="00BA3A7C"/>
    <w:rsid w:val="00BD3672"/>
    <w:rsid w:val="00BD7B8B"/>
    <w:rsid w:val="00BE0D62"/>
    <w:rsid w:val="00BF56F8"/>
    <w:rsid w:val="00BF6C02"/>
    <w:rsid w:val="00C03A4E"/>
    <w:rsid w:val="00C04D4A"/>
    <w:rsid w:val="00C16C94"/>
    <w:rsid w:val="00C23370"/>
    <w:rsid w:val="00C50D50"/>
    <w:rsid w:val="00C553ED"/>
    <w:rsid w:val="00C57C29"/>
    <w:rsid w:val="00C61AB3"/>
    <w:rsid w:val="00C65E1C"/>
    <w:rsid w:val="00C67876"/>
    <w:rsid w:val="00C72A5F"/>
    <w:rsid w:val="00C80934"/>
    <w:rsid w:val="00C8135D"/>
    <w:rsid w:val="00CA5018"/>
    <w:rsid w:val="00CA61AE"/>
    <w:rsid w:val="00CA7A04"/>
    <w:rsid w:val="00CB3E4B"/>
    <w:rsid w:val="00CC00AF"/>
    <w:rsid w:val="00CD4A65"/>
    <w:rsid w:val="00CE49B7"/>
    <w:rsid w:val="00CE54FF"/>
    <w:rsid w:val="00CE7ECB"/>
    <w:rsid w:val="00CF5718"/>
    <w:rsid w:val="00CF7161"/>
    <w:rsid w:val="00D14AD2"/>
    <w:rsid w:val="00D2535C"/>
    <w:rsid w:val="00D346F3"/>
    <w:rsid w:val="00D507C5"/>
    <w:rsid w:val="00D708C1"/>
    <w:rsid w:val="00D718CE"/>
    <w:rsid w:val="00D733BD"/>
    <w:rsid w:val="00D91596"/>
    <w:rsid w:val="00D9299D"/>
    <w:rsid w:val="00D96B12"/>
    <w:rsid w:val="00DA2351"/>
    <w:rsid w:val="00DC2FFF"/>
    <w:rsid w:val="00DC65DE"/>
    <w:rsid w:val="00DD242B"/>
    <w:rsid w:val="00DD3AC9"/>
    <w:rsid w:val="00DD3B6D"/>
    <w:rsid w:val="00DD490A"/>
    <w:rsid w:val="00DD4B1C"/>
    <w:rsid w:val="00DD54C0"/>
    <w:rsid w:val="00DE02D1"/>
    <w:rsid w:val="00DE5ABB"/>
    <w:rsid w:val="00DE7505"/>
    <w:rsid w:val="00E00877"/>
    <w:rsid w:val="00E05E03"/>
    <w:rsid w:val="00E070F7"/>
    <w:rsid w:val="00E07F27"/>
    <w:rsid w:val="00E31D22"/>
    <w:rsid w:val="00E32D43"/>
    <w:rsid w:val="00E36996"/>
    <w:rsid w:val="00E54759"/>
    <w:rsid w:val="00E620DF"/>
    <w:rsid w:val="00E67476"/>
    <w:rsid w:val="00E755DE"/>
    <w:rsid w:val="00E80724"/>
    <w:rsid w:val="00E84D39"/>
    <w:rsid w:val="00E86328"/>
    <w:rsid w:val="00EA7353"/>
    <w:rsid w:val="00EB33FD"/>
    <w:rsid w:val="00ED2F38"/>
    <w:rsid w:val="00EF3338"/>
    <w:rsid w:val="00EF6AB8"/>
    <w:rsid w:val="00F05FB3"/>
    <w:rsid w:val="00F06879"/>
    <w:rsid w:val="00F077F4"/>
    <w:rsid w:val="00F165A7"/>
    <w:rsid w:val="00F2010B"/>
    <w:rsid w:val="00F25395"/>
    <w:rsid w:val="00F257F1"/>
    <w:rsid w:val="00F325C3"/>
    <w:rsid w:val="00F32A6C"/>
    <w:rsid w:val="00F335BD"/>
    <w:rsid w:val="00F34CBC"/>
    <w:rsid w:val="00F37920"/>
    <w:rsid w:val="00F379E1"/>
    <w:rsid w:val="00F41A7D"/>
    <w:rsid w:val="00F43BE1"/>
    <w:rsid w:val="00F50331"/>
    <w:rsid w:val="00F61EBB"/>
    <w:rsid w:val="00F92683"/>
    <w:rsid w:val="00F95D84"/>
    <w:rsid w:val="00FA67D5"/>
    <w:rsid w:val="00FA7EB6"/>
    <w:rsid w:val="00FC06CC"/>
    <w:rsid w:val="00FC2AA2"/>
    <w:rsid w:val="00FC52CF"/>
    <w:rsid w:val="00FE6C69"/>
    <w:rsid w:val="00FF1A76"/>
    <w:rsid w:val="00FF5730"/>
    <w:rsid w:val="01535139"/>
    <w:rsid w:val="01D279B6"/>
    <w:rsid w:val="0214139B"/>
    <w:rsid w:val="03E2320E"/>
    <w:rsid w:val="052F2A11"/>
    <w:rsid w:val="053E0EA6"/>
    <w:rsid w:val="05484F5B"/>
    <w:rsid w:val="05782769"/>
    <w:rsid w:val="0A380B45"/>
    <w:rsid w:val="0A424FBD"/>
    <w:rsid w:val="0B226446"/>
    <w:rsid w:val="0D7F3F8F"/>
    <w:rsid w:val="10FB7E61"/>
    <w:rsid w:val="11526D74"/>
    <w:rsid w:val="11AC6401"/>
    <w:rsid w:val="13CF1990"/>
    <w:rsid w:val="157D7F76"/>
    <w:rsid w:val="16582430"/>
    <w:rsid w:val="17B648CC"/>
    <w:rsid w:val="19685385"/>
    <w:rsid w:val="19A611C2"/>
    <w:rsid w:val="1B6E01D9"/>
    <w:rsid w:val="1D5D2C3A"/>
    <w:rsid w:val="1DAD6C80"/>
    <w:rsid w:val="1E243D65"/>
    <w:rsid w:val="1E4A76C9"/>
    <w:rsid w:val="1FBB6D93"/>
    <w:rsid w:val="203310DE"/>
    <w:rsid w:val="203F2AC7"/>
    <w:rsid w:val="213E6AA0"/>
    <w:rsid w:val="21C556B8"/>
    <w:rsid w:val="21EB780D"/>
    <w:rsid w:val="23DE58D7"/>
    <w:rsid w:val="25AF4750"/>
    <w:rsid w:val="27A00891"/>
    <w:rsid w:val="29314937"/>
    <w:rsid w:val="29AE18A7"/>
    <w:rsid w:val="2C513A77"/>
    <w:rsid w:val="2C5A3F68"/>
    <w:rsid w:val="2C646029"/>
    <w:rsid w:val="2E302653"/>
    <w:rsid w:val="2F764578"/>
    <w:rsid w:val="30F00FA4"/>
    <w:rsid w:val="320B414C"/>
    <w:rsid w:val="33566B96"/>
    <w:rsid w:val="33735A15"/>
    <w:rsid w:val="3480781C"/>
    <w:rsid w:val="36763CC6"/>
    <w:rsid w:val="38731726"/>
    <w:rsid w:val="3A4D728A"/>
    <w:rsid w:val="3AC26DFC"/>
    <w:rsid w:val="3C1F4D86"/>
    <w:rsid w:val="3C2970AF"/>
    <w:rsid w:val="3E063FAC"/>
    <w:rsid w:val="3E2749BC"/>
    <w:rsid w:val="3E7F6456"/>
    <w:rsid w:val="3F454AD0"/>
    <w:rsid w:val="3F73587B"/>
    <w:rsid w:val="3FA27703"/>
    <w:rsid w:val="417A4EF6"/>
    <w:rsid w:val="42EA5639"/>
    <w:rsid w:val="4303042F"/>
    <w:rsid w:val="437456BC"/>
    <w:rsid w:val="4537544D"/>
    <w:rsid w:val="45CF32AD"/>
    <w:rsid w:val="48536291"/>
    <w:rsid w:val="491C33F9"/>
    <w:rsid w:val="49B873D9"/>
    <w:rsid w:val="4A69564B"/>
    <w:rsid w:val="4AFC64BF"/>
    <w:rsid w:val="4C5F0E04"/>
    <w:rsid w:val="4D575990"/>
    <w:rsid w:val="4E237D56"/>
    <w:rsid w:val="4F5F0D72"/>
    <w:rsid w:val="5015638D"/>
    <w:rsid w:val="506F52CE"/>
    <w:rsid w:val="5213101C"/>
    <w:rsid w:val="53702B82"/>
    <w:rsid w:val="54A86D6F"/>
    <w:rsid w:val="569A6B8C"/>
    <w:rsid w:val="57222E46"/>
    <w:rsid w:val="574F5BC8"/>
    <w:rsid w:val="59D810DA"/>
    <w:rsid w:val="5AF544AA"/>
    <w:rsid w:val="5D697F3B"/>
    <w:rsid w:val="5EFD2117"/>
    <w:rsid w:val="5F041CB7"/>
    <w:rsid w:val="5F3B1FD9"/>
    <w:rsid w:val="628618BC"/>
    <w:rsid w:val="639B04F8"/>
    <w:rsid w:val="63E33B2D"/>
    <w:rsid w:val="641518F5"/>
    <w:rsid w:val="659938B3"/>
    <w:rsid w:val="65E4338D"/>
    <w:rsid w:val="666B03FD"/>
    <w:rsid w:val="6A8E23D7"/>
    <w:rsid w:val="6BA42C7E"/>
    <w:rsid w:val="6C1F1C43"/>
    <w:rsid w:val="6E1B300F"/>
    <w:rsid w:val="6E8E3022"/>
    <w:rsid w:val="72610612"/>
    <w:rsid w:val="726C6C98"/>
    <w:rsid w:val="72985791"/>
    <w:rsid w:val="739A137E"/>
    <w:rsid w:val="73F969C6"/>
    <w:rsid w:val="765F27AE"/>
    <w:rsid w:val="784E71FD"/>
    <w:rsid w:val="7B9B0B2D"/>
    <w:rsid w:val="7D8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de-DE" w:eastAsia="zh-CN" w:bidi="ar-SA"/>
    </w:rPr>
  </w:style>
  <w:style w:type="paragraph" w:styleId="2">
    <w:name w:val="heading 1"/>
    <w:basedOn w:val="1"/>
    <w:next w:val="1"/>
    <w:link w:val="30"/>
    <w:autoRedefine/>
    <w:qFormat/>
    <w:uiPriority w:val="9"/>
    <w:pPr>
      <w:keepNext/>
      <w:keepLines/>
      <w:spacing w:before="240"/>
      <w:ind w:firstLine="567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de-DE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46"/>
    <w:autoRedefine/>
    <w:semiHidden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Theme="minorHAnsi" w:hAnsiTheme="minorHAnsi" w:eastAsiaTheme="minorEastAsia" w:cstheme="minorBidi"/>
      <w:b/>
      <w:bCs/>
      <w:kern w:val="2"/>
      <w:sz w:val="32"/>
      <w:szCs w:val="32"/>
      <w:lang w:val="en-GB"/>
    </w:rPr>
  </w:style>
  <w:style w:type="paragraph" w:styleId="5">
    <w:name w:val="heading 6"/>
    <w:basedOn w:val="1"/>
    <w:next w:val="6"/>
    <w:link w:val="33"/>
    <w:autoRedefine/>
    <w:qFormat/>
    <w:uiPriority w:val="9"/>
    <w:pPr>
      <w:keepNext/>
      <w:keepLines/>
      <w:spacing w:before="240" w:after="60"/>
      <w:ind w:left="1701" w:hanging="1701"/>
      <w:outlineLvl w:val="5"/>
    </w:pPr>
    <w:rPr>
      <w:rFonts w:ascii="Arial" w:hAnsi="Arial" w:eastAsia="MS Gothic" w:cs="Arial"/>
      <w:b/>
      <w:sz w:val="22"/>
      <w:szCs w:val="20"/>
      <w:lang w:val="en-US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Text"/>
    <w:basedOn w:val="1"/>
    <w:link w:val="32"/>
    <w:autoRedefine/>
    <w:qFormat/>
    <w:uiPriority w:val="0"/>
    <w:pPr>
      <w:spacing w:before="120"/>
      <w:jc w:val="both"/>
    </w:pPr>
    <w:rPr>
      <w:rFonts w:eastAsia="MS Mincho"/>
      <w:szCs w:val="20"/>
      <w:lang w:val="en-US"/>
    </w:rPr>
  </w:style>
  <w:style w:type="paragraph" w:styleId="7">
    <w:name w:val="toc 7"/>
    <w:basedOn w:val="1"/>
    <w:next w:val="1"/>
    <w:autoRedefine/>
    <w:unhideWhenUsed/>
    <w:qFormat/>
    <w:uiPriority w:val="3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annotation text"/>
    <w:basedOn w:val="1"/>
    <w:link w:val="34"/>
    <w:autoRedefine/>
    <w:unhideWhenUsed/>
    <w:qFormat/>
    <w:uiPriority w:val="99"/>
    <w:pPr>
      <w:ind w:firstLine="567"/>
    </w:pPr>
    <w:rPr>
      <w:rFonts w:eastAsia="宋体"/>
      <w:sz w:val="20"/>
      <w:szCs w:val="20"/>
      <w:lang w:eastAsia="de-DE"/>
    </w:rPr>
  </w:style>
  <w:style w:type="paragraph" w:styleId="9">
    <w:name w:val="toc 5"/>
    <w:basedOn w:val="1"/>
    <w:next w:val="1"/>
    <w:autoRedefine/>
    <w:unhideWhenUsed/>
    <w:qFormat/>
    <w:uiPriority w:val="39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10">
    <w:name w:val="toc 3"/>
    <w:basedOn w:val="1"/>
    <w:next w:val="1"/>
    <w:autoRedefine/>
    <w:unhideWhenUsed/>
    <w:qFormat/>
    <w:uiPriority w:val="39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11">
    <w:name w:val="toc 8"/>
    <w:basedOn w:val="1"/>
    <w:next w:val="1"/>
    <w:autoRedefine/>
    <w:unhideWhenUsed/>
    <w:qFormat/>
    <w:uiPriority w:val="3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12">
    <w:name w:val="Balloon Text"/>
    <w:basedOn w:val="1"/>
    <w:link w:val="41"/>
    <w:autoRedefine/>
    <w:semiHidden/>
    <w:unhideWhenUsed/>
    <w:qFormat/>
    <w:uiPriority w:val="99"/>
    <w:pPr>
      <w:ind w:firstLine="567"/>
    </w:pPr>
    <w:rPr>
      <w:rFonts w:ascii="Segoe UI" w:hAnsi="Segoe UI" w:eastAsia="宋体" w:cs="Segoe UI"/>
      <w:sz w:val="18"/>
      <w:szCs w:val="18"/>
      <w:lang w:eastAsia="de-DE"/>
    </w:rPr>
  </w:style>
  <w:style w:type="paragraph" w:styleId="13">
    <w:name w:val="footer"/>
    <w:basedOn w:val="1"/>
    <w:link w:val="35"/>
    <w:autoRedefine/>
    <w:qFormat/>
    <w:uiPriority w:val="99"/>
    <w:pPr>
      <w:tabs>
        <w:tab w:val="center" w:pos="4536"/>
        <w:tab w:val="right" w:pos="9072"/>
      </w:tabs>
      <w:ind w:firstLine="567"/>
    </w:pPr>
    <w:rPr>
      <w:rFonts w:eastAsia="宋体"/>
      <w:lang w:eastAsia="de-DE"/>
    </w:rPr>
  </w:style>
  <w:style w:type="paragraph" w:styleId="14">
    <w:name w:val="header"/>
    <w:basedOn w:val="1"/>
    <w:link w:val="39"/>
    <w:autoRedefine/>
    <w:unhideWhenUsed/>
    <w:qFormat/>
    <w:uiPriority w:val="99"/>
    <w:pPr>
      <w:tabs>
        <w:tab w:val="center" w:pos="4513"/>
        <w:tab w:val="right" w:pos="9026"/>
      </w:tabs>
      <w:ind w:firstLine="567"/>
    </w:pPr>
    <w:rPr>
      <w:rFonts w:eastAsia="宋体"/>
      <w:lang w:eastAsia="de-DE"/>
    </w:rPr>
  </w:style>
  <w:style w:type="paragraph" w:styleId="15">
    <w:name w:val="toc 1"/>
    <w:basedOn w:val="1"/>
    <w:next w:val="1"/>
    <w:autoRedefine/>
    <w:unhideWhenUsed/>
    <w:qFormat/>
    <w:uiPriority w:val="39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16">
    <w:name w:val="toc 4"/>
    <w:basedOn w:val="1"/>
    <w:next w:val="1"/>
    <w:autoRedefine/>
    <w:unhideWhenUsed/>
    <w:qFormat/>
    <w:uiPriority w:val="39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17">
    <w:name w:val="toc 6"/>
    <w:basedOn w:val="1"/>
    <w:next w:val="1"/>
    <w:autoRedefine/>
    <w:unhideWhenUsed/>
    <w:qFormat/>
    <w:uiPriority w:val="3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18">
    <w:name w:val="toc 2"/>
    <w:basedOn w:val="1"/>
    <w:next w:val="1"/>
    <w:autoRedefine/>
    <w:unhideWhenUsed/>
    <w:qFormat/>
    <w:uiPriority w:val="39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19">
    <w:name w:val="toc 9"/>
    <w:basedOn w:val="1"/>
    <w:next w:val="1"/>
    <w:autoRedefine/>
    <w:unhideWhenUsed/>
    <w:qFormat/>
    <w:uiPriority w:val="39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20">
    <w:name w:val="HTML Preformatted"/>
    <w:basedOn w:val="1"/>
    <w:link w:val="47"/>
    <w:autoRedefine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hint="eastAsia" w:ascii="宋体" w:hAnsi="宋体" w:eastAsia="宋体"/>
      <w:lang w:val="en-US"/>
    </w:rPr>
  </w:style>
  <w:style w:type="paragraph" w:styleId="21">
    <w:name w:val="Normal (Web)"/>
    <w:basedOn w:val="1"/>
    <w:semiHidden/>
    <w:unhideWhenUsed/>
    <w:qFormat/>
    <w:uiPriority w:val="99"/>
    <w:pPr>
      <w:spacing w:beforeAutospacing="1" w:afterAutospacing="1"/>
    </w:pPr>
    <w:rPr>
      <w:lang w:val="en-US"/>
    </w:rPr>
  </w:style>
  <w:style w:type="paragraph" w:styleId="22">
    <w:name w:val="annotation subject"/>
    <w:basedOn w:val="8"/>
    <w:next w:val="8"/>
    <w:link w:val="40"/>
    <w:autoRedefine/>
    <w:semiHidden/>
    <w:unhideWhenUsed/>
    <w:qFormat/>
    <w:uiPriority w:val="99"/>
    <w:rPr>
      <w:b/>
      <w:bCs/>
    </w:rPr>
  </w:style>
  <w:style w:type="table" w:styleId="24">
    <w:name w:val="Table Grid"/>
    <w:basedOn w:val="23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22"/>
    <w:rPr>
      <w:b/>
    </w:rPr>
  </w:style>
  <w:style w:type="character" w:styleId="27">
    <w:name w:val="page number"/>
    <w:basedOn w:val="25"/>
    <w:autoRedefine/>
    <w:qFormat/>
    <w:uiPriority w:val="0"/>
  </w:style>
  <w:style w:type="character" w:styleId="28">
    <w:name w:val="Hyperlink"/>
    <w:basedOn w:val="2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annotation reference"/>
    <w:basedOn w:val="25"/>
    <w:autoRedefine/>
    <w:semiHidden/>
    <w:unhideWhenUsed/>
    <w:qFormat/>
    <w:uiPriority w:val="99"/>
    <w:rPr>
      <w:sz w:val="16"/>
      <w:szCs w:val="16"/>
    </w:rPr>
  </w:style>
  <w:style w:type="character" w:customStyle="1" w:styleId="30">
    <w:name w:val="Überschrift 1 Zchn"/>
    <w:basedOn w:val="25"/>
    <w:link w:val="2"/>
    <w:autoRedefine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 w:val="de-DE" w:eastAsia="de-DE"/>
    </w:rPr>
  </w:style>
  <w:style w:type="character" w:customStyle="1" w:styleId="31">
    <w:name w:val="Überschrift 2 Zchn"/>
    <w:basedOn w:val="25"/>
    <w:link w:val="3"/>
    <w:autoRedefine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  <w:lang w:val="de-DE"/>
    </w:rPr>
  </w:style>
  <w:style w:type="character" w:customStyle="1" w:styleId="32">
    <w:name w:val="Text Char"/>
    <w:link w:val="6"/>
    <w:autoRedefine/>
    <w:qFormat/>
    <w:uiPriority w:val="0"/>
    <w:rPr>
      <w:rFonts w:ascii="Times New Roman" w:hAnsi="Times New Roman" w:eastAsia="MS Mincho" w:cs="Times New Roman"/>
      <w:szCs w:val="20"/>
      <w:lang w:val="en-US"/>
    </w:rPr>
  </w:style>
  <w:style w:type="character" w:customStyle="1" w:styleId="33">
    <w:name w:val="Überschrift 6 Zchn"/>
    <w:basedOn w:val="25"/>
    <w:link w:val="5"/>
    <w:autoRedefine/>
    <w:qFormat/>
    <w:uiPriority w:val="9"/>
    <w:rPr>
      <w:rFonts w:ascii="Arial" w:hAnsi="Arial" w:eastAsia="MS Gothic" w:cs="Arial"/>
      <w:b/>
      <w:sz w:val="22"/>
      <w:szCs w:val="20"/>
      <w:lang w:val="en-US"/>
    </w:rPr>
  </w:style>
  <w:style w:type="character" w:customStyle="1" w:styleId="34">
    <w:name w:val="Kommentartext Zchn"/>
    <w:basedOn w:val="25"/>
    <w:link w:val="8"/>
    <w:autoRedefine/>
    <w:qFormat/>
    <w:uiPriority w:val="99"/>
    <w:rPr>
      <w:rFonts w:ascii="Times New Roman" w:hAnsi="Times New Roman" w:eastAsia="宋体" w:cs="Times New Roman"/>
      <w:sz w:val="20"/>
      <w:szCs w:val="20"/>
      <w:lang w:val="de-DE" w:eastAsia="de-DE"/>
    </w:rPr>
  </w:style>
  <w:style w:type="character" w:customStyle="1" w:styleId="35">
    <w:name w:val="Fußzeile Zchn"/>
    <w:basedOn w:val="25"/>
    <w:link w:val="13"/>
    <w:autoRedefine/>
    <w:qFormat/>
    <w:uiPriority w:val="99"/>
    <w:rPr>
      <w:rFonts w:ascii="Times New Roman" w:hAnsi="Times New Roman" w:eastAsia="宋体" w:cs="Times New Roman"/>
      <w:lang w:val="de-DE" w:eastAsia="de-DE"/>
    </w:rPr>
  </w:style>
  <w:style w:type="paragraph" w:styleId="36">
    <w:name w:val="List Paragraph"/>
    <w:basedOn w:val="1"/>
    <w:autoRedefine/>
    <w:qFormat/>
    <w:uiPriority w:val="34"/>
    <w:pPr>
      <w:ind w:left="720" w:firstLine="567"/>
      <w:contextualSpacing/>
    </w:pPr>
    <w:rPr>
      <w:rFonts w:eastAsia="宋体"/>
      <w:lang w:eastAsia="de-DE"/>
    </w:rPr>
  </w:style>
  <w:style w:type="paragraph" w:customStyle="1" w:styleId="37">
    <w:name w:val="修订1"/>
    <w:autoRedefine/>
    <w:hidden/>
    <w:semiHidden/>
    <w:qFormat/>
    <w:uiPriority w:val="99"/>
    <w:rPr>
      <w:rFonts w:ascii="Times New Roman" w:hAnsi="Times New Roman" w:eastAsia="宋体" w:cs="Times New Roman"/>
      <w:sz w:val="24"/>
      <w:szCs w:val="24"/>
      <w:lang w:val="de-DE" w:eastAsia="de-DE" w:bidi="ar-SA"/>
    </w:rPr>
  </w:style>
  <w:style w:type="paragraph" w:customStyle="1" w:styleId="38">
    <w:name w:val="TOC 标题1"/>
    <w:basedOn w:val="2"/>
    <w:next w:val="1"/>
    <w:link w:val="56"/>
    <w:autoRedefine/>
    <w:unhideWhenUsed/>
    <w:qFormat/>
    <w:uiPriority w:val="39"/>
    <w:pPr>
      <w:spacing w:before="480" w:line="276" w:lineRule="auto"/>
      <w:ind w:firstLine="0"/>
      <w:outlineLvl w:val="9"/>
    </w:pPr>
    <w:rPr>
      <w:b/>
      <w:bCs/>
      <w:sz w:val="28"/>
      <w:szCs w:val="28"/>
      <w:lang w:val="en-US" w:eastAsia="en-US"/>
    </w:rPr>
  </w:style>
  <w:style w:type="character" w:customStyle="1" w:styleId="39">
    <w:name w:val="Kopfzeile Zchn"/>
    <w:basedOn w:val="25"/>
    <w:link w:val="14"/>
    <w:autoRedefine/>
    <w:qFormat/>
    <w:uiPriority w:val="99"/>
    <w:rPr>
      <w:rFonts w:ascii="Times New Roman" w:hAnsi="Times New Roman" w:eastAsia="宋体" w:cs="Times New Roman"/>
      <w:lang w:val="de-DE" w:eastAsia="de-DE"/>
    </w:rPr>
  </w:style>
  <w:style w:type="character" w:customStyle="1" w:styleId="40">
    <w:name w:val="Kommentarthema Zchn"/>
    <w:basedOn w:val="34"/>
    <w:link w:val="22"/>
    <w:autoRedefine/>
    <w:semiHidden/>
    <w:qFormat/>
    <w:uiPriority w:val="99"/>
    <w:rPr>
      <w:rFonts w:ascii="Times New Roman" w:hAnsi="Times New Roman" w:eastAsia="宋体" w:cs="Times New Roman"/>
      <w:b/>
      <w:bCs/>
      <w:sz w:val="20"/>
      <w:szCs w:val="20"/>
      <w:lang w:val="de-DE" w:eastAsia="de-DE"/>
    </w:rPr>
  </w:style>
  <w:style w:type="character" w:customStyle="1" w:styleId="41">
    <w:name w:val="Sprechblasentext Zchn"/>
    <w:basedOn w:val="25"/>
    <w:link w:val="12"/>
    <w:autoRedefine/>
    <w:semiHidden/>
    <w:qFormat/>
    <w:uiPriority w:val="99"/>
    <w:rPr>
      <w:rFonts w:ascii="Segoe UI" w:hAnsi="Segoe UI" w:eastAsia="宋体" w:cs="Segoe UI"/>
      <w:sz w:val="18"/>
      <w:szCs w:val="18"/>
      <w:lang w:val="de-DE" w:eastAsia="de-DE"/>
    </w:rPr>
  </w:style>
  <w:style w:type="paragraph" w:customStyle="1" w:styleId="42">
    <w:name w:val="x_msonormal"/>
    <w:basedOn w:val="1"/>
    <w:autoRedefine/>
    <w:qFormat/>
    <w:uiPriority w:val="0"/>
    <w:pPr>
      <w:spacing w:before="100" w:beforeAutospacing="1" w:after="100" w:afterAutospacing="1"/>
    </w:pPr>
  </w:style>
  <w:style w:type="character" w:customStyle="1" w:styleId="43">
    <w:name w:val="currenthithighlight"/>
    <w:basedOn w:val="25"/>
    <w:autoRedefine/>
    <w:qFormat/>
    <w:uiPriority w:val="0"/>
  </w:style>
  <w:style w:type="paragraph" w:customStyle="1" w:styleId="44">
    <w:name w:val="x_msolistparagraph"/>
    <w:basedOn w:val="1"/>
    <w:autoRedefine/>
    <w:qFormat/>
    <w:uiPriority w:val="0"/>
    <w:pPr>
      <w:spacing w:before="100" w:beforeAutospacing="1" w:after="100" w:afterAutospacing="1"/>
    </w:pPr>
  </w:style>
  <w:style w:type="character" w:customStyle="1" w:styleId="45">
    <w:name w:val="highlight"/>
    <w:basedOn w:val="25"/>
    <w:autoRedefine/>
    <w:qFormat/>
    <w:uiPriority w:val="0"/>
  </w:style>
  <w:style w:type="character" w:customStyle="1" w:styleId="46">
    <w:name w:val="Überschrift 3 Zchn"/>
    <w:basedOn w:val="25"/>
    <w:link w:val="4"/>
    <w:semiHidden/>
    <w:qFormat/>
    <w:uiPriority w:val="9"/>
    <w:rPr>
      <w:b/>
      <w:bCs/>
      <w:kern w:val="2"/>
      <w:sz w:val="32"/>
      <w:szCs w:val="32"/>
      <w:lang w:val="en-GB"/>
    </w:rPr>
  </w:style>
  <w:style w:type="character" w:customStyle="1" w:styleId="47">
    <w:name w:val="HTML Vorformatiert Zchn"/>
    <w:basedOn w:val="25"/>
    <w:link w:val="20"/>
    <w:autoRedefine/>
    <w:qFormat/>
    <w:uiPriority w:val="0"/>
    <w:rPr>
      <w:rFonts w:ascii="宋体" w:hAnsi="宋体" w:eastAsia="宋体" w:cs="Times New Roman"/>
      <w:lang w:val="en-US"/>
    </w:rPr>
  </w:style>
  <w:style w:type="paragraph" w:customStyle="1" w:styleId="48">
    <w:name w:val="EndNote Bibliography Title"/>
    <w:basedOn w:val="1"/>
    <w:link w:val="49"/>
    <w:autoRedefine/>
    <w:qFormat/>
    <w:uiPriority w:val="0"/>
    <w:pPr>
      <w:widowControl w:val="0"/>
      <w:jc w:val="center"/>
    </w:pPr>
    <w:rPr>
      <w:rFonts w:eastAsia="等线"/>
      <w:kern w:val="2"/>
      <w:szCs w:val="22"/>
      <w:lang w:val="en-GB"/>
    </w:rPr>
  </w:style>
  <w:style w:type="character" w:customStyle="1" w:styleId="49">
    <w:name w:val="EndNote Bibliography Title Char"/>
    <w:basedOn w:val="25"/>
    <w:link w:val="48"/>
    <w:autoRedefine/>
    <w:qFormat/>
    <w:uiPriority w:val="0"/>
    <w:rPr>
      <w:rFonts w:eastAsia="等线"/>
      <w:kern w:val="2"/>
      <w:sz w:val="24"/>
      <w:szCs w:val="22"/>
      <w:lang w:val="en-GB"/>
    </w:rPr>
  </w:style>
  <w:style w:type="paragraph" w:customStyle="1" w:styleId="50">
    <w:name w:val="EndNote Bibliography"/>
    <w:basedOn w:val="1"/>
    <w:link w:val="51"/>
    <w:autoRedefine/>
    <w:qFormat/>
    <w:uiPriority w:val="0"/>
    <w:pPr>
      <w:widowControl w:val="0"/>
      <w:jc w:val="both"/>
    </w:pPr>
    <w:rPr>
      <w:rFonts w:eastAsia="等线"/>
      <w:kern w:val="2"/>
      <w:szCs w:val="22"/>
      <w:lang w:val="en-GB"/>
    </w:rPr>
  </w:style>
  <w:style w:type="character" w:customStyle="1" w:styleId="51">
    <w:name w:val="EndNote Bibliography Char"/>
    <w:basedOn w:val="25"/>
    <w:link w:val="50"/>
    <w:autoRedefine/>
    <w:qFormat/>
    <w:uiPriority w:val="0"/>
    <w:rPr>
      <w:rFonts w:eastAsia="等线"/>
      <w:kern w:val="2"/>
      <w:sz w:val="24"/>
      <w:szCs w:val="22"/>
      <w:lang w:val="en-GB"/>
    </w:rPr>
  </w:style>
  <w:style w:type="paragraph" w:styleId="52">
    <w:name w:val="No Spacing"/>
    <w:autoRedefine/>
    <w:qFormat/>
    <w:uiPriority w:val="1"/>
    <w:rPr>
      <w:rFonts w:ascii="Times New Roman" w:hAnsi="Times New Roman" w:eastAsia="Times New Roman" w:cs="Times New Roman"/>
      <w:sz w:val="24"/>
      <w:szCs w:val="24"/>
      <w:lang w:val="de-DE" w:eastAsia="zh-CN" w:bidi="ar-SA"/>
    </w:rPr>
  </w:style>
  <w:style w:type="character" w:customStyle="1" w:styleId="53">
    <w:name w:val="EndNote Bibliography Zchn"/>
    <w:basedOn w:val="25"/>
    <w:autoRedefine/>
    <w:qFormat/>
    <w:uiPriority w:val="0"/>
    <w:rPr>
      <w:rFonts w:ascii="Calibri" w:hAnsi="Calibri" w:cs="Calibri"/>
      <w:sz w:val="22"/>
      <w:szCs w:val="22"/>
      <w:lang w:eastAsia="en-US"/>
    </w:rPr>
  </w:style>
  <w:style w:type="table" w:customStyle="1" w:styleId="54">
    <w:name w:val="Table Grid3"/>
    <w:basedOn w:val="23"/>
    <w:autoRedefine/>
    <w:unhideWhenUsed/>
    <w:qFormat/>
    <w:uiPriority w:val="39"/>
    <w:rPr>
      <w:rFonts w:ascii="Segoe UI" w:hAnsi="Segoe U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5">
    <w:name w:val="Tabelraster11"/>
    <w:basedOn w:val="23"/>
    <w:autoRedefine/>
    <w:unhideWhenUsed/>
    <w:qFormat/>
    <w:uiPriority w:val="39"/>
    <w:rPr>
      <w:rFonts w:ascii="Segoe UI" w:hAnsi="Segoe U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6">
    <w:name w:val="TOC 标题1 Char"/>
    <w:link w:val="38"/>
    <w:qFormat/>
    <w:uiPriority w:val="39"/>
    <w:rPr>
      <w:b/>
      <w:bCs/>
      <w:sz w:val="28"/>
      <w:szCs w:val="2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460</Words>
  <Characters>3063</Characters>
  <Lines>121</Lines>
  <Paragraphs>33</Paragraphs>
  <TotalTime>0</TotalTime>
  <ScaleCrop>false</ScaleCrop>
  <LinksUpToDate>false</LinksUpToDate>
  <CharactersWithSpaces>3514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2025-11-26T08:46:00Z</dcterms:created>
  <dc:creator>Ruijie Xie</dc:creator>
  <cp:lastModifiedBy>RX</cp:lastModifiedBy>
  <cp:lastPrinted>2024-09-20T12:49:00Z</cp:lastPrinted>
  <dcterms:modified xsi:type="dcterms:W3CDTF">2025-12-01T15:12:26Z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3F27F52DBF3242A88E77164389D907D6_12</vt:lpwstr>
  </property>
  <property fmtid="{D5CDD505-2E9C-101B-9397-08002B2CF9AE}" pid="4" name="KSOTemplateDocerSaveRecord">
    <vt:lpwstr>eyJoZGlkIjoiOTM2NGM5Yjk2MjEyNGZlYzgzNmViMDQyZTBkMDNlYzYiLCJ1c2VySWQiOiI4MDEyMjM3NzcifQ==</vt:lpwstr>
  </property>
</Properties>
</file>