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41D2" w14:textId="69AF062F" w:rsidR="001D6226" w:rsidRDefault="001D622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Table: Primers Sequences</w:t>
      </w:r>
    </w:p>
    <w:p w14:paraId="4F53680C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0F7221A0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6B686441" w14:textId="73D60D7A" w:rsidR="001D6226" w:rsidRDefault="001D622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5D00185" wp14:editId="499176E0">
            <wp:extent cx="6645910" cy="4776470"/>
            <wp:effectExtent l="0" t="0" r="0" b="0"/>
            <wp:docPr id="1122126759" name="Picture 6" descr="A table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26759" name="Picture 6" descr="A table with text and imag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705F4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31183309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7E5C1968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140C8ACD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60AD7F4B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498EC920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3163EA75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14BCC57E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4A8E064C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679AC717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7265A313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3F8C0BD1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086EBE93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42594122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173CD4F9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406F7B51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54D5A9F1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312D38F7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2AA4AB2D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7BB604D5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21C10512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78689F32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62CBBBB6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6D667E8B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0DB93E97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03BAFCBB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038FAF6E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3BE2E6C8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76226D13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334A2F3E" w14:textId="086AA582" w:rsidR="00F45296" w:rsidRDefault="004D0447">
      <w:pPr>
        <w:rPr>
          <w:rFonts w:ascii="Arial" w:hAnsi="Arial" w:cs="Arial"/>
          <w:b/>
          <w:bCs/>
          <w:sz w:val="22"/>
          <w:szCs w:val="22"/>
        </w:rPr>
      </w:pPr>
      <w:r w:rsidRPr="004D0447">
        <w:rPr>
          <w:rFonts w:ascii="Arial" w:hAnsi="Arial" w:cs="Arial"/>
          <w:b/>
          <w:bCs/>
          <w:sz w:val="22"/>
          <w:szCs w:val="22"/>
        </w:rPr>
        <w:t>Supplementary figures</w:t>
      </w:r>
    </w:p>
    <w:p w14:paraId="34261A4B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7F626225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3E5B75D1" w14:textId="11E5045E" w:rsidR="00575D16" w:rsidRDefault="00575D1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9E539E1" wp14:editId="341F83DD">
            <wp:extent cx="4567165" cy="3741968"/>
            <wp:effectExtent l="0" t="0" r="5080" b="5080"/>
            <wp:docPr id="2055063289" name="Picture 1" descr="A diagram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63289" name="Picture 1" descr="A diagram of a person's bod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212" cy="375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308BE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4B43F55B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6F36ABF6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739359EA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58A04D59" w14:textId="4E1B9776" w:rsidR="00575D16" w:rsidRPr="005A63D6" w:rsidRDefault="00575D16" w:rsidP="00575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D92DCE">
        <w:rPr>
          <w:rFonts w:ascii="Arial" w:hAnsi="Arial" w:cs="Arial"/>
          <w:b/>
          <w:bCs/>
          <w:sz w:val="22"/>
          <w:szCs w:val="22"/>
        </w:rPr>
        <w:t>Fig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D92DCE">
        <w:rPr>
          <w:rFonts w:ascii="Arial" w:hAnsi="Arial" w:cs="Arial"/>
          <w:b/>
          <w:bCs/>
          <w:sz w:val="22"/>
          <w:szCs w:val="22"/>
        </w:rPr>
        <w:t xml:space="preserve">: The effect of Empagliflozin (EMPA) on </w:t>
      </w:r>
      <w:r>
        <w:rPr>
          <w:rFonts w:ascii="Arial" w:hAnsi="Arial" w:cs="Arial"/>
          <w:b/>
          <w:bCs/>
          <w:sz w:val="22"/>
          <w:szCs w:val="22"/>
        </w:rPr>
        <w:t>HbA1c</w:t>
      </w:r>
      <w:r w:rsidRPr="00D92DCE">
        <w:rPr>
          <w:rFonts w:ascii="Arial" w:hAnsi="Arial" w:cs="Arial"/>
          <w:b/>
          <w:bCs/>
          <w:sz w:val="22"/>
          <w:szCs w:val="22"/>
        </w:rPr>
        <w:t xml:space="preserve"> in patients with T2DM who have had an acute myocardial infarction. (A)</w:t>
      </w:r>
      <w:r w:rsidRPr="00D92DCE">
        <w:rPr>
          <w:rFonts w:ascii="Arial" w:hAnsi="Arial" w:cs="Arial"/>
          <w:sz w:val="22"/>
          <w:szCs w:val="22"/>
        </w:rPr>
        <w:t xml:space="preserve"> depicts the experimental protocol where patients were allocated to Arm-A (EMPA prescribed immediately post-acute event - blue) or Arm-B (EMPA prescribed 90days post-acute event - purple). </w:t>
      </w:r>
      <w:r>
        <w:rPr>
          <w:rFonts w:ascii="Arial" w:hAnsi="Arial" w:cs="Arial"/>
          <w:sz w:val="22"/>
          <w:szCs w:val="22"/>
        </w:rPr>
        <w:t>HbA1c was</w:t>
      </w:r>
      <w:r w:rsidRPr="00D92DCE">
        <w:rPr>
          <w:rFonts w:ascii="Arial" w:hAnsi="Arial" w:cs="Arial"/>
          <w:sz w:val="22"/>
          <w:szCs w:val="22"/>
        </w:rPr>
        <w:t xml:space="preserve"> measured at day T0, T90 and T180</w:t>
      </w:r>
      <w:r>
        <w:rPr>
          <w:rFonts w:ascii="Arial" w:hAnsi="Arial" w:cs="Arial"/>
          <w:sz w:val="22"/>
          <w:szCs w:val="22"/>
        </w:rPr>
        <w:t xml:space="preserve"> in </w:t>
      </w:r>
      <w:r w:rsidRPr="00575D16">
        <w:rPr>
          <w:rFonts w:ascii="Arial" w:hAnsi="Arial" w:cs="Arial"/>
          <w:b/>
          <w:bCs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 xml:space="preserve"> Arm A and </w:t>
      </w:r>
      <w:r w:rsidRPr="00575D16">
        <w:rPr>
          <w:rFonts w:ascii="Arial" w:hAnsi="Arial" w:cs="Arial"/>
          <w:b/>
          <w:bCs/>
          <w:sz w:val="22"/>
          <w:szCs w:val="22"/>
        </w:rPr>
        <w:t>(C)</w:t>
      </w:r>
      <w:r>
        <w:rPr>
          <w:rFonts w:ascii="Arial" w:hAnsi="Arial" w:cs="Arial"/>
          <w:sz w:val="22"/>
          <w:szCs w:val="22"/>
        </w:rPr>
        <w:t xml:space="preserve"> Arm B</w:t>
      </w:r>
      <w:r w:rsidRPr="00D92DCE">
        <w:rPr>
          <w:rFonts w:ascii="Arial" w:hAnsi="Arial" w:cs="Arial"/>
          <w:sz w:val="22"/>
          <w:szCs w:val="22"/>
        </w:rPr>
        <w:t xml:space="preserve">. Data represents change over time within each Arm expressed as mean ± SEM. </w:t>
      </w:r>
      <w:r w:rsidRPr="00D92DCE">
        <w:rPr>
          <w:rFonts w:ascii="Arial" w:hAnsi="Arial" w:cs="Arial"/>
          <w:sz w:val="22"/>
          <w:szCs w:val="22"/>
          <w:lang w:val="en-US"/>
        </w:rPr>
        <w:t xml:space="preserve">A Kruskal Wallis with Dunns post-hoc correction was used for statistical analysis. </w:t>
      </w:r>
    </w:p>
    <w:p w14:paraId="094C5BD6" w14:textId="77777777" w:rsidR="00575D16" w:rsidRDefault="00575D16">
      <w:pPr>
        <w:rPr>
          <w:rFonts w:ascii="Arial" w:hAnsi="Arial" w:cs="Arial"/>
          <w:b/>
          <w:bCs/>
          <w:sz w:val="22"/>
          <w:szCs w:val="22"/>
        </w:rPr>
      </w:pPr>
    </w:p>
    <w:p w14:paraId="34AABC6A" w14:textId="77777777" w:rsidR="001D6226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4880A7DE" w14:textId="77777777" w:rsidR="001D6226" w:rsidRPr="004D0447" w:rsidRDefault="001D6226">
      <w:pPr>
        <w:rPr>
          <w:rFonts w:ascii="Arial" w:hAnsi="Arial" w:cs="Arial"/>
          <w:b/>
          <w:bCs/>
          <w:sz w:val="22"/>
          <w:szCs w:val="22"/>
        </w:rPr>
      </w:pPr>
    </w:p>
    <w:p w14:paraId="29204DD8" w14:textId="54DF529A" w:rsidR="004D0447" w:rsidRDefault="004D044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006687BE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3955EDC8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1DF96569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355C0B7F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3EC7718C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511A024A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5FB688FF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762B7F4B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3131B58B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52DAD309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14AFA6D8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7395B5AA" w14:textId="77777777" w:rsidR="00071A97" w:rsidRDefault="00071A97" w:rsidP="004D0447">
      <w:pPr>
        <w:spacing w:line="360" w:lineRule="auto"/>
        <w:rPr>
          <w:rFonts w:ascii="Arial" w:hAnsi="Arial" w:cs="Arial"/>
          <w:noProof/>
          <w:sz w:val="22"/>
          <w:szCs w:val="22"/>
        </w:rPr>
      </w:pPr>
    </w:p>
    <w:p w14:paraId="0036C227" w14:textId="77777777" w:rsidR="00071A97" w:rsidRPr="004D0447" w:rsidRDefault="00071A97" w:rsidP="004D0447">
      <w:pPr>
        <w:spacing w:line="360" w:lineRule="auto"/>
        <w:rPr>
          <w:rFonts w:ascii="Arial" w:hAnsi="Arial" w:cs="Arial"/>
          <w:sz w:val="22"/>
          <w:szCs w:val="22"/>
        </w:rPr>
      </w:pPr>
    </w:p>
    <w:p w14:paraId="07E77AAE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804DA08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F6D6D49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CADED4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82BBA9D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04A723C" w14:textId="4103FADE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  <w:lang w:val="en-US"/>
        </w:rPr>
        <w:drawing>
          <wp:inline distT="0" distB="0" distL="0" distR="0" wp14:anchorId="50BBEE04" wp14:editId="70D74F5A">
            <wp:extent cx="6645910" cy="3571240"/>
            <wp:effectExtent l="0" t="0" r="0" b="0"/>
            <wp:docPr id="1287516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16004" name="Picture 12875160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F5D7F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51D7B70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27ED7EB" w14:textId="77777777" w:rsidR="00071A97" w:rsidRDefault="00071A97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BC9FDD7" w14:textId="27152D7D" w:rsidR="004D0447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D0447">
        <w:rPr>
          <w:rFonts w:ascii="Arial" w:hAnsi="Arial" w:cs="Arial"/>
          <w:b/>
          <w:bCs/>
          <w:sz w:val="22"/>
          <w:szCs w:val="22"/>
          <w:lang w:val="en-US"/>
        </w:rPr>
        <w:t>Supplementary Fig</w:t>
      </w:r>
      <w:r w:rsidR="00575D16"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 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The effect of EMPA on ATP release and inflammasome priming/activation in MDMs isolated from T2DM-AMI patients</w:t>
      </w:r>
      <w:r w:rsidRPr="004D0447">
        <w:rPr>
          <w:rFonts w:ascii="Arial" w:hAnsi="Arial" w:cs="Arial"/>
          <w:sz w:val="22"/>
          <w:szCs w:val="22"/>
          <w:lang w:val="en-US"/>
        </w:rPr>
        <w:t>.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A</w:t>
      </w:r>
      <w:r w:rsidRPr="004D0447">
        <w:rPr>
          <w:rFonts w:ascii="Arial" w:hAnsi="Arial" w:cs="Arial"/>
          <w:sz w:val="22"/>
          <w:szCs w:val="22"/>
          <w:lang w:val="en-US"/>
        </w:rPr>
        <w:t>) depicts the experimental protocol with patients allocated to either Arm-A (EMPA prescribed immediately post-acute event - blue) or Arm-B (EMPA prescribed 90days post-acute event - purple). Blood samples were taken and EMPA prescribed at the intervals indicated. PBMCs were extracted, and monocytes isolated and differentiated into macrophages. Expression of IL1</w:t>
      </w:r>
      <w:r w:rsidRPr="004D0447">
        <w:rPr>
          <w:rFonts w:ascii="Arial" w:hAnsi="Arial" w:cs="Arial"/>
          <w:sz w:val="22"/>
          <w:szCs w:val="22"/>
          <w:lang w:val="el-GR"/>
        </w:rPr>
        <w:t xml:space="preserve">β </w:t>
      </w:r>
      <w:r w:rsidRPr="004D0447">
        <w:rPr>
          <w:rFonts w:ascii="Arial" w:hAnsi="Arial" w:cs="Arial"/>
          <w:sz w:val="22"/>
          <w:szCs w:val="22"/>
          <w:lang w:val="en-US"/>
        </w:rPr>
        <w:t>mRNA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B</w:t>
      </w:r>
      <w:r w:rsidRPr="004D0447">
        <w:rPr>
          <w:rFonts w:ascii="Arial" w:hAnsi="Arial" w:cs="Arial"/>
          <w:sz w:val="22"/>
          <w:szCs w:val="22"/>
          <w:lang w:val="en-US"/>
        </w:rPr>
        <w:t>), ATP release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C</w:t>
      </w:r>
      <w:r w:rsidRPr="004D0447">
        <w:rPr>
          <w:rFonts w:ascii="Arial" w:hAnsi="Arial" w:cs="Arial"/>
          <w:sz w:val="22"/>
          <w:szCs w:val="22"/>
          <w:lang w:val="en-US"/>
        </w:rPr>
        <w:t>) and caspase-1 activity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D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) was measured in unstimulated cells. Data shows inter-Arm comparisons expressed as mean % change over time compared to T0. Data is presented as mean ± SEM with sample </w:t>
      </w:r>
      <w:r w:rsidR="00234D42">
        <w:rPr>
          <w:rFonts w:ascii="Arial" w:hAnsi="Arial" w:cs="Arial"/>
          <w:sz w:val="22"/>
          <w:szCs w:val="22"/>
          <w:lang w:val="en-US"/>
        </w:rPr>
        <w:t>size provided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. </w:t>
      </w:r>
      <w:r w:rsidR="00234D42">
        <w:rPr>
          <w:rFonts w:ascii="Arial" w:hAnsi="Arial" w:cs="Arial"/>
          <w:sz w:val="22"/>
          <w:szCs w:val="22"/>
        </w:rPr>
        <w:t>A</w:t>
      </w:r>
      <w:r w:rsidR="00234D42">
        <w:rPr>
          <w:rFonts w:ascii="Arial" w:hAnsi="Arial" w:cs="Arial"/>
          <w:sz w:val="22"/>
          <w:szCs w:val="22"/>
          <w:lang w:val="en-US"/>
        </w:rPr>
        <w:t xml:space="preserve"> mixed effects model with Tukey’s multiple comparison test 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was used for </w:t>
      </w:r>
      <w:r w:rsidR="00234D42">
        <w:rPr>
          <w:rFonts w:ascii="Arial" w:hAnsi="Arial" w:cs="Arial"/>
          <w:sz w:val="22"/>
          <w:szCs w:val="22"/>
          <w:lang w:val="en-US"/>
        </w:rPr>
        <w:t>between group analysis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21C0E80E" w14:textId="77777777" w:rsidR="004D0447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38A5C22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BDF91CC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0BBB6FB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F7EB9D0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41D0563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AA40D1A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D1E5E70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CFF5AC8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15D1541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0E67C3D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6250BFD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FC2C9FC" w14:textId="55BA47E8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06C828E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045D997" w14:textId="77777777" w:rsidR="004D0447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66A1836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03779AF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1D1B952" w14:textId="6F077C60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0D3B6544" wp14:editId="0F43B911">
            <wp:extent cx="6645910" cy="3757930"/>
            <wp:effectExtent l="0" t="0" r="0" b="1270"/>
            <wp:docPr id="1558677614" name="Picture 3" descr="A diagram of a test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77614" name="Picture 3" descr="A diagram of a test tub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02E81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A16B5C4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AC5CD58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AA88036" w14:textId="04480A75" w:rsidR="004D0447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D0447">
        <w:rPr>
          <w:rFonts w:ascii="Arial" w:hAnsi="Arial" w:cs="Arial"/>
          <w:b/>
          <w:bCs/>
          <w:sz w:val="22"/>
          <w:szCs w:val="22"/>
          <w:lang w:val="en-US"/>
        </w:rPr>
        <w:t>Supplementary Fig3: The effect of EMPA on TNF</w:t>
      </w:r>
      <w:r w:rsidRPr="004D0447">
        <w:rPr>
          <w:rFonts w:ascii="Arial" w:hAnsi="Arial" w:cs="Arial"/>
          <w:b/>
          <w:bCs/>
          <w:sz w:val="22"/>
          <w:szCs w:val="22"/>
          <w:lang w:val="el-GR"/>
        </w:rPr>
        <w:t xml:space="preserve">α 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expression, TNF</w:t>
      </w:r>
      <w:r w:rsidRPr="004D0447">
        <w:rPr>
          <w:rFonts w:ascii="Arial" w:hAnsi="Arial" w:cs="Arial"/>
          <w:b/>
          <w:bCs/>
          <w:sz w:val="22"/>
          <w:szCs w:val="22"/>
          <w:lang w:val="el-GR"/>
        </w:rPr>
        <w:t xml:space="preserve">α 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and IL6 release in MDMs from T2DM-AMI patients</w:t>
      </w:r>
      <w:r w:rsidRPr="004D0447">
        <w:rPr>
          <w:rFonts w:ascii="Arial" w:hAnsi="Arial" w:cs="Arial"/>
          <w:sz w:val="22"/>
          <w:szCs w:val="22"/>
          <w:lang w:val="en-US"/>
        </w:rPr>
        <w:t>.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A</w:t>
      </w:r>
      <w:r w:rsidRPr="004D0447">
        <w:rPr>
          <w:rFonts w:ascii="Arial" w:hAnsi="Arial" w:cs="Arial"/>
          <w:sz w:val="22"/>
          <w:szCs w:val="22"/>
          <w:lang w:val="en-US"/>
        </w:rPr>
        <w:t>) depicts the experimental protocol with patients allocated to either Arm-A (EMPA prescribed immediately post-acute event - blue) or Arm-B (EMPA prescribed 90days post-acute event - purple). Blood samples were taken and EMPA prescribed at the intervals indicated. PBMCs were extracted, and monocytes isolated and differentiated into macrophages. Data shows inter-Arm comparisons expressed as mean % change over time compared to T0 for TNF</w:t>
      </w:r>
      <w:r w:rsidRPr="004D0447">
        <w:rPr>
          <w:rFonts w:ascii="Arial" w:hAnsi="Arial" w:cs="Arial"/>
          <w:sz w:val="22"/>
          <w:szCs w:val="22"/>
          <w:lang w:val="el-GR"/>
        </w:rPr>
        <w:t xml:space="preserve">α </w:t>
      </w:r>
      <w:r w:rsidRPr="004D0447">
        <w:rPr>
          <w:rFonts w:ascii="Arial" w:hAnsi="Arial" w:cs="Arial"/>
          <w:sz w:val="22"/>
          <w:szCs w:val="22"/>
          <w:lang w:val="en-US"/>
        </w:rPr>
        <w:t>mRNA expression in MDMs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B</w:t>
      </w:r>
      <w:r w:rsidRPr="004D0447">
        <w:rPr>
          <w:rFonts w:ascii="Arial" w:hAnsi="Arial" w:cs="Arial"/>
          <w:sz w:val="22"/>
          <w:szCs w:val="22"/>
          <w:lang w:val="en-US"/>
        </w:rPr>
        <w:t>), and TNF</w:t>
      </w:r>
      <w:r w:rsidRPr="004D0447">
        <w:rPr>
          <w:rFonts w:ascii="Arial" w:hAnsi="Arial" w:cs="Arial"/>
          <w:sz w:val="22"/>
          <w:szCs w:val="22"/>
          <w:lang w:val="el-GR"/>
        </w:rPr>
        <w:t>α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C</w:t>
      </w:r>
      <w:r w:rsidRPr="004D0447">
        <w:rPr>
          <w:rFonts w:ascii="Arial" w:hAnsi="Arial" w:cs="Arial"/>
          <w:sz w:val="22"/>
          <w:szCs w:val="22"/>
          <w:lang w:val="en-US"/>
        </w:rPr>
        <w:t>) and IL6 (</w:t>
      </w:r>
      <w:r w:rsidRPr="004D0447">
        <w:rPr>
          <w:rFonts w:ascii="Arial" w:hAnsi="Arial" w:cs="Arial"/>
          <w:b/>
          <w:bCs/>
          <w:sz w:val="22"/>
          <w:szCs w:val="22"/>
          <w:lang w:val="en-US"/>
        </w:rPr>
        <w:t>D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) release from 4hr LPS-stimulated cells. </w:t>
      </w:r>
      <w:r w:rsidR="00E5121E">
        <w:rPr>
          <w:rFonts w:ascii="Arial" w:hAnsi="Arial" w:cs="Arial"/>
          <w:sz w:val="22"/>
          <w:szCs w:val="22"/>
        </w:rPr>
        <w:t>A</w:t>
      </w:r>
      <w:r w:rsidR="00E5121E">
        <w:rPr>
          <w:rFonts w:ascii="Arial" w:hAnsi="Arial" w:cs="Arial"/>
          <w:sz w:val="22"/>
          <w:szCs w:val="22"/>
          <w:lang w:val="en-US"/>
        </w:rPr>
        <w:t xml:space="preserve"> mixed effects model with Tukey’s multiple comparison test 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was used for </w:t>
      </w:r>
      <w:r w:rsidR="0074295F">
        <w:rPr>
          <w:rFonts w:ascii="Arial" w:hAnsi="Arial" w:cs="Arial"/>
          <w:sz w:val="22"/>
          <w:szCs w:val="22"/>
          <w:lang w:val="en-US"/>
        </w:rPr>
        <w:t>interarm</w:t>
      </w:r>
      <w:r w:rsidR="00E5121E">
        <w:rPr>
          <w:rFonts w:ascii="Arial" w:hAnsi="Arial" w:cs="Arial"/>
          <w:sz w:val="22"/>
          <w:szCs w:val="22"/>
          <w:lang w:val="en-US"/>
        </w:rPr>
        <w:t xml:space="preserve"> analysis respectively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7E4AAC88" w14:textId="77777777" w:rsidR="004D0447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1F5E4953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E01211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4F56D9B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694530D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C5E17C6" w14:textId="072C4038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57DEBF" w14:textId="34088219" w:rsidR="001D6226" w:rsidRDefault="000E2E00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4573D52B" wp14:editId="36B3BCFD">
            <wp:extent cx="6645910" cy="3816350"/>
            <wp:effectExtent l="0" t="0" r="0" b="6350"/>
            <wp:docPr id="553374973" name="Picture 1" descr="A diagram of a test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74973" name="Picture 1" descr="A diagram of a test tub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77DD" w14:textId="77777777" w:rsidR="001D6226" w:rsidRDefault="001D6226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CCDDAE8" w14:textId="77777777" w:rsidR="00011D5C" w:rsidRDefault="00011D5C" w:rsidP="001D62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DD65054" w14:textId="0BC5C2C6" w:rsidR="00E5121E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D0447">
        <w:rPr>
          <w:rFonts w:ascii="Arial" w:hAnsi="Arial" w:cs="Arial"/>
          <w:b/>
          <w:bCs/>
          <w:sz w:val="22"/>
          <w:szCs w:val="22"/>
        </w:rPr>
        <w:t>Supplementary Fig4: The effect of EMPA on expression of M1 markers in MDMs from T2DM-AMI patients. (A)</w:t>
      </w:r>
      <w:r w:rsidRPr="004D0447">
        <w:rPr>
          <w:rFonts w:ascii="Arial" w:hAnsi="Arial" w:cs="Arial"/>
          <w:sz w:val="22"/>
          <w:szCs w:val="22"/>
        </w:rPr>
        <w:t xml:space="preserve"> 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depicts the experimental protocol with patients allocated to either Arm-A (EMPA prescribed immediately post-acute event - blue) or Arm-B (EMPA prescribed 90days post-acute event - purple). Blood samples were taken and EMPA prescribed at the intervals indicated. PBMCs were extracted, and monocytes isolated and differentiated into macrophages. Data shows inter-Arm comparisons expressed as mean % change over time compared to T0 for </w:t>
      </w:r>
      <w:r w:rsidRPr="004D0447">
        <w:rPr>
          <w:rFonts w:ascii="Arial" w:hAnsi="Arial" w:cs="Arial"/>
          <w:sz w:val="22"/>
          <w:szCs w:val="22"/>
        </w:rPr>
        <w:t>MCP1 (</w:t>
      </w:r>
      <w:r w:rsidRPr="004D0447">
        <w:rPr>
          <w:rFonts w:ascii="Arial" w:hAnsi="Arial" w:cs="Arial"/>
          <w:b/>
          <w:bCs/>
          <w:sz w:val="22"/>
          <w:szCs w:val="22"/>
        </w:rPr>
        <w:t>B</w:t>
      </w:r>
      <w:r w:rsidRPr="004D0447">
        <w:rPr>
          <w:rFonts w:ascii="Arial" w:hAnsi="Arial" w:cs="Arial"/>
          <w:sz w:val="22"/>
          <w:szCs w:val="22"/>
        </w:rPr>
        <w:t xml:space="preserve">), </w:t>
      </w:r>
      <w:r w:rsidR="000E2E00" w:rsidRPr="004D0447">
        <w:rPr>
          <w:rFonts w:ascii="Arial" w:hAnsi="Arial" w:cs="Arial"/>
          <w:sz w:val="22"/>
          <w:szCs w:val="22"/>
        </w:rPr>
        <w:t>STAT1 (</w:t>
      </w:r>
      <w:r w:rsidR="000E2E00">
        <w:rPr>
          <w:rFonts w:ascii="Arial" w:hAnsi="Arial" w:cs="Arial"/>
          <w:b/>
          <w:bCs/>
          <w:sz w:val="22"/>
          <w:szCs w:val="22"/>
        </w:rPr>
        <w:t>C</w:t>
      </w:r>
      <w:r w:rsidR="000E2E00" w:rsidRPr="004D0447">
        <w:rPr>
          <w:rFonts w:ascii="Arial" w:hAnsi="Arial" w:cs="Arial"/>
          <w:sz w:val="22"/>
          <w:szCs w:val="22"/>
        </w:rPr>
        <w:t>)</w:t>
      </w:r>
      <w:r w:rsidR="000E2E00" w:rsidRPr="004D0447">
        <w:rPr>
          <w:rFonts w:ascii="Arial" w:hAnsi="Arial" w:cs="Arial"/>
          <w:b/>
          <w:bCs/>
          <w:sz w:val="22"/>
          <w:szCs w:val="22"/>
        </w:rPr>
        <w:t xml:space="preserve"> </w:t>
      </w:r>
      <w:r w:rsidR="000E2E00" w:rsidRPr="000E2E00">
        <w:rPr>
          <w:rFonts w:ascii="Arial" w:hAnsi="Arial" w:cs="Arial"/>
          <w:sz w:val="22"/>
          <w:szCs w:val="22"/>
        </w:rPr>
        <w:t>and</w:t>
      </w:r>
      <w:r w:rsidR="000E2E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4D0447">
        <w:rPr>
          <w:rFonts w:ascii="Arial" w:hAnsi="Arial" w:cs="Arial"/>
          <w:sz w:val="22"/>
          <w:szCs w:val="22"/>
        </w:rPr>
        <w:t>CD80 (</w:t>
      </w:r>
      <w:r w:rsidR="000E2E00">
        <w:rPr>
          <w:rFonts w:ascii="Arial" w:hAnsi="Arial" w:cs="Arial"/>
          <w:b/>
          <w:bCs/>
          <w:sz w:val="22"/>
          <w:szCs w:val="22"/>
        </w:rPr>
        <w:t>D</w:t>
      </w:r>
      <w:r w:rsidRPr="004D0447">
        <w:rPr>
          <w:rFonts w:ascii="Arial" w:hAnsi="Arial" w:cs="Arial"/>
          <w:sz w:val="22"/>
          <w:szCs w:val="22"/>
        </w:rPr>
        <w:t>), mRNA expression in untreated MDMs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. </w:t>
      </w:r>
      <w:r w:rsidR="00E5121E">
        <w:rPr>
          <w:rFonts w:ascii="Arial" w:hAnsi="Arial" w:cs="Arial"/>
          <w:sz w:val="22"/>
          <w:szCs w:val="22"/>
        </w:rPr>
        <w:t>A</w:t>
      </w:r>
      <w:r w:rsidR="00E5121E">
        <w:rPr>
          <w:rFonts w:ascii="Arial" w:hAnsi="Arial" w:cs="Arial"/>
          <w:sz w:val="22"/>
          <w:szCs w:val="22"/>
          <w:lang w:val="en-US"/>
        </w:rPr>
        <w:t xml:space="preserve"> mixed effects model with Tukey’s multiple comparison test 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was used for </w:t>
      </w:r>
      <w:r w:rsidR="0074295F">
        <w:rPr>
          <w:rFonts w:ascii="Arial" w:hAnsi="Arial" w:cs="Arial"/>
          <w:sz w:val="22"/>
          <w:szCs w:val="22"/>
          <w:lang w:val="en-US"/>
        </w:rPr>
        <w:t>interarm</w:t>
      </w:r>
      <w:r w:rsidR="00E5121E">
        <w:rPr>
          <w:rFonts w:ascii="Arial" w:hAnsi="Arial" w:cs="Arial"/>
          <w:sz w:val="22"/>
          <w:szCs w:val="22"/>
          <w:lang w:val="en-US"/>
        </w:rPr>
        <w:t xml:space="preserve"> analysis respectively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0536BEA7" w14:textId="11D464B6" w:rsidR="004D0447" w:rsidRDefault="004D0447" w:rsidP="001D6226">
      <w:pPr>
        <w:jc w:val="both"/>
        <w:rPr>
          <w:rFonts w:ascii="Arial" w:hAnsi="Arial" w:cs="Arial"/>
          <w:sz w:val="22"/>
          <w:szCs w:val="22"/>
        </w:rPr>
      </w:pPr>
    </w:p>
    <w:p w14:paraId="4E1087F8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1F44E614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4ABC38D9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22A72B4C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B067DFE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703A6D61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1E150E6C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5966976B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5819CB31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1D287205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EB8C3BE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40B805B2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F58ACD8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74BD990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635A8476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4EEF3DAF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632B72BA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0755CEC3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004EE969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056E2F1B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195B5097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BD7B822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20525BC5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53B5FD02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C5F3228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9D9C61D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6C7D82B3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32961988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1510E8DD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64FE8409" w14:textId="1F20F76F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EC112AC" wp14:editId="1E6E79CF">
            <wp:extent cx="6645910" cy="4413885"/>
            <wp:effectExtent l="0" t="0" r="0" b="5715"/>
            <wp:docPr id="289382087" name="Picture 5" descr="A collage of diagrams and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82087" name="Picture 5" descr="A collage of diagrams and graph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21D50" w14:textId="77777777" w:rsidR="001D6226" w:rsidRDefault="001D6226" w:rsidP="001D6226">
      <w:pPr>
        <w:jc w:val="both"/>
        <w:rPr>
          <w:rFonts w:ascii="Arial" w:hAnsi="Arial" w:cs="Arial"/>
          <w:sz w:val="22"/>
          <w:szCs w:val="22"/>
        </w:rPr>
      </w:pPr>
    </w:p>
    <w:p w14:paraId="17493084" w14:textId="77777777" w:rsidR="004D0447" w:rsidRDefault="004D0447" w:rsidP="001D6226">
      <w:pPr>
        <w:jc w:val="both"/>
        <w:rPr>
          <w:rFonts w:ascii="Arial" w:hAnsi="Arial" w:cs="Arial"/>
          <w:sz w:val="22"/>
          <w:szCs w:val="22"/>
        </w:rPr>
      </w:pPr>
    </w:p>
    <w:p w14:paraId="617F46D4" w14:textId="76903AB6" w:rsidR="00E5121E" w:rsidRDefault="004D0447" w:rsidP="001D622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D0447">
        <w:rPr>
          <w:rFonts w:ascii="Arial" w:hAnsi="Arial" w:cs="Arial"/>
          <w:b/>
          <w:bCs/>
          <w:sz w:val="22"/>
          <w:szCs w:val="22"/>
        </w:rPr>
        <w:t>Supplementary Fig5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4D0447">
        <w:rPr>
          <w:rFonts w:ascii="Arial" w:hAnsi="Arial" w:cs="Arial"/>
          <w:b/>
          <w:bCs/>
          <w:sz w:val="22"/>
          <w:szCs w:val="22"/>
        </w:rPr>
        <w:t>The effect of EMPA on expression of cell senescence/SASP markers in MDMs from T2DM-AMI patients. (A)</w:t>
      </w:r>
      <w:r w:rsidRPr="004D0447">
        <w:rPr>
          <w:rFonts w:ascii="Arial" w:hAnsi="Arial" w:cs="Arial"/>
          <w:sz w:val="22"/>
          <w:szCs w:val="22"/>
        </w:rPr>
        <w:t xml:space="preserve"> </w:t>
      </w:r>
      <w:r w:rsidRPr="004D0447">
        <w:rPr>
          <w:rFonts w:ascii="Arial" w:hAnsi="Arial" w:cs="Arial"/>
          <w:sz w:val="22"/>
          <w:szCs w:val="22"/>
          <w:lang w:val="en-US"/>
        </w:rPr>
        <w:t xml:space="preserve">depicts the experimental protocol with patients allocated to either Arm-A (EMPA prescribed immediately post-acute event - blue) or Arm-B (EMPA prescribed 90days post-acute event - purple). Blood samples were taken and EMPA prescribed at the intervals indicated. PBMCs were extracted, and monocytes isolated and differentiated into macrophages. Data shows inter-Arm comparisons expressed as mean % change over time compared to T0 for </w:t>
      </w:r>
      <w:r w:rsidRPr="004D0447">
        <w:rPr>
          <w:rFonts w:ascii="Arial" w:hAnsi="Arial" w:cs="Arial"/>
          <w:sz w:val="22"/>
          <w:szCs w:val="22"/>
        </w:rPr>
        <w:t>P21 (</w:t>
      </w:r>
      <w:r w:rsidRPr="004D0447">
        <w:rPr>
          <w:rFonts w:ascii="Arial" w:hAnsi="Arial" w:cs="Arial"/>
          <w:b/>
          <w:bCs/>
          <w:sz w:val="22"/>
          <w:szCs w:val="22"/>
        </w:rPr>
        <w:t>B</w:t>
      </w:r>
      <w:r w:rsidRPr="004D0447">
        <w:rPr>
          <w:rFonts w:ascii="Arial" w:hAnsi="Arial" w:cs="Arial"/>
          <w:sz w:val="22"/>
          <w:szCs w:val="22"/>
        </w:rPr>
        <w:t>), P27 (</w:t>
      </w:r>
      <w:r w:rsidRPr="004D0447">
        <w:rPr>
          <w:rFonts w:ascii="Arial" w:hAnsi="Arial" w:cs="Arial"/>
          <w:b/>
          <w:bCs/>
          <w:sz w:val="22"/>
          <w:szCs w:val="22"/>
        </w:rPr>
        <w:t>C</w:t>
      </w:r>
      <w:r w:rsidRPr="004D0447">
        <w:rPr>
          <w:rFonts w:ascii="Arial" w:hAnsi="Arial" w:cs="Arial"/>
          <w:sz w:val="22"/>
          <w:szCs w:val="22"/>
        </w:rPr>
        <w:t>), BCL2 (</w:t>
      </w:r>
      <w:r w:rsidRPr="004D0447">
        <w:rPr>
          <w:rFonts w:ascii="Arial" w:hAnsi="Arial" w:cs="Arial"/>
          <w:b/>
          <w:bCs/>
          <w:sz w:val="22"/>
          <w:szCs w:val="22"/>
        </w:rPr>
        <w:t>D</w:t>
      </w:r>
      <w:r w:rsidRPr="004D0447">
        <w:rPr>
          <w:rFonts w:ascii="Arial" w:hAnsi="Arial" w:cs="Arial"/>
          <w:sz w:val="22"/>
          <w:szCs w:val="22"/>
        </w:rPr>
        <w:t>),</w:t>
      </w:r>
      <w:r w:rsidRPr="004D04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D0447">
        <w:rPr>
          <w:rFonts w:ascii="Arial" w:hAnsi="Arial" w:cs="Arial"/>
          <w:sz w:val="22"/>
          <w:szCs w:val="22"/>
        </w:rPr>
        <w:t>BAX (</w:t>
      </w:r>
      <w:r w:rsidRPr="004D0447">
        <w:rPr>
          <w:rFonts w:ascii="Arial" w:hAnsi="Arial" w:cs="Arial"/>
          <w:b/>
          <w:bCs/>
          <w:sz w:val="22"/>
          <w:szCs w:val="22"/>
        </w:rPr>
        <w:t>E</w:t>
      </w:r>
      <w:r w:rsidRPr="004D0447">
        <w:rPr>
          <w:rFonts w:ascii="Arial" w:hAnsi="Arial" w:cs="Arial"/>
          <w:sz w:val="22"/>
          <w:szCs w:val="22"/>
        </w:rPr>
        <w:t>), and IL8 (</w:t>
      </w:r>
      <w:r w:rsidRPr="004D0447">
        <w:rPr>
          <w:rFonts w:ascii="Arial" w:hAnsi="Arial" w:cs="Arial"/>
          <w:b/>
          <w:bCs/>
          <w:sz w:val="22"/>
          <w:szCs w:val="22"/>
        </w:rPr>
        <w:t>F</w:t>
      </w:r>
      <w:r w:rsidRPr="004D0447">
        <w:rPr>
          <w:rFonts w:ascii="Arial" w:hAnsi="Arial" w:cs="Arial"/>
          <w:sz w:val="22"/>
          <w:szCs w:val="22"/>
        </w:rPr>
        <w:t>) mRNA expression in untreated cells. Similarly, plasma MMP-9 (</w:t>
      </w:r>
      <w:r w:rsidRPr="004D0447">
        <w:rPr>
          <w:rFonts w:ascii="Arial" w:hAnsi="Arial" w:cs="Arial"/>
          <w:b/>
          <w:bCs/>
          <w:sz w:val="22"/>
          <w:szCs w:val="22"/>
        </w:rPr>
        <w:t>G</w:t>
      </w:r>
      <w:r w:rsidRPr="004D0447">
        <w:rPr>
          <w:rFonts w:ascii="Arial" w:hAnsi="Arial" w:cs="Arial"/>
          <w:sz w:val="22"/>
          <w:szCs w:val="22"/>
        </w:rPr>
        <w:t>), Serpin-E1 (</w:t>
      </w:r>
      <w:r w:rsidRPr="004D0447">
        <w:rPr>
          <w:rFonts w:ascii="Arial" w:hAnsi="Arial" w:cs="Arial"/>
          <w:b/>
          <w:bCs/>
          <w:sz w:val="22"/>
          <w:szCs w:val="22"/>
        </w:rPr>
        <w:t>H</w:t>
      </w:r>
      <w:r w:rsidRPr="004D0447">
        <w:rPr>
          <w:rFonts w:ascii="Arial" w:hAnsi="Arial" w:cs="Arial"/>
          <w:sz w:val="22"/>
          <w:szCs w:val="22"/>
        </w:rPr>
        <w:t>), and OPN (</w:t>
      </w:r>
      <w:r w:rsidRPr="004D0447">
        <w:rPr>
          <w:rFonts w:ascii="Arial" w:hAnsi="Arial" w:cs="Arial"/>
          <w:b/>
          <w:bCs/>
          <w:sz w:val="22"/>
          <w:szCs w:val="22"/>
        </w:rPr>
        <w:t>I</w:t>
      </w:r>
      <w:r w:rsidRPr="004D0447">
        <w:rPr>
          <w:rFonts w:ascii="Arial" w:hAnsi="Arial" w:cs="Arial"/>
          <w:sz w:val="22"/>
          <w:szCs w:val="22"/>
        </w:rPr>
        <w:t xml:space="preserve">) was measured. 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 </w:t>
      </w:r>
      <w:r w:rsidR="00E5121E">
        <w:rPr>
          <w:rFonts w:ascii="Arial" w:hAnsi="Arial" w:cs="Arial"/>
          <w:sz w:val="22"/>
          <w:szCs w:val="22"/>
        </w:rPr>
        <w:t>A</w:t>
      </w:r>
      <w:r w:rsidR="00E5121E">
        <w:rPr>
          <w:rFonts w:ascii="Arial" w:hAnsi="Arial" w:cs="Arial"/>
          <w:sz w:val="22"/>
          <w:szCs w:val="22"/>
          <w:lang w:val="en-US"/>
        </w:rPr>
        <w:t xml:space="preserve"> mixed effects model with Tukey’s multiple comparison test 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was used for </w:t>
      </w:r>
      <w:r w:rsidR="0074295F">
        <w:rPr>
          <w:rFonts w:ascii="Arial" w:hAnsi="Arial" w:cs="Arial"/>
          <w:sz w:val="22"/>
          <w:szCs w:val="22"/>
          <w:lang w:val="en-US"/>
        </w:rPr>
        <w:t>interarm</w:t>
      </w:r>
      <w:r w:rsidR="00E5121E">
        <w:rPr>
          <w:rFonts w:ascii="Arial" w:hAnsi="Arial" w:cs="Arial"/>
          <w:sz w:val="22"/>
          <w:szCs w:val="22"/>
          <w:lang w:val="en-US"/>
        </w:rPr>
        <w:t xml:space="preserve"> analysis respectively</w:t>
      </w:r>
      <w:r w:rsidR="00E5121E" w:rsidRPr="004D0447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6B4BD306" w14:textId="6ACD2CC6" w:rsidR="004D0447" w:rsidRPr="004D0447" w:rsidRDefault="004D0447" w:rsidP="001D6226">
      <w:pPr>
        <w:jc w:val="both"/>
        <w:rPr>
          <w:rFonts w:ascii="Arial" w:hAnsi="Arial" w:cs="Arial"/>
          <w:sz w:val="22"/>
          <w:szCs w:val="22"/>
        </w:rPr>
      </w:pPr>
    </w:p>
    <w:p w14:paraId="1AF0E8CE" w14:textId="77777777" w:rsidR="004D0447" w:rsidRPr="004D0447" w:rsidRDefault="004D0447" w:rsidP="001D6226">
      <w:pPr>
        <w:jc w:val="both"/>
        <w:rPr>
          <w:rFonts w:ascii="Arial" w:hAnsi="Arial" w:cs="Arial"/>
          <w:sz w:val="22"/>
          <w:szCs w:val="22"/>
        </w:rPr>
      </w:pPr>
    </w:p>
    <w:p w14:paraId="27B09128" w14:textId="77777777" w:rsidR="004D0447" w:rsidRPr="004D0447" w:rsidRDefault="004D0447" w:rsidP="001D6226">
      <w:pPr>
        <w:jc w:val="both"/>
        <w:rPr>
          <w:rFonts w:ascii="Arial" w:hAnsi="Arial" w:cs="Arial"/>
          <w:sz w:val="22"/>
          <w:szCs w:val="22"/>
        </w:rPr>
      </w:pPr>
    </w:p>
    <w:p w14:paraId="45568907" w14:textId="77777777" w:rsidR="004D0447" w:rsidRPr="004D0447" w:rsidRDefault="004D0447" w:rsidP="001D6226">
      <w:pPr>
        <w:jc w:val="both"/>
        <w:rPr>
          <w:rFonts w:ascii="Arial" w:hAnsi="Arial" w:cs="Arial"/>
        </w:rPr>
      </w:pPr>
    </w:p>
    <w:sectPr w:rsidR="004D0447" w:rsidRPr="004D0447" w:rsidSect="001D62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47"/>
    <w:rsid w:val="00011D5C"/>
    <w:rsid w:val="00036C03"/>
    <w:rsid w:val="00071A97"/>
    <w:rsid w:val="000E2E00"/>
    <w:rsid w:val="00182218"/>
    <w:rsid w:val="001D6226"/>
    <w:rsid w:val="00234D42"/>
    <w:rsid w:val="00242227"/>
    <w:rsid w:val="002C1220"/>
    <w:rsid w:val="00327846"/>
    <w:rsid w:val="00347DA6"/>
    <w:rsid w:val="004D0447"/>
    <w:rsid w:val="00575D16"/>
    <w:rsid w:val="007313C1"/>
    <w:rsid w:val="0074295F"/>
    <w:rsid w:val="0085658B"/>
    <w:rsid w:val="009921E5"/>
    <w:rsid w:val="00A020CB"/>
    <w:rsid w:val="00BA6BCC"/>
    <w:rsid w:val="00C40186"/>
    <w:rsid w:val="00C51310"/>
    <w:rsid w:val="00CB33DC"/>
    <w:rsid w:val="00CD5BA0"/>
    <w:rsid w:val="00E12690"/>
    <w:rsid w:val="00E5121E"/>
    <w:rsid w:val="00F45296"/>
    <w:rsid w:val="00F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2D7FA"/>
  <w15:chartTrackingRefBased/>
  <w15:docId w15:val="{F334354A-F09E-7543-87DE-7E25BFF7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4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4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4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4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4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4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44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34D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614</Words>
  <Characters>3247</Characters>
  <Application>Microsoft Office Word</Application>
  <DocSecurity>0</DocSecurity>
  <Lines>57</Lines>
  <Paragraphs>11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Claire Hills</dc:creator>
  <cp:keywords/>
  <dc:description/>
  <cp:lastModifiedBy>Dr Claire Hills</cp:lastModifiedBy>
  <cp:revision>2</cp:revision>
  <dcterms:created xsi:type="dcterms:W3CDTF">2026-02-10T09:50:00Z</dcterms:created>
  <dcterms:modified xsi:type="dcterms:W3CDTF">2026-02-10T09:50:00Z</dcterms:modified>
</cp:coreProperties>
</file>