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8AD807">
      <w:pPr>
        <w:widowControl/>
        <w:rPr>
          <w:rFonts w:hint="default" w:ascii="Arial" w:hAnsi="Arial" w:eastAsia="等线" w:cs="Arial"/>
          <w:b/>
          <w:bCs/>
          <w:color w:val="000000"/>
          <w:kern w:val="0"/>
          <w:sz w:val="16"/>
          <w:szCs w:val="16"/>
        </w:rPr>
      </w:pPr>
      <w:r>
        <w:rPr>
          <w:rFonts w:hint="default" w:ascii="Arial" w:hAnsi="Arial" w:cs="Arial"/>
          <w:b/>
          <w:bCs/>
          <w:i w:val="0"/>
          <w:iCs w:val="0"/>
          <w:color w:val="000000"/>
          <w:sz w:val="16"/>
          <w:szCs w:val="16"/>
          <w:u w:val="none"/>
          <w:lang w:val="en-US" w:eastAsia="zh-CN"/>
        </w:rPr>
        <w:t>Table S</w:t>
      </w:r>
      <w:r>
        <w:rPr>
          <w:rFonts w:hint="eastAsia" w:ascii="Arial" w:hAnsi="Arial" w:cs="Arial"/>
          <w:b/>
          <w:bCs/>
          <w:i w:val="0"/>
          <w:iCs w:val="0"/>
          <w:color w:val="000000"/>
          <w:sz w:val="16"/>
          <w:szCs w:val="16"/>
          <w:u w:val="none"/>
          <w:lang w:val="en-US" w:eastAsia="zh-CN"/>
        </w:rPr>
        <w:t>1</w:t>
      </w:r>
      <w:r>
        <w:rPr>
          <w:rFonts w:hint="default" w:ascii="Arial" w:hAnsi="Arial" w:cs="Arial"/>
          <w:b/>
          <w:bCs/>
          <w:i w:val="0"/>
          <w:iCs w:val="0"/>
          <w:color w:val="000000"/>
          <w:sz w:val="16"/>
          <w:szCs w:val="16"/>
          <w:u w:val="none"/>
          <w:lang w:val="en-US" w:eastAsia="zh-CN"/>
        </w:rPr>
        <w:t xml:space="preserve">  </w:t>
      </w:r>
      <w:r>
        <w:rPr>
          <w:rFonts w:hint="default" w:ascii="Arial" w:hAnsi="Arial" w:cs="Arial"/>
          <w:sz w:val="16"/>
          <w:szCs w:val="16"/>
        </w:rPr>
        <w:t xml:space="preserve">Multicollinearity analysis in the </w:t>
      </w:r>
      <w:r>
        <w:rPr>
          <w:rFonts w:hint="eastAsia" w:ascii="Arial" w:hAnsi="Arial" w:cs="Arial"/>
          <w:sz w:val="16"/>
          <w:szCs w:val="16"/>
          <w:lang w:val="en-US" w:eastAsia="zh-CN"/>
        </w:rPr>
        <w:t>a</w:t>
      </w:r>
      <w:r>
        <w:rPr>
          <w:rFonts w:hint="default" w:ascii="Arial" w:hAnsi="Arial" w:cs="Arial"/>
          <w:sz w:val="16"/>
          <w:szCs w:val="16"/>
        </w:rPr>
        <w:t xml:space="preserve">ssociation </w:t>
      </w:r>
      <w:r>
        <w:rPr>
          <w:rFonts w:hint="eastAsia" w:ascii="Arial" w:hAnsi="Arial" w:cs="Arial"/>
          <w:sz w:val="16"/>
          <w:szCs w:val="16"/>
          <w:lang w:val="en-US" w:eastAsia="zh-CN"/>
        </w:rPr>
        <w:t>a</w:t>
      </w:r>
      <w:r>
        <w:rPr>
          <w:rFonts w:hint="default" w:ascii="Arial" w:hAnsi="Arial" w:cs="Arial"/>
          <w:sz w:val="16"/>
          <w:szCs w:val="16"/>
        </w:rPr>
        <w:t xml:space="preserve">nalysis </w:t>
      </w:r>
      <w:r>
        <w:rPr>
          <w:rFonts w:hint="eastAsia" w:ascii="Arial" w:hAnsi="Arial" w:cs="Arial"/>
          <w:sz w:val="16"/>
          <w:szCs w:val="16"/>
          <w:lang w:val="en-US" w:eastAsia="zh-CN"/>
        </w:rPr>
        <w:t>b</w:t>
      </w:r>
      <w:r>
        <w:rPr>
          <w:rFonts w:hint="default" w:ascii="Arial" w:hAnsi="Arial" w:cs="Arial"/>
          <w:sz w:val="16"/>
          <w:szCs w:val="16"/>
        </w:rPr>
        <w:t xml:space="preserve">etween </w:t>
      </w:r>
      <w:r>
        <w:rPr>
          <w:rFonts w:hint="eastAsia" w:ascii="Arial" w:hAnsi="Arial" w:cs="Arial"/>
          <w:sz w:val="16"/>
          <w:szCs w:val="16"/>
          <w:lang w:val="en-US" w:eastAsia="zh-CN"/>
        </w:rPr>
        <w:t>BMR</w:t>
      </w:r>
      <w:r>
        <w:rPr>
          <w:rFonts w:hint="default" w:ascii="Arial" w:hAnsi="Arial" w:cs="Arial"/>
          <w:sz w:val="16"/>
          <w:szCs w:val="16"/>
        </w:rPr>
        <w:t xml:space="preserve"> and CMM.</w:t>
      </w:r>
    </w:p>
    <w:tbl>
      <w:tblPr>
        <w:tblStyle w:val="2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3"/>
        <w:gridCol w:w="1995"/>
        <w:gridCol w:w="1683"/>
        <w:gridCol w:w="1978"/>
      </w:tblGrid>
      <w:tr w14:paraId="55989E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80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58136C9B">
            <w:pPr>
              <w:widowControl/>
              <w:jc w:val="left"/>
              <w:rPr>
                <w:rFonts w:hint="default" w:ascii="Arial" w:hAnsi="Arial" w:eastAsia="等线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Variables</w:t>
            </w:r>
          </w:p>
        </w:tc>
        <w:tc>
          <w:tcPr>
            <w:tcW w:w="1170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02CF1685">
            <w:pPr>
              <w:widowControl/>
              <w:jc w:val="left"/>
              <w:rPr>
                <w:rFonts w:hint="default" w:ascii="Arial" w:hAnsi="Arial" w:eastAsia="等线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Arial" w:hAnsi="Arial" w:eastAsia="等线" w:cs="Arial"/>
                <w:b/>
                <w:bCs/>
                <w:color w:val="000000"/>
                <w:kern w:val="0"/>
                <w:sz w:val="16"/>
                <w:szCs w:val="16"/>
              </w:rPr>
              <w:t>GVIF</w:t>
            </w:r>
          </w:p>
        </w:tc>
        <w:tc>
          <w:tcPr>
            <w:tcW w:w="987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35E71231">
            <w:pPr>
              <w:widowControl/>
              <w:jc w:val="left"/>
              <w:rPr>
                <w:rFonts w:hint="default" w:ascii="Arial" w:hAnsi="Arial" w:eastAsia="等线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Arial" w:hAnsi="Arial" w:eastAsia="等线" w:cs="Arial"/>
                <w:b/>
                <w:bCs/>
                <w:color w:val="000000"/>
                <w:kern w:val="0"/>
                <w:sz w:val="16"/>
                <w:szCs w:val="16"/>
              </w:rPr>
              <w:t>Df</w:t>
            </w:r>
          </w:p>
        </w:tc>
        <w:tc>
          <w:tcPr>
            <w:tcW w:w="1160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40CA36F1">
            <w:pPr>
              <w:widowControl/>
              <w:jc w:val="left"/>
              <w:rPr>
                <w:rFonts w:hint="default" w:ascii="Arial" w:hAnsi="Arial" w:eastAsia="等线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Arial" w:hAnsi="Arial" w:eastAsia="等线" w:cs="Arial"/>
                <w:b/>
                <w:bCs/>
                <w:color w:val="000000"/>
                <w:kern w:val="0"/>
                <w:sz w:val="16"/>
                <w:szCs w:val="16"/>
              </w:rPr>
              <w:t>GVIF^(1/(2*Df))</w:t>
            </w:r>
          </w:p>
        </w:tc>
      </w:tr>
      <w:tr w14:paraId="53D8C6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394F2C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BMR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1D2A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1.288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E4EA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995B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135</w:t>
            </w:r>
          </w:p>
        </w:tc>
      </w:tr>
      <w:tr w14:paraId="1F5548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62A4F9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</w:rPr>
              <w:t>Age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AECE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1.467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9A02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7549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1.211 </w:t>
            </w:r>
          </w:p>
        </w:tc>
      </w:tr>
      <w:tr w14:paraId="379EF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F16377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</w:rPr>
              <w:t>Sex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D8E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3.198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F2C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C96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1.788 </w:t>
            </w:r>
          </w:p>
        </w:tc>
      </w:tr>
      <w:tr w14:paraId="51793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997087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</w:rPr>
              <w:t>Smoking status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6D2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1.856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D1E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574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1.362 </w:t>
            </w:r>
          </w:p>
        </w:tc>
      </w:tr>
      <w:tr w14:paraId="2257EE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FB8699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</w:rPr>
              <w:t>Drinking status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22D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1.490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D2EF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CE96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1.221 </w:t>
            </w:r>
          </w:p>
        </w:tc>
      </w:tr>
      <w:tr w14:paraId="534BFD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9FF165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 w:val="0"/>
                <w:bCs w:val="0"/>
                <w:sz w:val="16"/>
                <w:szCs w:val="16"/>
                <w:lang w:val="en-US" w:eastAsia="zh-CN"/>
              </w:rPr>
              <w:t>Education level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D55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1.381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664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7B6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1.055 </w:t>
            </w:r>
          </w:p>
        </w:tc>
      </w:tr>
      <w:tr w14:paraId="0556D4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309BC0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 w:val="0"/>
                <w:bCs w:val="0"/>
                <w:sz w:val="16"/>
                <w:szCs w:val="16"/>
                <w:lang w:val="en-US" w:eastAsia="zh-CN"/>
              </w:rPr>
              <w:t>Marital status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390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1.100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C9C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964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1.049 </w:t>
            </w:r>
          </w:p>
        </w:tc>
      </w:tr>
      <w:tr w14:paraId="30BCFD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DA71F9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 w:val="0"/>
                <w:bCs w:val="0"/>
                <w:sz w:val="16"/>
                <w:szCs w:val="16"/>
                <w:lang w:val="en-US" w:eastAsia="zh-CN"/>
              </w:rPr>
              <w:t>Residence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DE6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1.113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698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E4A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1.055 </w:t>
            </w:r>
          </w:p>
        </w:tc>
      </w:tr>
      <w:tr w14:paraId="5752AF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732D85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SBP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CA6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2.546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8CA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D82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1.596 </w:t>
            </w:r>
          </w:p>
        </w:tc>
      </w:tr>
      <w:tr w14:paraId="3518E0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33E836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DBP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F40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2.514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97B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7EF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1.586 </w:t>
            </w:r>
          </w:p>
        </w:tc>
      </w:tr>
      <w:tr w14:paraId="2344AB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C44884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TC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7A8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3.140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F1D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E4E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1.772 </w:t>
            </w:r>
          </w:p>
        </w:tc>
      </w:tr>
      <w:tr w14:paraId="4F14CB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A968F5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HDL-C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6D0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1.200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88F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3F5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1.096 </w:t>
            </w:r>
          </w:p>
        </w:tc>
      </w:tr>
      <w:tr w14:paraId="2BBD0B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CFD8CB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 w:val="0"/>
                <w:bCs w:val="0"/>
                <w:sz w:val="16"/>
                <w:szCs w:val="16"/>
                <w:lang w:val="en-US" w:eastAsia="zh-CN"/>
              </w:rPr>
              <w:t>LDL-C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90E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3.080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DCDC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E0A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1.755 </w:t>
            </w:r>
          </w:p>
        </w:tc>
      </w:tr>
      <w:tr w14:paraId="748A3A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98E7D2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 w:val="0"/>
                <w:bCs w:val="0"/>
                <w:sz w:val="16"/>
                <w:szCs w:val="16"/>
                <w:lang w:val="en-US" w:eastAsia="zh-CN"/>
              </w:rPr>
              <w:t>hs-CRP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09F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1.013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46E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09A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1.007 </w:t>
            </w:r>
          </w:p>
        </w:tc>
      </w:tr>
      <w:tr w14:paraId="152D1D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644259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 w:val="0"/>
                <w:bCs w:val="0"/>
                <w:sz w:val="16"/>
                <w:szCs w:val="16"/>
                <w:lang w:val="en-US" w:eastAsia="zh-CN"/>
              </w:rPr>
              <w:t>Hypertension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9E8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2.484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262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F45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1.576 </w:t>
            </w:r>
          </w:p>
        </w:tc>
      </w:tr>
      <w:tr w14:paraId="075B92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18EB87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 w:val="0"/>
                <w:bCs w:val="0"/>
                <w:sz w:val="16"/>
                <w:szCs w:val="16"/>
                <w:lang w:val="en-US" w:eastAsia="zh-CN"/>
              </w:rPr>
              <w:t>Dyslipidemia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AD3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1.864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9B3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C9C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1.365 </w:t>
            </w:r>
          </w:p>
        </w:tc>
      </w:tr>
      <w:tr w14:paraId="27E9B3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BD87D4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 w:val="0"/>
                <w:bCs w:val="0"/>
                <w:sz w:val="16"/>
                <w:szCs w:val="16"/>
                <w:lang w:val="en-US" w:eastAsia="zh-CN"/>
              </w:rPr>
              <w:t>Depression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5D8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1.103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B24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467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1.050 </w:t>
            </w:r>
          </w:p>
        </w:tc>
      </w:tr>
      <w:tr w14:paraId="069180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1ABFE2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 w:val="0"/>
                <w:bCs w:val="0"/>
                <w:sz w:val="16"/>
                <w:szCs w:val="16"/>
                <w:lang w:val="en-US" w:eastAsia="zh-CN"/>
              </w:rPr>
              <w:t>Cancer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790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1.037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F48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8F4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1.018 </w:t>
            </w:r>
          </w:p>
        </w:tc>
      </w:tr>
      <w:tr w14:paraId="1D1BFB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4ED3CB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/>
              </w:rPr>
            </w:pPr>
            <w:r>
              <w:rPr>
                <w:rFonts w:hint="default" w:ascii="Arial" w:hAnsi="Arial" w:cs="Arial"/>
                <w:b w:val="0"/>
                <w:bCs w:val="0"/>
                <w:sz w:val="16"/>
                <w:szCs w:val="16"/>
                <w:lang w:val="en-US" w:eastAsia="zh-CN"/>
              </w:rPr>
              <w:t>Antihyp</w:t>
            </w: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000000" w:themeColor="text1"/>
                <w:spacing w:val="0"/>
                <w:sz w:val="16"/>
                <w:szCs w:val="16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er</w:t>
            </w:r>
            <w:r>
              <w:rPr>
                <w:rFonts w:hint="default" w:ascii="Arial" w:hAnsi="Arial" w:cs="Arial"/>
                <w:b w:val="0"/>
                <w:bCs w:val="0"/>
                <w:sz w:val="16"/>
                <w:szCs w:val="16"/>
                <w:lang w:val="en-US" w:eastAsia="zh-CN"/>
              </w:rPr>
              <w:t>tensive medication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E3D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2.071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BCCB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F64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1.439 </w:t>
            </w:r>
          </w:p>
        </w:tc>
      </w:tr>
      <w:tr w14:paraId="6BD26D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0B7B43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/>
              </w:rPr>
            </w:pPr>
            <w:r>
              <w:rPr>
                <w:rFonts w:hint="default" w:ascii="Arial" w:hAnsi="Arial" w:cs="Arial"/>
                <w:b w:val="0"/>
                <w:bCs w:val="0"/>
                <w:sz w:val="16"/>
                <w:szCs w:val="16"/>
                <w:lang w:val="en-US" w:eastAsia="zh-CN"/>
              </w:rPr>
              <w:t>Antidiabetic medication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4FC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1.131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329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BE4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1.063 </w:t>
            </w:r>
          </w:p>
        </w:tc>
      </w:tr>
      <w:tr w14:paraId="677ECC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CDCE5F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/>
              </w:rPr>
            </w:pPr>
            <w:r>
              <w:rPr>
                <w:rFonts w:hint="default" w:ascii="Arial" w:hAnsi="Arial" w:cs="Arial"/>
                <w:b w:val="0"/>
                <w:bCs w:val="0"/>
                <w:sz w:val="16"/>
                <w:szCs w:val="16"/>
                <w:lang w:val="en-US" w:eastAsia="zh-CN"/>
              </w:rPr>
              <w:t>Antidyslipidemic medication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2B60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1.790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0BC9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61E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1.338 </w:t>
            </w:r>
          </w:p>
        </w:tc>
      </w:tr>
      <w:tr w14:paraId="04EA95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80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631B7686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Arial" w:hAnsi="Arial" w:cs="Arial"/>
                <w:b w:val="0"/>
                <w:bCs w:val="0"/>
                <w:sz w:val="16"/>
                <w:szCs w:val="16"/>
                <w:lang w:val="en-US" w:eastAsia="zh-CN"/>
              </w:rPr>
              <w:t>Cardiovascular medications</w:t>
            </w:r>
          </w:p>
        </w:tc>
        <w:tc>
          <w:tcPr>
            <w:tcW w:w="1170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ED6FA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1.139 </w:t>
            </w:r>
          </w:p>
        </w:tc>
        <w:tc>
          <w:tcPr>
            <w:tcW w:w="987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7FD00C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0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2C035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1.067 </w:t>
            </w:r>
          </w:p>
        </w:tc>
      </w:tr>
    </w:tbl>
    <w:p w14:paraId="1936102C">
      <w:pPr>
        <w:widowControl/>
        <w:rPr>
          <w:rFonts w:hint="default" w:ascii="Arial" w:hAnsi="Arial" w:cs="Arial"/>
          <w:sz w:val="13"/>
          <w:szCs w:val="13"/>
        </w:rPr>
      </w:pPr>
      <w:r>
        <w:rPr>
          <w:rFonts w:hint="default" w:ascii="Arial" w:hAnsi="Arial" w:cs="Arial"/>
          <w:sz w:val="13"/>
          <w:szCs w:val="13"/>
        </w:rPr>
        <w:t>Note: Variables with a GVIF greater than 5 or with an adjusted GVIF (GVIF^(1/(2*Df))) greater than 2 were considered collinear and were excluded from the multiple regression model</w:t>
      </w:r>
    </w:p>
    <w:p w14:paraId="4FCB6471">
      <w:pPr>
        <w:widowControl/>
        <w:rPr>
          <w:rFonts w:hint="default" w:ascii="Arial" w:hAnsi="Arial" w:eastAsia="等线" w:cs="Arial"/>
          <w:b/>
          <w:bCs/>
          <w:color w:val="000000"/>
          <w:kern w:val="0"/>
          <w:sz w:val="13"/>
          <w:szCs w:val="13"/>
        </w:rPr>
      </w:pPr>
    </w:p>
    <w:p w14:paraId="1F3FE08E">
      <w:pPr>
        <w:widowControl/>
        <w:rPr>
          <w:rFonts w:hint="default" w:ascii="Arial" w:hAnsi="Arial" w:eastAsia="等线" w:cs="Arial"/>
          <w:b/>
          <w:bCs/>
          <w:color w:val="000000"/>
          <w:kern w:val="0"/>
          <w:sz w:val="13"/>
          <w:szCs w:val="13"/>
        </w:rPr>
      </w:pPr>
    </w:p>
    <w:p w14:paraId="3AE645AF">
      <w:pPr>
        <w:widowControl/>
        <w:rPr>
          <w:rFonts w:hint="default" w:ascii="Arial" w:hAnsi="Arial" w:eastAsia="等线" w:cs="Arial"/>
          <w:b/>
          <w:bCs/>
          <w:color w:val="000000"/>
          <w:kern w:val="0"/>
          <w:sz w:val="16"/>
          <w:szCs w:val="16"/>
        </w:rPr>
      </w:pPr>
      <w:r>
        <w:rPr>
          <w:rFonts w:hint="default" w:ascii="Arial" w:hAnsi="Arial" w:cs="Arial"/>
          <w:b/>
          <w:bCs/>
          <w:i w:val="0"/>
          <w:iCs w:val="0"/>
          <w:color w:val="000000"/>
          <w:sz w:val="16"/>
          <w:szCs w:val="16"/>
          <w:u w:val="none"/>
          <w:lang w:val="en-US" w:eastAsia="zh-CN"/>
        </w:rPr>
        <w:t>Table S</w:t>
      </w:r>
      <w:r>
        <w:rPr>
          <w:rFonts w:hint="eastAsia" w:ascii="Arial" w:hAnsi="Arial" w:cs="Arial"/>
          <w:b/>
          <w:bCs/>
          <w:i w:val="0"/>
          <w:iCs w:val="0"/>
          <w:color w:val="000000"/>
          <w:sz w:val="16"/>
          <w:szCs w:val="16"/>
          <w:u w:val="none"/>
          <w:lang w:val="en-US" w:eastAsia="zh-CN"/>
        </w:rPr>
        <w:t>2</w:t>
      </w:r>
      <w:r>
        <w:rPr>
          <w:rFonts w:hint="default" w:ascii="Arial" w:hAnsi="Arial" w:cs="Arial"/>
          <w:b/>
          <w:bCs/>
          <w:i w:val="0"/>
          <w:iCs w:val="0"/>
          <w:color w:val="000000"/>
          <w:sz w:val="16"/>
          <w:szCs w:val="16"/>
          <w:u w:val="none"/>
          <w:lang w:val="en-US" w:eastAsia="zh-CN"/>
        </w:rPr>
        <w:t xml:space="preserve">  </w:t>
      </w:r>
      <w:r>
        <w:rPr>
          <w:rFonts w:hint="default" w:ascii="Arial" w:hAnsi="Arial" w:cs="Arial"/>
          <w:sz w:val="16"/>
          <w:szCs w:val="16"/>
        </w:rPr>
        <w:t xml:space="preserve">Multicollinearity analysis in the </w:t>
      </w:r>
      <w:r>
        <w:rPr>
          <w:rFonts w:hint="eastAsia" w:ascii="Arial" w:hAnsi="Arial" w:cs="Arial"/>
          <w:sz w:val="16"/>
          <w:szCs w:val="16"/>
          <w:lang w:val="en-US" w:eastAsia="zh-CN"/>
        </w:rPr>
        <w:t>a</w:t>
      </w:r>
      <w:r>
        <w:rPr>
          <w:rFonts w:hint="default" w:ascii="Arial" w:hAnsi="Arial" w:cs="Arial"/>
          <w:sz w:val="16"/>
          <w:szCs w:val="16"/>
        </w:rPr>
        <w:t xml:space="preserve">ssociation </w:t>
      </w:r>
      <w:r>
        <w:rPr>
          <w:rFonts w:hint="eastAsia" w:ascii="Arial" w:hAnsi="Arial" w:cs="Arial"/>
          <w:sz w:val="16"/>
          <w:szCs w:val="16"/>
          <w:lang w:val="en-US" w:eastAsia="zh-CN"/>
        </w:rPr>
        <w:t>a</w:t>
      </w:r>
      <w:r>
        <w:rPr>
          <w:rFonts w:hint="default" w:ascii="Arial" w:hAnsi="Arial" w:cs="Arial"/>
          <w:sz w:val="16"/>
          <w:szCs w:val="16"/>
        </w:rPr>
        <w:t xml:space="preserve">nalysis </w:t>
      </w:r>
      <w:r>
        <w:rPr>
          <w:rFonts w:hint="eastAsia" w:ascii="Arial" w:hAnsi="Arial" w:cs="Arial"/>
          <w:sz w:val="16"/>
          <w:szCs w:val="16"/>
          <w:lang w:val="en-US" w:eastAsia="zh-CN"/>
        </w:rPr>
        <w:t>b</w:t>
      </w:r>
      <w:r>
        <w:rPr>
          <w:rFonts w:hint="default" w:ascii="Arial" w:hAnsi="Arial" w:cs="Arial"/>
          <w:sz w:val="16"/>
          <w:szCs w:val="16"/>
        </w:rPr>
        <w:t xml:space="preserve">etween </w:t>
      </w:r>
      <w:r>
        <w:rPr>
          <w:rFonts w:hint="eastAsia" w:ascii="Arial" w:hAnsi="Arial" w:cs="Arial"/>
          <w:sz w:val="16"/>
          <w:szCs w:val="16"/>
          <w:lang w:val="en-US" w:eastAsia="zh-CN"/>
        </w:rPr>
        <w:t>TyG</w:t>
      </w:r>
      <w:r>
        <w:rPr>
          <w:rFonts w:hint="default" w:ascii="Arial" w:hAnsi="Arial" w:cs="Arial"/>
          <w:sz w:val="16"/>
          <w:szCs w:val="16"/>
        </w:rPr>
        <w:t xml:space="preserve"> and CMM.</w:t>
      </w:r>
    </w:p>
    <w:tbl>
      <w:tblPr>
        <w:tblStyle w:val="2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8"/>
        <w:gridCol w:w="1995"/>
        <w:gridCol w:w="1683"/>
        <w:gridCol w:w="1983"/>
      </w:tblGrid>
      <w:tr w14:paraId="2F08431B">
        <w:trPr>
          <w:trHeight w:val="285" w:hRule="atLeast"/>
        </w:trPr>
        <w:tc>
          <w:tcPr>
            <w:tcW w:w="1677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04C00917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Variables</w:t>
            </w:r>
          </w:p>
        </w:tc>
        <w:tc>
          <w:tcPr>
            <w:tcW w:w="1170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431B7F66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GVIF</w:t>
            </w:r>
          </w:p>
        </w:tc>
        <w:tc>
          <w:tcPr>
            <w:tcW w:w="987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0DAF36C7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Df</w:t>
            </w:r>
          </w:p>
        </w:tc>
        <w:tc>
          <w:tcPr>
            <w:tcW w:w="1163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7AC2492D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GVIF^(1/(2*Df))</w:t>
            </w:r>
          </w:p>
        </w:tc>
      </w:tr>
      <w:tr w14:paraId="3F8C4A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BC479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TyG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4F4F2B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1.469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B1B90B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77D752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1.212 </w:t>
            </w:r>
          </w:p>
        </w:tc>
      </w:tr>
      <w:tr w14:paraId="16F9E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ACB6CE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Age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7B3E68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1.410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18CA45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8D12BC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1.188 </w:t>
            </w:r>
          </w:p>
        </w:tc>
      </w:tr>
      <w:tr w14:paraId="02B12F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CE90BE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Sex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1DDF5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2.318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8C1C9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6A324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1.522 </w:t>
            </w:r>
          </w:p>
        </w:tc>
      </w:tr>
      <w:tr w14:paraId="456433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706664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Smoking status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8A418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1.847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7263D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04D94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1.359 </w:t>
            </w:r>
          </w:p>
        </w:tc>
      </w:tr>
      <w:tr w14:paraId="6202EE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55B905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Drinking status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B9754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1.478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BEE1B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AFFCD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1.216 </w:t>
            </w:r>
          </w:p>
        </w:tc>
      </w:tr>
      <w:tr w14:paraId="57DBC9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EDE748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Education level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D5AFE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1.374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4D417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BD6AB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1.054 </w:t>
            </w:r>
          </w:p>
        </w:tc>
      </w:tr>
      <w:tr w14:paraId="045BF4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382F11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Marital status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B8612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1.098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3752C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DABCB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1.048 </w:t>
            </w:r>
          </w:p>
        </w:tc>
      </w:tr>
      <w:tr w14:paraId="000B11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A674FB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Residence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71B101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1.102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F3E3ED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A74B1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1.050 </w:t>
            </w:r>
          </w:p>
        </w:tc>
      </w:tr>
      <w:tr w14:paraId="60213A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F0E2D6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SBP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9BD13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2.579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A4D11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FB99F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1.606 </w:t>
            </w:r>
          </w:p>
        </w:tc>
      </w:tr>
      <w:tr w14:paraId="403C26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81C67C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DBP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75797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2.521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BFCF4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CC0DC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1.588 </w:t>
            </w:r>
          </w:p>
        </w:tc>
      </w:tr>
      <w:tr w14:paraId="60F3ED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89C202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TC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71EB6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3.806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50F4E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1C2B7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1.951 </w:t>
            </w:r>
          </w:p>
        </w:tc>
      </w:tr>
      <w:tr w14:paraId="1E4849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C9B68E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HDL-C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FEBF7B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1.425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2D601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94B6F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1.194 </w:t>
            </w:r>
          </w:p>
        </w:tc>
      </w:tr>
      <w:tr w14:paraId="20142A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6D55D1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LDL-C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0584A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3.432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9E64C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12585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1.853 </w:t>
            </w:r>
          </w:p>
        </w:tc>
      </w:tr>
      <w:tr w14:paraId="711D7C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4A1504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hs-CRP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F22E0A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1.012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96493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D536A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1.006 </w:t>
            </w:r>
          </w:p>
        </w:tc>
      </w:tr>
      <w:tr w14:paraId="7A39C0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867613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6301E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2.464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52DB6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A1B0B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1.570 </w:t>
            </w:r>
          </w:p>
        </w:tc>
      </w:tr>
      <w:tr w14:paraId="7D5B23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EB5D16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Dyslipidemia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F9D6A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1.844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6F956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2C2135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1.358 </w:t>
            </w:r>
          </w:p>
        </w:tc>
      </w:tr>
      <w:tr w14:paraId="06407F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9AFDA8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Depression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D23EC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1.096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F11CB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7575B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1.047 </w:t>
            </w:r>
          </w:p>
        </w:tc>
      </w:tr>
      <w:tr w14:paraId="5E04DC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AA408F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Cancer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4DFD8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1.037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7C7F4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62AFD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1.018 </w:t>
            </w:r>
          </w:p>
        </w:tc>
      </w:tr>
      <w:tr w14:paraId="2F92C5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011269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Antihypertensive</w:t>
            </w: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medication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C1047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2.079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3C8B7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A966C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1.442 </w:t>
            </w:r>
          </w:p>
        </w:tc>
      </w:tr>
      <w:tr w14:paraId="42DB4D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F02294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Antidiabetic</w:t>
            </w: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medication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2195E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1.114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9E153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3BF12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1.055 </w:t>
            </w:r>
          </w:p>
        </w:tc>
      </w:tr>
      <w:tr w14:paraId="5F0DD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82C4CB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Antidyslipidemic</w:t>
            </w: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medication</w:t>
            </w:r>
          </w:p>
        </w:tc>
        <w:tc>
          <w:tcPr>
            <w:tcW w:w="11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555B75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1.784 </w:t>
            </w:r>
          </w:p>
        </w:tc>
        <w:tc>
          <w:tcPr>
            <w:tcW w:w="9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3205F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9CC7C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1.336 </w:t>
            </w:r>
          </w:p>
        </w:tc>
      </w:tr>
      <w:tr w14:paraId="044C6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77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3CD02E0F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Cardiovascular medications</w:t>
            </w:r>
          </w:p>
        </w:tc>
        <w:tc>
          <w:tcPr>
            <w:tcW w:w="1170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FE2331B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1.135 </w:t>
            </w:r>
          </w:p>
        </w:tc>
        <w:tc>
          <w:tcPr>
            <w:tcW w:w="987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8A58437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761A14EC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1.065 </w:t>
            </w:r>
          </w:p>
        </w:tc>
      </w:tr>
    </w:tbl>
    <w:p w14:paraId="523DC57D">
      <w:pPr>
        <w:widowControl/>
        <w:rPr>
          <w:rFonts w:hint="default" w:ascii="Arial" w:hAnsi="Arial" w:cs="Arial"/>
          <w:sz w:val="13"/>
          <w:szCs w:val="13"/>
        </w:rPr>
      </w:pPr>
      <w:r>
        <w:rPr>
          <w:rFonts w:hint="default" w:ascii="Arial" w:hAnsi="Arial" w:cs="Arial"/>
          <w:sz w:val="13"/>
          <w:szCs w:val="13"/>
        </w:rPr>
        <w:t>Note: Variables with a GVIF greater than 5 or with an adjusted GVIF (GVIF^(1/(2*Df))) greater than 2 were considered collinear and were excluded from the multiple regression model</w:t>
      </w:r>
    </w:p>
    <w:p w14:paraId="20F886F9">
      <w:pPr>
        <w:widowControl/>
        <w:rPr>
          <w:rFonts w:hint="default" w:ascii="Arial" w:hAnsi="Arial" w:eastAsia="等线" w:cs="Arial"/>
          <w:b/>
          <w:bCs/>
          <w:color w:val="000000"/>
          <w:kern w:val="0"/>
          <w:sz w:val="13"/>
          <w:szCs w:val="13"/>
        </w:rPr>
      </w:pPr>
    </w:p>
    <w:p w14:paraId="0186D2C8">
      <w:pPr>
        <w:widowControl/>
        <w:rPr>
          <w:rFonts w:hint="default" w:ascii="Arial" w:hAnsi="Arial" w:eastAsia="等线" w:cs="Arial"/>
          <w:b/>
          <w:bCs/>
          <w:color w:val="000000"/>
          <w:kern w:val="0"/>
          <w:sz w:val="13"/>
          <w:szCs w:val="13"/>
        </w:rPr>
      </w:pPr>
    </w:p>
    <w:p w14:paraId="1019BBF4">
      <w:pPr>
        <w:widowControl/>
        <w:rPr>
          <w:rFonts w:hint="default" w:ascii="Arial" w:hAnsi="Arial" w:eastAsia="等线" w:cs="Arial"/>
          <w:b/>
          <w:bCs/>
          <w:color w:val="000000"/>
          <w:kern w:val="0"/>
          <w:sz w:val="16"/>
          <w:szCs w:val="16"/>
        </w:rPr>
      </w:pPr>
      <w:r>
        <w:rPr>
          <w:rFonts w:hint="default" w:ascii="Arial" w:hAnsi="Arial" w:cs="Arial"/>
          <w:b/>
          <w:bCs/>
          <w:i w:val="0"/>
          <w:iCs w:val="0"/>
          <w:color w:val="000000"/>
          <w:sz w:val="16"/>
          <w:szCs w:val="16"/>
          <w:u w:val="none"/>
          <w:lang w:val="en-US" w:eastAsia="zh-CN"/>
        </w:rPr>
        <w:t>Table S</w:t>
      </w:r>
      <w:r>
        <w:rPr>
          <w:rFonts w:hint="eastAsia" w:ascii="Arial" w:hAnsi="Arial" w:cs="Arial"/>
          <w:b/>
          <w:bCs/>
          <w:i w:val="0"/>
          <w:iCs w:val="0"/>
          <w:color w:val="000000"/>
          <w:sz w:val="16"/>
          <w:szCs w:val="16"/>
          <w:u w:val="none"/>
          <w:lang w:val="en-US" w:eastAsia="zh-CN"/>
        </w:rPr>
        <w:t>3</w:t>
      </w:r>
      <w:r>
        <w:rPr>
          <w:rFonts w:hint="default" w:ascii="Arial" w:hAnsi="Arial" w:cs="Arial"/>
          <w:b/>
          <w:bCs/>
          <w:i w:val="0"/>
          <w:iCs w:val="0"/>
          <w:color w:val="000000"/>
          <w:sz w:val="16"/>
          <w:szCs w:val="16"/>
          <w:u w:val="none"/>
          <w:lang w:val="en-US" w:eastAsia="zh-CN"/>
        </w:rPr>
        <w:t xml:space="preserve">  </w:t>
      </w:r>
      <w:r>
        <w:rPr>
          <w:rFonts w:hint="default" w:ascii="Arial" w:hAnsi="Arial" w:cs="Arial"/>
          <w:sz w:val="16"/>
          <w:szCs w:val="16"/>
        </w:rPr>
        <w:t xml:space="preserve">Multicollinearity analysis in the </w:t>
      </w:r>
      <w:r>
        <w:rPr>
          <w:rFonts w:hint="eastAsia" w:ascii="Arial" w:hAnsi="Arial" w:cs="Arial"/>
          <w:sz w:val="16"/>
          <w:szCs w:val="16"/>
          <w:lang w:val="en-US" w:eastAsia="zh-CN"/>
        </w:rPr>
        <w:t>a</w:t>
      </w:r>
      <w:r>
        <w:rPr>
          <w:rFonts w:hint="default" w:ascii="Arial" w:hAnsi="Arial" w:cs="Arial"/>
          <w:sz w:val="16"/>
          <w:szCs w:val="16"/>
        </w:rPr>
        <w:t xml:space="preserve">ssociation </w:t>
      </w:r>
      <w:r>
        <w:rPr>
          <w:rFonts w:hint="eastAsia" w:ascii="Arial" w:hAnsi="Arial" w:cs="Arial"/>
          <w:sz w:val="16"/>
          <w:szCs w:val="16"/>
          <w:lang w:val="en-US" w:eastAsia="zh-CN"/>
        </w:rPr>
        <w:t>a</w:t>
      </w:r>
      <w:r>
        <w:rPr>
          <w:rFonts w:hint="default" w:ascii="Arial" w:hAnsi="Arial" w:cs="Arial"/>
          <w:sz w:val="16"/>
          <w:szCs w:val="16"/>
        </w:rPr>
        <w:t xml:space="preserve">nalysis </w:t>
      </w:r>
      <w:r>
        <w:rPr>
          <w:rFonts w:hint="eastAsia" w:ascii="Arial" w:hAnsi="Arial" w:cs="Arial"/>
          <w:sz w:val="16"/>
          <w:szCs w:val="16"/>
          <w:lang w:val="en-US" w:eastAsia="zh-CN"/>
        </w:rPr>
        <w:t>b</w:t>
      </w:r>
      <w:r>
        <w:rPr>
          <w:rFonts w:hint="default" w:ascii="Arial" w:hAnsi="Arial" w:cs="Arial"/>
          <w:sz w:val="16"/>
          <w:szCs w:val="16"/>
        </w:rPr>
        <w:t>etween</w:t>
      </w:r>
      <w:r>
        <w:rPr>
          <w:rFonts w:hint="eastAsia" w:ascii="Arial" w:hAnsi="Arial" w:cs="Arial"/>
          <w:sz w:val="16"/>
          <w:szCs w:val="16"/>
          <w:lang w:val="en-US" w:eastAsia="zh-CN"/>
        </w:rPr>
        <w:t xml:space="preserve"> eGDR</w:t>
      </w:r>
      <w:r>
        <w:rPr>
          <w:rFonts w:hint="default" w:ascii="Arial" w:hAnsi="Arial" w:cs="Arial"/>
          <w:sz w:val="16"/>
          <w:szCs w:val="16"/>
        </w:rPr>
        <w:t xml:space="preserve"> and CMM</w:t>
      </w:r>
    </w:p>
    <w:tbl>
      <w:tblPr>
        <w:tblStyle w:val="2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3"/>
        <w:gridCol w:w="2006"/>
        <w:gridCol w:w="1677"/>
        <w:gridCol w:w="1983"/>
      </w:tblGrid>
      <w:tr w14:paraId="1D4DBA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74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14065822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  <w:t>Variables</w:t>
            </w:r>
          </w:p>
        </w:tc>
        <w:tc>
          <w:tcPr>
            <w:tcW w:w="1177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71610700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  <w:t>GVIF</w:t>
            </w:r>
          </w:p>
        </w:tc>
        <w:tc>
          <w:tcPr>
            <w:tcW w:w="984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6DCAEECE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  <w:t>Df</w:t>
            </w:r>
          </w:p>
        </w:tc>
        <w:tc>
          <w:tcPr>
            <w:tcW w:w="1163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3D9C9EEF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  <w:t>GVIF^(1/(2*Df))</w:t>
            </w:r>
          </w:p>
        </w:tc>
      </w:tr>
      <w:tr w14:paraId="1AE0C4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8872C1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>eGDR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1F1855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1.691 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E441E5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7B9DB0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1.300 </w:t>
            </w:r>
          </w:p>
        </w:tc>
      </w:tr>
      <w:tr w14:paraId="482A42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B45663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  <w:t>Age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622C8F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1.412 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953F5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030BE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1.188 </w:t>
            </w:r>
          </w:p>
        </w:tc>
      </w:tr>
      <w:tr w14:paraId="588EA2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A42A08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  <w:t>Sex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110E5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2.332 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67F4A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54861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1.527 </w:t>
            </w:r>
          </w:p>
        </w:tc>
      </w:tr>
      <w:tr w14:paraId="15FFB5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7D3649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  <w:t>Smoking status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2F2B1C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1.849 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EC0B6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61290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1.360 </w:t>
            </w:r>
          </w:p>
        </w:tc>
      </w:tr>
      <w:tr w14:paraId="1FB662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3C17A8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  <w:t>Drinking status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6D81A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1.485 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63EB0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CD2A1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1.219 </w:t>
            </w:r>
          </w:p>
        </w:tc>
      </w:tr>
      <w:tr w14:paraId="02CE2C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6B41FF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  <w:t>Education level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C15E6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1.378 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E517F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>3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3E2C1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1.055 </w:t>
            </w:r>
          </w:p>
        </w:tc>
      </w:tr>
      <w:tr w14:paraId="610EBC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BC1630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  <w:t>Marital status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7B3EB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1.099 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4DFAC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0B5DD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1.048 </w:t>
            </w:r>
          </w:p>
        </w:tc>
      </w:tr>
      <w:tr w14:paraId="02F06F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F900F9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  <w:t>Residence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3AA0B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1.102 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3ED94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F82C1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1.050 </w:t>
            </w:r>
          </w:p>
        </w:tc>
      </w:tr>
      <w:tr w14:paraId="518DDC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4BB06A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  <w:t>SBP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CB17A7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2.516 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1E377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5BADD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1.586 </w:t>
            </w:r>
          </w:p>
        </w:tc>
      </w:tr>
      <w:tr w14:paraId="717D54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51287C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  <w:t>DBP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DCE2E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2.465 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C3BB5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90E2A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1.570 </w:t>
            </w:r>
          </w:p>
        </w:tc>
      </w:tr>
      <w:tr w14:paraId="720B7A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F98A58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  <w:t>TC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B9132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3.094 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86D29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91E19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1.759 </w:t>
            </w:r>
          </w:p>
        </w:tc>
      </w:tr>
      <w:tr w14:paraId="0F2555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2A0323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  <w:t>HDL-C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42AE1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1.150 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BD01F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EBB4C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1.072 </w:t>
            </w:r>
          </w:p>
        </w:tc>
      </w:tr>
      <w:tr w14:paraId="11A9BE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045A8F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  <w:t>LDL-C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5A5DA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3.035 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68175A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9C26E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1.742 </w:t>
            </w:r>
          </w:p>
        </w:tc>
      </w:tr>
      <w:tr w14:paraId="53C380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3EE4FF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  <w:t>hs-CRP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FC681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1.012 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E43F0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FEFA3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1.006 </w:t>
            </w:r>
          </w:p>
        </w:tc>
      </w:tr>
      <w:tr w14:paraId="1ABD10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8FFD78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  <w:t>Hypertension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D96F1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2.940 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A1494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7CE4A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1.715 </w:t>
            </w:r>
          </w:p>
        </w:tc>
      </w:tr>
      <w:tr w14:paraId="14467D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B2310F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  <w:t>Dyslipidemia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DD011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1.842 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1DA32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A542D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1.357 </w:t>
            </w:r>
          </w:p>
        </w:tc>
      </w:tr>
      <w:tr w14:paraId="14801E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5DA546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  <w:t>Depression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AD49A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1.101 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41F5D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364E1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1.049 </w:t>
            </w:r>
          </w:p>
        </w:tc>
      </w:tr>
      <w:tr w14:paraId="195491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192C56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  <w:t>Cancer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C747E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1.036 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574A7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9EE99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1.018 </w:t>
            </w:r>
          </w:p>
        </w:tc>
      </w:tr>
      <w:tr w14:paraId="7C1A54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7ADCB1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  <w:t>Antihypertensive</w:t>
            </w: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  <w:t>medication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ADDAA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2.076 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85BC8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72335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1.441 </w:t>
            </w:r>
          </w:p>
        </w:tc>
      </w:tr>
      <w:tr w14:paraId="503E86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09FC06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  <w:t>Antidiabetic</w:t>
            </w: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  <w:t>medication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389BD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1.115 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93C97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930F7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1.056 </w:t>
            </w:r>
          </w:p>
        </w:tc>
      </w:tr>
      <w:tr w14:paraId="35689F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50693F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  <w:t>Antidyslipidemic</w:t>
            </w: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  <w:t>medication</w:t>
            </w:r>
          </w:p>
        </w:tc>
        <w:tc>
          <w:tcPr>
            <w:tcW w:w="1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D8CE2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1.781 </w:t>
            </w:r>
          </w:p>
        </w:tc>
        <w:tc>
          <w:tcPr>
            <w:tcW w:w="9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D6E9C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925AA3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1.335 </w:t>
            </w:r>
          </w:p>
        </w:tc>
      </w:tr>
      <w:tr w14:paraId="2C171C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74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75D08DBF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  <w:t>Cardiovascular medications</w:t>
            </w:r>
          </w:p>
        </w:tc>
        <w:tc>
          <w:tcPr>
            <w:tcW w:w="1177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AE33D51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1.139 </w:t>
            </w:r>
          </w:p>
        </w:tc>
        <w:tc>
          <w:tcPr>
            <w:tcW w:w="984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2F189D09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CFEAA40">
            <w:pPr>
              <w:widowControl/>
              <w:jc w:val="left"/>
              <w:rPr>
                <w:rFonts w:hint="default" w:ascii="Arial" w:hAnsi="Arial" w:cs="Arial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cs="Arial"/>
                <w:sz w:val="16"/>
                <w:szCs w:val="16"/>
                <w:lang w:val="en-US" w:eastAsia="zh-CN"/>
              </w:rPr>
              <w:t xml:space="preserve">1.067 </w:t>
            </w:r>
          </w:p>
        </w:tc>
      </w:tr>
    </w:tbl>
    <w:p w14:paraId="39D4B852">
      <w:pPr>
        <w:widowControl/>
        <w:rPr>
          <w:rFonts w:hint="default" w:ascii="Arial" w:hAnsi="Arial" w:cs="Arial"/>
          <w:sz w:val="13"/>
          <w:szCs w:val="13"/>
        </w:rPr>
      </w:pPr>
      <w:r>
        <w:rPr>
          <w:rFonts w:hint="default" w:ascii="Arial" w:hAnsi="Arial" w:cs="Arial"/>
          <w:sz w:val="13"/>
          <w:szCs w:val="13"/>
        </w:rPr>
        <w:t>Note: Variables with a GVIF greater than 5 or with an adjusted GVIF (GVIF^(1/(2*Df))) greater than 2 were considered collinear and were excluded from the multiple regression model</w:t>
      </w:r>
    </w:p>
    <w:p w14:paraId="67F75B9C">
      <w:pPr>
        <w:widowControl/>
        <w:rPr>
          <w:rFonts w:hint="default" w:ascii="Arial" w:hAnsi="Arial" w:eastAsia="等线" w:cs="Arial"/>
          <w:b/>
          <w:bCs/>
          <w:color w:val="000000"/>
          <w:kern w:val="0"/>
          <w:sz w:val="13"/>
          <w:szCs w:val="13"/>
        </w:rPr>
      </w:pPr>
    </w:p>
    <w:p w14:paraId="64902EBB">
      <w:pPr>
        <w:widowControl/>
        <w:rPr>
          <w:rFonts w:hint="default" w:ascii="Arial" w:hAnsi="Arial" w:eastAsia="等线" w:cs="Arial"/>
          <w:b/>
          <w:bCs/>
          <w:color w:val="000000"/>
          <w:kern w:val="0"/>
          <w:sz w:val="16"/>
          <w:szCs w:val="16"/>
        </w:rPr>
      </w:pPr>
      <w:r>
        <w:rPr>
          <w:rFonts w:hint="default" w:ascii="Arial" w:hAnsi="Arial" w:cs="Arial"/>
          <w:b/>
          <w:bCs/>
          <w:i w:val="0"/>
          <w:iCs w:val="0"/>
          <w:color w:val="000000"/>
          <w:sz w:val="16"/>
          <w:szCs w:val="16"/>
          <w:u w:val="none"/>
          <w:lang w:val="en-US" w:eastAsia="zh-CN"/>
        </w:rPr>
        <w:t>Table S</w:t>
      </w:r>
      <w:r>
        <w:rPr>
          <w:rFonts w:hint="eastAsia" w:ascii="Arial" w:hAnsi="Arial" w:cs="Arial"/>
          <w:b/>
          <w:bCs/>
          <w:i w:val="0"/>
          <w:iCs w:val="0"/>
          <w:color w:val="000000"/>
          <w:sz w:val="16"/>
          <w:szCs w:val="16"/>
          <w:u w:val="none"/>
          <w:lang w:val="en-US" w:eastAsia="zh-CN"/>
        </w:rPr>
        <w:t>4</w:t>
      </w:r>
      <w:r>
        <w:rPr>
          <w:rFonts w:hint="default" w:ascii="Arial" w:hAnsi="Arial" w:cs="Arial"/>
          <w:b/>
          <w:bCs/>
          <w:i w:val="0"/>
          <w:iCs w:val="0"/>
          <w:color w:val="000000"/>
          <w:sz w:val="16"/>
          <w:szCs w:val="16"/>
          <w:u w:val="none"/>
          <w:lang w:val="en-US" w:eastAsia="zh-CN"/>
        </w:rPr>
        <w:t xml:space="preserve">  </w:t>
      </w:r>
      <w:r>
        <w:rPr>
          <w:rFonts w:hint="default" w:ascii="Arial" w:hAnsi="Arial" w:cs="Arial"/>
          <w:sz w:val="16"/>
          <w:szCs w:val="16"/>
        </w:rPr>
        <w:t xml:space="preserve">Multicollinearity analysis in the </w:t>
      </w:r>
      <w:r>
        <w:rPr>
          <w:rFonts w:hint="eastAsia" w:ascii="Arial" w:hAnsi="Arial" w:cs="Arial"/>
          <w:sz w:val="16"/>
          <w:szCs w:val="16"/>
          <w:lang w:val="en-US" w:eastAsia="zh-CN"/>
        </w:rPr>
        <w:t>a</w:t>
      </w:r>
      <w:r>
        <w:rPr>
          <w:rFonts w:hint="default" w:ascii="Arial" w:hAnsi="Arial" w:cs="Arial"/>
          <w:sz w:val="16"/>
          <w:szCs w:val="16"/>
        </w:rPr>
        <w:t xml:space="preserve">ssociation </w:t>
      </w:r>
      <w:r>
        <w:rPr>
          <w:rFonts w:hint="eastAsia" w:ascii="Arial" w:hAnsi="Arial" w:cs="Arial"/>
          <w:sz w:val="16"/>
          <w:szCs w:val="16"/>
          <w:lang w:val="en-US" w:eastAsia="zh-CN"/>
        </w:rPr>
        <w:t>a</w:t>
      </w:r>
      <w:r>
        <w:rPr>
          <w:rFonts w:hint="default" w:ascii="Arial" w:hAnsi="Arial" w:cs="Arial"/>
          <w:sz w:val="16"/>
          <w:szCs w:val="16"/>
        </w:rPr>
        <w:t xml:space="preserve">nalysis </w:t>
      </w:r>
      <w:r>
        <w:rPr>
          <w:rFonts w:hint="eastAsia" w:ascii="Arial" w:hAnsi="Arial" w:cs="Arial"/>
          <w:sz w:val="16"/>
          <w:szCs w:val="16"/>
          <w:lang w:val="en-US" w:eastAsia="zh-CN"/>
        </w:rPr>
        <w:t>b</w:t>
      </w:r>
      <w:r>
        <w:rPr>
          <w:rFonts w:hint="default" w:ascii="Arial" w:hAnsi="Arial" w:cs="Arial"/>
          <w:sz w:val="16"/>
          <w:szCs w:val="16"/>
        </w:rPr>
        <w:t>etween</w:t>
      </w:r>
      <w:r>
        <w:rPr>
          <w:rFonts w:hint="eastAsia" w:ascii="Arial" w:hAnsi="Arial" w:cs="Arial"/>
          <w:sz w:val="16"/>
          <w:szCs w:val="16"/>
          <w:lang w:val="en-US" w:eastAsia="zh-CN"/>
        </w:rPr>
        <w:t xml:space="preserve"> METS-IR </w:t>
      </w:r>
      <w:r>
        <w:rPr>
          <w:rFonts w:hint="default" w:ascii="Arial" w:hAnsi="Arial" w:cs="Arial"/>
          <w:sz w:val="16"/>
          <w:szCs w:val="16"/>
        </w:rPr>
        <w:t>and CMM</w:t>
      </w:r>
    </w:p>
    <w:tbl>
      <w:tblPr>
        <w:tblStyle w:val="2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8"/>
        <w:gridCol w:w="2016"/>
        <w:gridCol w:w="1662"/>
        <w:gridCol w:w="1993"/>
      </w:tblGrid>
      <w:tr w14:paraId="68B9FE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71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1854EBB4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Variables</w:t>
            </w:r>
          </w:p>
        </w:tc>
        <w:tc>
          <w:tcPr>
            <w:tcW w:w="1183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192F1A50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GVIF</w:t>
            </w:r>
          </w:p>
        </w:tc>
        <w:tc>
          <w:tcPr>
            <w:tcW w:w="975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2CF61ADC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Df</w:t>
            </w:r>
          </w:p>
        </w:tc>
        <w:tc>
          <w:tcPr>
            <w:tcW w:w="1169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09A1C49B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GVIF^(1/(2*Df))</w:t>
            </w:r>
          </w:p>
        </w:tc>
      </w:tr>
      <w:tr w14:paraId="5D7078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A11D21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METS-IR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1A6760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</w:t>
            </w:r>
            <w:r>
              <w:rPr>
                <w:rFonts w:hint="eastAsia" w:ascii="Arial" w:hAnsi="Arial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600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976F7E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6A4316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1.</w:t>
            </w:r>
            <w:r>
              <w:rPr>
                <w:rFonts w:hint="eastAsia" w:ascii="Arial" w:hAnsi="Arial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265</w:t>
            </w:r>
          </w:p>
        </w:tc>
      </w:tr>
      <w:tr w14:paraId="206F7A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2C1F38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Age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9CDBA9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1.411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32E3E8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65AA89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1.188 </w:t>
            </w:r>
          </w:p>
        </w:tc>
      </w:tr>
      <w:tr w14:paraId="11F9A1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BED056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Sex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66074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2.316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02EB0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653E9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1.522 </w:t>
            </w:r>
          </w:p>
        </w:tc>
      </w:tr>
      <w:tr w14:paraId="7E89A8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DBF86A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Smoking status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4F9BA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1.849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6F502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BA3DE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1.360 </w:t>
            </w:r>
          </w:p>
        </w:tc>
      </w:tr>
      <w:tr w14:paraId="7AC14C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ABC279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Drinking status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C3974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1.477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D6D37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077293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1.215 </w:t>
            </w:r>
          </w:p>
        </w:tc>
      </w:tr>
      <w:tr w14:paraId="112DD0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CA54E0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Education level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0A64E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1.379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2FB8E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767D7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1.055 </w:t>
            </w:r>
          </w:p>
        </w:tc>
      </w:tr>
      <w:tr w14:paraId="7B2970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EF6683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Marital status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1A026A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1.098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E58B7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12A20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1.048 </w:t>
            </w:r>
          </w:p>
        </w:tc>
      </w:tr>
      <w:tr w14:paraId="13FE9B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DEAD8E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Residence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6C671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1.103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CB95B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4E465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1.050 </w:t>
            </w:r>
          </w:p>
        </w:tc>
      </w:tr>
      <w:tr w14:paraId="23719D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6A54F9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SBP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26751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2.568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75EBA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F536B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1.602 </w:t>
            </w:r>
          </w:p>
        </w:tc>
      </w:tr>
      <w:tr w14:paraId="4D8A0E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8EEBBC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DBP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126FD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2.512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E57B6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AF6758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1.585 </w:t>
            </w:r>
          </w:p>
        </w:tc>
      </w:tr>
      <w:tr w14:paraId="39B44E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A592A0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TC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62B39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3.126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C1F27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CD6A85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1.768 </w:t>
            </w:r>
          </w:p>
        </w:tc>
      </w:tr>
      <w:tr w14:paraId="1A71E4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9DAD63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HDL-C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D8018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1.122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C302B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A6164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1.059 </w:t>
            </w:r>
          </w:p>
        </w:tc>
      </w:tr>
      <w:tr w14:paraId="30599D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3AB5C8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LDL-C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6EE02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3.075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5CA98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32073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1.753 </w:t>
            </w:r>
          </w:p>
        </w:tc>
      </w:tr>
      <w:tr w14:paraId="11DAE6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0521E9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hs-CRP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28101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1.011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BD87C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D7252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1.005 </w:t>
            </w:r>
          </w:p>
        </w:tc>
      </w:tr>
      <w:tr w14:paraId="1E8741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238592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E1E53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2.473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6A76D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505E9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1.573 </w:t>
            </w:r>
          </w:p>
        </w:tc>
      </w:tr>
      <w:tr w14:paraId="03AB24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B34769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Dyslipidemia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73C46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1.847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B1211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1B7922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1.359 </w:t>
            </w:r>
          </w:p>
        </w:tc>
      </w:tr>
      <w:tr w14:paraId="28C9AB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32A5D5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Depression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9CD1B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1.097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4E5E2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89623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1.047 </w:t>
            </w:r>
          </w:p>
        </w:tc>
      </w:tr>
      <w:tr w14:paraId="08B01A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E94FD0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Cancer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8AE2D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1.037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8363F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1B3DD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1.018 </w:t>
            </w:r>
          </w:p>
        </w:tc>
      </w:tr>
      <w:tr w14:paraId="4D918B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0BC988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Antihypertensive</w:t>
            </w: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medication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B94C8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2.082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FEAE2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C1545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1.443 </w:t>
            </w:r>
          </w:p>
        </w:tc>
      </w:tr>
      <w:tr w14:paraId="12BA37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493261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Antidiabetic</w:t>
            </w: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medication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04C2F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1.114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6E050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B3268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1.055 </w:t>
            </w:r>
          </w:p>
        </w:tc>
      </w:tr>
      <w:tr w14:paraId="4D11D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7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E22722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Antidyslipidemic</w:t>
            </w: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medication</w:t>
            </w:r>
          </w:p>
        </w:tc>
        <w:tc>
          <w:tcPr>
            <w:tcW w:w="11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8AA4E3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1.790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62071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23236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1.338 </w:t>
            </w:r>
          </w:p>
        </w:tc>
      </w:tr>
      <w:tr w14:paraId="43A51A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71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487CE563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Cardiovascular medications</w:t>
            </w:r>
          </w:p>
        </w:tc>
        <w:tc>
          <w:tcPr>
            <w:tcW w:w="1183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776B780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1.144 </w:t>
            </w:r>
          </w:p>
        </w:tc>
        <w:tc>
          <w:tcPr>
            <w:tcW w:w="975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4497F073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5577C9F">
            <w:pPr>
              <w:widowControl/>
              <w:jc w:val="left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1.069 </w:t>
            </w:r>
          </w:p>
        </w:tc>
      </w:tr>
    </w:tbl>
    <w:p w14:paraId="3990CAAA">
      <w:pPr>
        <w:widowControl/>
        <w:rPr>
          <w:rFonts w:hint="default" w:ascii="Arial" w:hAnsi="Arial" w:cs="Arial"/>
          <w:sz w:val="13"/>
          <w:szCs w:val="13"/>
        </w:rPr>
      </w:pPr>
      <w:r>
        <w:rPr>
          <w:rFonts w:hint="default" w:ascii="Arial" w:hAnsi="Arial" w:cs="Arial"/>
          <w:sz w:val="13"/>
          <w:szCs w:val="13"/>
        </w:rPr>
        <w:t>Note: Variables with a GVIF greater than 5 or with an adjusted GVIF (GVIF^(1/(2*Df))) greater than 2 were considered collinear and were excluded from the multiple regression model</w:t>
      </w:r>
    </w:p>
    <w:p w14:paraId="656E09C9">
      <w:pPr>
        <w:widowControl/>
        <w:rPr>
          <w:rFonts w:hint="default" w:ascii="Arial" w:hAnsi="Arial" w:eastAsia="等线" w:cs="Arial"/>
          <w:b/>
          <w:bCs/>
          <w:color w:val="000000"/>
          <w:kern w:val="0"/>
          <w:sz w:val="13"/>
          <w:szCs w:val="13"/>
        </w:rPr>
      </w:pPr>
    </w:p>
    <w:p w14:paraId="46DCC966">
      <w:pPr>
        <w:rPr>
          <w:rFonts w:hint="default" w:ascii="Arial" w:hAnsi="Arial" w:eastAsia="等线" w:cs="Arial"/>
          <w:b/>
          <w:bCs/>
          <w:color w:val="000000"/>
          <w:kern w:val="0"/>
          <w:sz w:val="16"/>
          <w:szCs w:val="16"/>
        </w:rPr>
      </w:pPr>
      <w:r>
        <w:rPr>
          <w:rFonts w:hint="default" w:ascii="Arial" w:hAnsi="Arial" w:cs="Arial"/>
          <w:b/>
          <w:bCs/>
          <w:i w:val="0"/>
          <w:iCs w:val="0"/>
          <w:color w:val="000000"/>
          <w:sz w:val="16"/>
          <w:szCs w:val="16"/>
          <w:u w:val="none"/>
          <w:lang w:val="en-US" w:eastAsia="zh-CN"/>
        </w:rPr>
        <w:t>Table S</w:t>
      </w:r>
      <w:r>
        <w:rPr>
          <w:rFonts w:hint="eastAsia" w:ascii="Arial" w:hAnsi="Arial" w:cs="Arial"/>
          <w:b/>
          <w:bCs/>
          <w:i w:val="0"/>
          <w:iCs w:val="0"/>
          <w:color w:val="000000"/>
          <w:sz w:val="16"/>
          <w:szCs w:val="16"/>
          <w:u w:val="none"/>
          <w:lang w:val="en-US" w:eastAsia="zh-CN"/>
        </w:rPr>
        <w:t>5</w:t>
      </w:r>
      <w:r>
        <w:rPr>
          <w:rFonts w:hint="default" w:ascii="Arial" w:hAnsi="Arial" w:cs="Arial"/>
          <w:b/>
          <w:bCs/>
          <w:i w:val="0"/>
          <w:iCs w:val="0"/>
          <w:color w:val="000000"/>
          <w:sz w:val="16"/>
          <w:szCs w:val="16"/>
          <w:u w:val="none"/>
          <w:lang w:val="en-US" w:eastAsia="zh-CN"/>
        </w:rPr>
        <w:t xml:space="preserve">  </w:t>
      </w:r>
      <w:r>
        <w:rPr>
          <w:rFonts w:hint="default" w:ascii="Arial" w:hAnsi="Arial" w:cs="Arial"/>
          <w:sz w:val="16"/>
          <w:szCs w:val="16"/>
        </w:rPr>
        <w:t xml:space="preserve">Multicollinearity analysis in the </w:t>
      </w:r>
      <w:r>
        <w:rPr>
          <w:rFonts w:hint="eastAsia" w:ascii="Arial" w:hAnsi="Arial" w:cs="Arial"/>
          <w:sz w:val="16"/>
          <w:szCs w:val="16"/>
          <w:lang w:val="en-US" w:eastAsia="zh-CN"/>
        </w:rPr>
        <w:t>a</w:t>
      </w:r>
      <w:r>
        <w:rPr>
          <w:rFonts w:hint="default" w:ascii="Arial" w:hAnsi="Arial" w:cs="Arial"/>
          <w:sz w:val="16"/>
          <w:szCs w:val="16"/>
        </w:rPr>
        <w:t xml:space="preserve">ssociation </w:t>
      </w:r>
      <w:r>
        <w:rPr>
          <w:rFonts w:hint="eastAsia" w:ascii="Arial" w:hAnsi="Arial" w:cs="Arial"/>
          <w:sz w:val="16"/>
          <w:szCs w:val="16"/>
          <w:lang w:val="en-US" w:eastAsia="zh-CN"/>
        </w:rPr>
        <w:t>a</w:t>
      </w:r>
      <w:r>
        <w:rPr>
          <w:rFonts w:hint="default" w:ascii="Arial" w:hAnsi="Arial" w:cs="Arial"/>
          <w:sz w:val="16"/>
          <w:szCs w:val="16"/>
        </w:rPr>
        <w:t xml:space="preserve">nalysis </w:t>
      </w:r>
      <w:r>
        <w:rPr>
          <w:rFonts w:hint="eastAsia" w:ascii="Arial" w:hAnsi="Arial" w:cs="Arial"/>
          <w:sz w:val="16"/>
          <w:szCs w:val="16"/>
          <w:lang w:val="en-US" w:eastAsia="zh-CN"/>
        </w:rPr>
        <w:t>b</w:t>
      </w:r>
      <w:r>
        <w:rPr>
          <w:rFonts w:hint="default" w:ascii="Arial" w:hAnsi="Arial" w:cs="Arial"/>
          <w:sz w:val="16"/>
          <w:szCs w:val="16"/>
        </w:rPr>
        <w:t xml:space="preserve">etween </w:t>
      </w:r>
      <w:r>
        <w:rPr>
          <w:rFonts w:hint="eastAsia" w:ascii="Arial" w:hAnsi="Arial" w:cs="Arial"/>
          <w:sz w:val="16"/>
          <w:szCs w:val="16"/>
          <w:lang w:val="en-US" w:eastAsia="zh-CN"/>
        </w:rPr>
        <w:t>BMR</w:t>
      </w:r>
      <w:r>
        <w:rPr>
          <w:rFonts w:hint="default" w:ascii="Arial" w:hAnsi="Arial" w:cs="Arial"/>
          <w:sz w:val="16"/>
          <w:szCs w:val="16"/>
        </w:rPr>
        <w:t xml:space="preserve"> with </w:t>
      </w:r>
      <w:r>
        <w:rPr>
          <w:rFonts w:hint="eastAsia" w:ascii="Arial" w:hAnsi="Arial" w:cs="Arial"/>
          <w:sz w:val="16"/>
          <w:szCs w:val="16"/>
          <w:lang w:val="en-US" w:eastAsia="zh-CN"/>
        </w:rPr>
        <w:t>TyG</w:t>
      </w:r>
      <w:r>
        <w:rPr>
          <w:rFonts w:hint="default" w:ascii="Arial" w:hAnsi="Arial" w:cs="Arial"/>
          <w:sz w:val="16"/>
          <w:szCs w:val="16"/>
        </w:rPr>
        <w:t xml:space="preserve"> and CMM</w:t>
      </w:r>
    </w:p>
    <w:tbl>
      <w:tblPr>
        <w:tblStyle w:val="2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6"/>
        <w:gridCol w:w="2033"/>
        <w:gridCol w:w="1662"/>
        <w:gridCol w:w="1988"/>
      </w:tblGrid>
      <w:tr w14:paraId="7B6514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4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462856F5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Variables</w:t>
            </w:r>
          </w:p>
        </w:tc>
        <w:tc>
          <w:tcPr>
            <w:tcW w:w="1193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1626BCDE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GVIF</w:t>
            </w:r>
          </w:p>
        </w:tc>
        <w:tc>
          <w:tcPr>
            <w:tcW w:w="975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73CF5936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Df</w:t>
            </w:r>
          </w:p>
        </w:tc>
        <w:tc>
          <w:tcPr>
            <w:tcW w:w="1166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5613A14A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GVIF^(1/(2*Df))</w:t>
            </w:r>
          </w:p>
        </w:tc>
      </w:tr>
      <w:tr w14:paraId="3FC0CD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DF0AFD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BMR</w:t>
            </w: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 + TyG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055B0F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1.851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1F3225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3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FC5394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1.108 </w:t>
            </w:r>
          </w:p>
        </w:tc>
      </w:tr>
      <w:tr w14:paraId="788926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47622A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Age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205004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1.470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9253F7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23F429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1.213 </w:t>
            </w:r>
          </w:p>
        </w:tc>
      </w:tr>
      <w:tr w14:paraId="4A4B57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B566EF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Sex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0849E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2.314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C2512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2AC1C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1.521 </w:t>
            </w:r>
          </w:p>
        </w:tc>
      </w:tr>
      <w:tr w14:paraId="6CD3A2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90AE38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Smoking status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DB069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1.839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BF550C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C516FC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1.356 </w:t>
            </w:r>
          </w:p>
        </w:tc>
      </w:tr>
      <w:tr w14:paraId="053B7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C51128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Drinking status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9F1AE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1.485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999E7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EA4C9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1.218 </w:t>
            </w:r>
          </w:p>
        </w:tc>
      </w:tr>
      <w:tr w14:paraId="3A8B02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5CD711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Education level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B7FEE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1.379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1ED5C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3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1BD70E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1.055 </w:t>
            </w:r>
          </w:p>
        </w:tc>
      </w:tr>
      <w:tr w14:paraId="3D06BD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4318C9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Marital status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A0BAC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1.101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7C4F4D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43011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1.049 </w:t>
            </w:r>
          </w:p>
        </w:tc>
      </w:tr>
      <w:tr w14:paraId="32EDB5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7C63A7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Residence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DFEFA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1.111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3ECD7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7CC6C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1.054 </w:t>
            </w:r>
          </w:p>
        </w:tc>
      </w:tr>
      <w:tr w14:paraId="2180A3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D37AE0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SBP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40409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2.557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5234B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21DD7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1.599 </w:t>
            </w:r>
          </w:p>
        </w:tc>
      </w:tr>
      <w:tr w14:paraId="2950B6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FE93B0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DBP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5D646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2.518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82A12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83CBD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1.587 </w:t>
            </w:r>
          </w:p>
        </w:tc>
      </w:tr>
      <w:tr w14:paraId="3EB222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D48F8C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TC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843769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3.735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93277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58021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1.933 </w:t>
            </w:r>
          </w:p>
        </w:tc>
      </w:tr>
      <w:tr w14:paraId="0C9186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0CCC59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HDL-C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A84E7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1.469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F6C87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BD588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1.212 </w:t>
            </w:r>
          </w:p>
        </w:tc>
      </w:tr>
      <w:tr w14:paraId="435391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44CEC6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LDL-C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19FCC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3.370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BE060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DB7D4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1.836 </w:t>
            </w:r>
          </w:p>
        </w:tc>
      </w:tr>
      <w:tr w14:paraId="5F2C8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AF4841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hs-CRP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9C43A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1.013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79442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0AC21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1.006 </w:t>
            </w:r>
          </w:p>
        </w:tc>
      </w:tr>
      <w:tr w14:paraId="4AE008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508C55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Hypertension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BF2B92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2.453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6AB4A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94ED0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1.566 </w:t>
            </w:r>
          </w:p>
        </w:tc>
      </w:tr>
      <w:tr w14:paraId="7187EB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670E12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Dyslipidemia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6C43B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1.850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2A128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52632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1.360 </w:t>
            </w:r>
          </w:p>
        </w:tc>
      </w:tr>
      <w:tr w14:paraId="1D5A3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099861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Depression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C3A91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1.104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650E6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02AFF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1.051 </w:t>
            </w:r>
          </w:p>
        </w:tc>
      </w:tr>
      <w:tr w14:paraId="4EE383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2DA698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Cancer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B860EF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1.036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7F985C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C43E6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1.018 </w:t>
            </w:r>
          </w:p>
        </w:tc>
      </w:tr>
      <w:tr w14:paraId="7DF670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C81577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Antihypertensive</w:t>
            </w: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medication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F20A8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2.097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2EA17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8DB6C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1.448 </w:t>
            </w:r>
          </w:p>
        </w:tc>
      </w:tr>
      <w:tr w14:paraId="068F42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08E9B7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Antidiabetic</w:t>
            </w: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medication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E70DA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1.112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AA585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80ECB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1.054 </w:t>
            </w:r>
          </w:p>
        </w:tc>
      </w:tr>
      <w:tr w14:paraId="3DA72E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1AE021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Antidyslipidemic</w:t>
            </w: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medication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B7919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1.781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397EB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1D75D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1.335 </w:t>
            </w:r>
          </w:p>
        </w:tc>
      </w:tr>
      <w:tr w14:paraId="259DFA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4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0345EFB2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Cardiovascular medications</w:t>
            </w:r>
          </w:p>
        </w:tc>
        <w:tc>
          <w:tcPr>
            <w:tcW w:w="1193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FE6B657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1.136 </w:t>
            </w:r>
          </w:p>
        </w:tc>
        <w:tc>
          <w:tcPr>
            <w:tcW w:w="975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7C21E7BB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6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09BBA8F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1.066 </w:t>
            </w:r>
          </w:p>
        </w:tc>
      </w:tr>
    </w:tbl>
    <w:p w14:paraId="1B5783A3">
      <w:pPr>
        <w:widowControl/>
        <w:rPr>
          <w:rFonts w:hint="default" w:ascii="Arial" w:hAnsi="Arial" w:cs="Arial"/>
          <w:sz w:val="13"/>
          <w:szCs w:val="13"/>
        </w:rPr>
      </w:pPr>
      <w:r>
        <w:rPr>
          <w:rFonts w:hint="default" w:ascii="Arial" w:hAnsi="Arial" w:cs="Arial"/>
          <w:sz w:val="13"/>
          <w:szCs w:val="13"/>
        </w:rPr>
        <w:t>Note: Variables with a GVIF greater than 5 or with an adjusted GVIF (GVIF^(1/(2*Df))) greater than 2 were considered collinear and were excluded from the multiple regression model</w:t>
      </w:r>
    </w:p>
    <w:p w14:paraId="312F0CB0">
      <w:pPr>
        <w:widowControl/>
        <w:rPr>
          <w:rFonts w:hint="default" w:ascii="Arial" w:hAnsi="Arial" w:eastAsia="等线" w:cs="Arial"/>
          <w:b/>
          <w:bCs/>
          <w:color w:val="000000"/>
          <w:kern w:val="0"/>
          <w:sz w:val="13"/>
          <w:szCs w:val="13"/>
        </w:rPr>
      </w:pPr>
    </w:p>
    <w:p w14:paraId="614EF9BD">
      <w:pPr>
        <w:rPr>
          <w:rFonts w:hint="default" w:ascii="Arial" w:hAnsi="Arial" w:eastAsia="等线" w:cs="Arial"/>
          <w:b/>
          <w:bCs/>
          <w:color w:val="000000"/>
          <w:kern w:val="0"/>
          <w:sz w:val="16"/>
          <w:szCs w:val="16"/>
        </w:rPr>
      </w:pPr>
      <w:r>
        <w:rPr>
          <w:rFonts w:hint="default" w:ascii="Arial" w:hAnsi="Arial" w:cs="Arial"/>
          <w:b/>
          <w:bCs/>
          <w:i w:val="0"/>
          <w:iCs w:val="0"/>
          <w:color w:val="000000"/>
          <w:sz w:val="16"/>
          <w:szCs w:val="16"/>
          <w:u w:val="none"/>
          <w:lang w:val="en-US" w:eastAsia="zh-CN"/>
        </w:rPr>
        <w:t>Table S</w:t>
      </w:r>
      <w:r>
        <w:rPr>
          <w:rFonts w:hint="eastAsia" w:ascii="Arial" w:hAnsi="Arial" w:cs="Arial"/>
          <w:b/>
          <w:bCs/>
          <w:i w:val="0"/>
          <w:iCs w:val="0"/>
          <w:color w:val="000000"/>
          <w:sz w:val="16"/>
          <w:szCs w:val="16"/>
          <w:u w:val="none"/>
          <w:lang w:val="en-US" w:eastAsia="zh-CN"/>
        </w:rPr>
        <w:t>6</w:t>
      </w:r>
      <w:r>
        <w:rPr>
          <w:rFonts w:hint="default" w:ascii="Arial" w:hAnsi="Arial" w:cs="Arial"/>
          <w:b/>
          <w:bCs/>
          <w:i w:val="0"/>
          <w:iCs w:val="0"/>
          <w:color w:val="000000"/>
          <w:sz w:val="16"/>
          <w:szCs w:val="16"/>
          <w:u w:val="none"/>
          <w:lang w:val="en-US" w:eastAsia="zh-CN"/>
        </w:rPr>
        <w:t xml:space="preserve">  </w:t>
      </w:r>
      <w:r>
        <w:rPr>
          <w:rFonts w:hint="default" w:ascii="Arial" w:hAnsi="Arial" w:cs="Arial"/>
          <w:sz w:val="16"/>
          <w:szCs w:val="16"/>
        </w:rPr>
        <w:t xml:space="preserve">Multicollinearity analysis in the </w:t>
      </w:r>
      <w:r>
        <w:rPr>
          <w:rFonts w:hint="eastAsia" w:ascii="Arial" w:hAnsi="Arial" w:cs="Arial"/>
          <w:sz w:val="16"/>
          <w:szCs w:val="16"/>
          <w:lang w:val="en-US" w:eastAsia="zh-CN"/>
        </w:rPr>
        <w:t>a</w:t>
      </w:r>
      <w:r>
        <w:rPr>
          <w:rFonts w:hint="default" w:ascii="Arial" w:hAnsi="Arial" w:cs="Arial"/>
          <w:sz w:val="16"/>
          <w:szCs w:val="16"/>
        </w:rPr>
        <w:t xml:space="preserve">ssociation </w:t>
      </w:r>
      <w:r>
        <w:rPr>
          <w:rFonts w:hint="eastAsia" w:ascii="Arial" w:hAnsi="Arial" w:cs="Arial"/>
          <w:sz w:val="16"/>
          <w:szCs w:val="16"/>
          <w:lang w:val="en-US" w:eastAsia="zh-CN"/>
        </w:rPr>
        <w:t>a</w:t>
      </w:r>
      <w:r>
        <w:rPr>
          <w:rFonts w:hint="default" w:ascii="Arial" w:hAnsi="Arial" w:cs="Arial"/>
          <w:sz w:val="16"/>
          <w:szCs w:val="16"/>
        </w:rPr>
        <w:t xml:space="preserve">nalysis </w:t>
      </w:r>
      <w:r>
        <w:rPr>
          <w:rFonts w:hint="eastAsia" w:ascii="Arial" w:hAnsi="Arial" w:cs="Arial"/>
          <w:sz w:val="16"/>
          <w:szCs w:val="16"/>
          <w:lang w:val="en-US" w:eastAsia="zh-CN"/>
        </w:rPr>
        <w:t>b</w:t>
      </w:r>
      <w:r>
        <w:rPr>
          <w:rFonts w:hint="default" w:ascii="Arial" w:hAnsi="Arial" w:cs="Arial"/>
          <w:sz w:val="16"/>
          <w:szCs w:val="16"/>
        </w:rPr>
        <w:t xml:space="preserve">etween </w:t>
      </w:r>
      <w:r>
        <w:rPr>
          <w:rFonts w:hint="eastAsia" w:ascii="Arial" w:hAnsi="Arial" w:cs="Arial"/>
          <w:sz w:val="16"/>
          <w:szCs w:val="16"/>
          <w:lang w:val="en-US" w:eastAsia="zh-CN"/>
        </w:rPr>
        <w:t>BMR</w:t>
      </w:r>
      <w:r>
        <w:rPr>
          <w:rFonts w:hint="default" w:ascii="Arial" w:hAnsi="Arial" w:cs="Arial"/>
          <w:sz w:val="16"/>
          <w:szCs w:val="16"/>
        </w:rPr>
        <w:t xml:space="preserve"> with </w:t>
      </w:r>
      <w:r>
        <w:rPr>
          <w:rFonts w:hint="eastAsia" w:ascii="Arial" w:hAnsi="Arial" w:eastAsia="等线" w:cs="Arial"/>
          <w:b w:val="0"/>
          <w:bCs w:val="0"/>
          <w:color w:val="000000"/>
          <w:kern w:val="0"/>
          <w:sz w:val="16"/>
          <w:szCs w:val="16"/>
          <w:lang w:val="en-US" w:eastAsia="zh-CN"/>
        </w:rPr>
        <w:t>eGDR</w:t>
      </w:r>
      <w:r>
        <w:rPr>
          <w:rFonts w:hint="default" w:ascii="Arial" w:hAnsi="Arial" w:cs="Arial"/>
          <w:sz w:val="16"/>
          <w:szCs w:val="16"/>
        </w:rPr>
        <w:t xml:space="preserve"> and CMM</w:t>
      </w:r>
    </w:p>
    <w:tbl>
      <w:tblPr>
        <w:tblStyle w:val="2"/>
        <w:tblW w:w="4999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1"/>
        <w:gridCol w:w="2044"/>
        <w:gridCol w:w="1662"/>
        <w:gridCol w:w="1983"/>
      </w:tblGrid>
      <w:tr w14:paraId="12FA6F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1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01885B98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Variables</w:t>
            </w:r>
          </w:p>
        </w:tc>
        <w:tc>
          <w:tcPr>
            <w:tcW w:w="1199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2A248AE8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GVIF</w:t>
            </w:r>
          </w:p>
        </w:tc>
        <w:tc>
          <w:tcPr>
            <w:tcW w:w="975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56559FC7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Df</w:t>
            </w:r>
          </w:p>
        </w:tc>
        <w:tc>
          <w:tcPr>
            <w:tcW w:w="1163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5D1FA18E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GVIF^(1/(2*Df))</w:t>
            </w:r>
          </w:p>
        </w:tc>
      </w:tr>
      <w:tr w14:paraId="03A8BA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A6344E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BMR</w:t>
            </w: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 + eGDR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7F5F6C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2.141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F0D464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3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8355C3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1.135 </w:t>
            </w:r>
          </w:p>
        </w:tc>
      </w:tr>
      <w:tr w14:paraId="6CDAD5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74BA0C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Age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55E146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1.475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C8B8B9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8FD961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1.214 </w:t>
            </w:r>
          </w:p>
        </w:tc>
      </w:tr>
      <w:tr w14:paraId="709669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6398DE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Sex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DF02B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2.326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B8282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74BAB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1.525 </w:t>
            </w:r>
          </w:p>
        </w:tc>
      </w:tr>
      <w:tr w14:paraId="4236F3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B1F34F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Smoking status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221B9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1.841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2048B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1B284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1.357 </w:t>
            </w:r>
          </w:p>
        </w:tc>
      </w:tr>
      <w:tr w14:paraId="0917EB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0DF28E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Drinking status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304BB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1.491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EFC07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1124FC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1.221 </w:t>
            </w:r>
          </w:p>
        </w:tc>
      </w:tr>
      <w:tr w14:paraId="5D3B85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B06CC9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Education level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DC05A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1.381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E35E7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3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B8770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1.055 </w:t>
            </w:r>
          </w:p>
        </w:tc>
      </w:tr>
      <w:tr w14:paraId="1DCCC5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433962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Marital status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B9B1B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1.100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6B885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1051C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1.049 </w:t>
            </w:r>
          </w:p>
        </w:tc>
      </w:tr>
      <w:tr w14:paraId="702135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CF1CBE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Residence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3697D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1.110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C69D6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5430D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1.054 </w:t>
            </w:r>
          </w:p>
        </w:tc>
      </w:tr>
      <w:tr w14:paraId="2919A1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3C15F0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SBP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90BDF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2.537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BF5B62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15466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1.593 </w:t>
            </w:r>
          </w:p>
        </w:tc>
      </w:tr>
      <w:tr w14:paraId="110D60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2796F9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DBP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3BE06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2.490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39261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D69FC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1.578 </w:t>
            </w:r>
          </w:p>
        </w:tc>
      </w:tr>
      <w:tr w14:paraId="2D08B2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B9CEBA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TC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CA98F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3.051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1AEB08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2B19B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1.747 </w:t>
            </w:r>
          </w:p>
        </w:tc>
      </w:tr>
      <w:tr w14:paraId="21062D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D2485F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HDL-C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A9B52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1.199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DD443E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E339A2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1.095 </w:t>
            </w:r>
          </w:p>
        </w:tc>
      </w:tr>
      <w:tr w14:paraId="4ECEF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D9D0C9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LDL-C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D46A7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3.001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ABB76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1EE19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1.732 </w:t>
            </w:r>
          </w:p>
        </w:tc>
      </w:tr>
      <w:tr w14:paraId="5FECC5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5F8CA6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hs-CRP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4AA432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1.013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C080F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79BA4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1.006 </w:t>
            </w:r>
          </w:p>
        </w:tc>
      </w:tr>
      <w:tr w14:paraId="679023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7E0102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Hypertension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58DD3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3.011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14CFF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E8DC3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1.735 </w:t>
            </w:r>
          </w:p>
        </w:tc>
      </w:tr>
      <w:tr w14:paraId="5ACA34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18F7C1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Dyslipidemia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7CF8B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1.849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C4E05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C31FB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1.360 </w:t>
            </w:r>
          </w:p>
        </w:tc>
      </w:tr>
      <w:tr w14:paraId="470945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D7EA1C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Depression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77A13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1.107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4067D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4502E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1.052 </w:t>
            </w:r>
          </w:p>
        </w:tc>
      </w:tr>
      <w:tr w14:paraId="725A74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DD7EE6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Cancer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4F34E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1.034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6B710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E206C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1.017 </w:t>
            </w:r>
          </w:p>
        </w:tc>
      </w:tr>
      <w:tr w14:paraId="4EF946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252E29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Antihypertensive</w:t>
            </w: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medication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5EAA0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2.106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3FC60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6A6B03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1.451 </w:t>
            </w:r>
          </w:p>
        </w:tc>
      </w:tr>
      <w:tr w14:paraId="7EED05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682336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Antidiabetic</w:t>
            </w: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medication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90C5C7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1.116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1D4E7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146BA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1.056 </w:t>
            </w:r>
          </w:p>
        </w:tc>
      </w:tr>
      <w:tr w14:paraId="7018A1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A9E25E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Antidyslipidemic</w:t>
            </w: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medication</w:t>
            </w:r>
          </w:p>
        </w:tc>
        <w:tc>
          <w:tcPr>
            <w:tcW w:w="1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0598F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1.779 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2058C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DC1227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1.334 </w:t>
            </w:r>
          </w:p>
        </w:tc>
      </w:tr>
      <w:tr w14:paraId="2483E7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1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0C52200B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Cardiovascular medications</w:t>
            </w:r>
          </w:p>
        </w:tc>
        <w:tc>
          <w:tcPr>
            <w:tcW w:w="1199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6C5FAA8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1.139 </w:t>
            </w:r>
          </w:p>
        </w:tc>
        <w:tc>
          <w:tcPr>
            <w:tcW w:w="975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E049514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3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15F88DC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1.067 </w:t>
            </w:r>
          </w:p>
        </w:tc>
      </w:tr>
    </w:tbl>
    <w:p w14:paraId="4E258980">
      <w:pPr>
        <w:widowControl/>
        <w:rPr>
          <w:rFonts w:hint="default" w:ascii="Arial" w:hAnsi="Arial" w:cs="Arial"/>
          <w:sz w:val="13"/>
          <w:szCs w:val="13"/>
        </w:rPr>
      </w:pPr>
      <w:r>
        <w:rPr>
          <w:rFonts w:hint="default" w:ascii="Arial" w:hAnsi="Arial" w:cs="Arial"/>
          <w:sz w:val="13"/>
          <w:szCs w:val="13"/>
        </w:rPr>
        <w:t>Note: Variables with a GVIF greater than 5 or with an adjusted GVIF (GVIF^(1/(2*Df))) greater than 2 were considered collinear and were excluded from the multiple regression model</w:t>
      </w:r>
    </w:p>
    <w:p w14:paraId="7425C838">
      <w:pPr>
        <w:widowControl/>
        <w:rPr>
          <w:rFonts w:hint="default" w:ascii="Arial" w:hAnsi="Arial" w:eastAsia="等线" w:cs="Arial"/>
          <w:b/>
          <w:bCs/>
          <w:color w:val="000000"/>
          <w:kern w:val="0"/>
          <w:sz w:val="13"/>
          <w:szCs w:val="13"/>
        </w:rPr>
      </w:pPr>
    </w:p>
    <w:p w14:paraId="53D33E76">
      <w:pPr>
        <w:rPr>
          <w:rFonts w:hint="default" w:ascii="Arial" w:hAnsi="Arial" w:eastAsia="等线" w:cs="Arial"/>
          <w:b/>
          <w:bCs/>
          <w:color w:val="000000"/>
          <w:kern w:val="0"/>
          <w:sz w:val="16"/>
          <w:szCs w:val="16"/>
        </w:rPr>
      </w:pPr>
      <w:r>
        <w:rPr>
          <w:rFonts w:hint="default" w:ascii="Arial" w:hAnsi="Arial" w:cs="Arial"/>
          <w:b/>
          <w:bCs/>
          <w:i w:val="0"/>
          <w:iCs w:val="0"/>
          <w:color w:val="000000"/>
          <w:sz w:val="16"/>
          <w:szCs w:val="16"/>
          <w:u w:val="none"/>
          <w:lang w:val="en-US" w:eastAsia="zh-CN"/>
        </w:rPr>
        <w:t>Table S</w:t>
      </w:r>
      <w:r>
        <w:rPr>
          <w:rFonts w:hint="eastAsia" w:ascii="Arial" w:hAnsi="Arial" w:cs="Arial"/>
          <w:b/>
          <w:bCs/>
          <w:i w:val="0"/>
          <w:iCs w:val="0"/>
          <w:color w:val="000000"/>
          <w:sz w:val="16"/>
          <w:szCs w:val="16"/>
          <w:u w:val="none"/>
          <w:lang w:val="en-US" w:eastAsia="zh-CN"/>
        </w:rPr>
        <w:t>7</w:t>
      </w:r>
      <w:r>
        <w:rPr>
          <w:rFonts w:hint="default" w:ascii="Arial" w:hAnsi="Arial" w:cs="Arial"/>
          <w:b/>
          <w:bCs/>
          <w:i w:val="0"/>
          <w:iCs w:val="0"/>
          <w:color w:val="000000"/>
          <w:sz w:val="16"/>
          <w:szCs w:val="16"/>
          <w:u w:val="none"/>
          <w:lang w:val="en-US" w:eastAsia="zh-CN"/>
        </w:rPr>
        <w:t xml:space="preserve">  </w:t>
      </w:r>
      <w:r>
        <w:rPr>
          <w:rFonts w:hint="default" w:ascii="Arial" w:hAnsi="Arial" w:cs="Arial"/>
          <w:sz w:val="16"/>
          <w:szCs w:val="16"/>
        </w:rPr>
        <w:t xml:space="preserve">Multicollinearity analysis in the </w:t>
      </w:r>
      <w:r>
        <w:rPr>
          <w:rFonts w:hint="eastAsia" w:ascii="Arial" w:hAnsi="Arial" w:cs="Arial"/>
          <w:sz w:val="16"/>
          <w:szCs w:val="16"/>
          <w:lang w:val="en-US" w:eastAsia="zh-CN"/>
        </w:rPr>
        <w:t>a</w:t>
      </w:r>
      <w:r>
        <w:rPr>
          <w:rFonts w:hint="default" w:ascii="Arial" w:hAnsi="Arial" w:cs="Arial"/>
          <w:sz w:val="16"/>
          <w:szCs w:val="16"/>
        </w:rPr>
        <w:t xml:space="preserve">ssociation </w:t>
      </w:r>
      <w:r>
        <w:rPr>
          <w:rFonts w:hint="eastAsia" w:ascii="Arial" w:hAnsi="Arial" w:cs="Arial"/>
          <w:sz w:val="16"/>
          <w:szCs w:val="16"/>
          <w:lang w:val="en-US" w:eastAsia="zh-CN"/>
        </w:rPr>
        <w:t>a</w:t>
      </w:r>
      <w:r>
        <w:rPr>
          <w:rFonts w:hint="default" w:ascii="Arial" w:hAnsi="Arial" w:cs="Arial"/>
          <w:sz w:val="16"/>
          <w:szCs w:val="16"/>
        </w:rPr>
        <w:t xml:space="preserve">nalysis </w:t>
      </w:r>
      <w:r>
        <w:rPr>
          <w:rFonts w:hint="eastAsia" w:ascii="Arial" w:hAnsi="Arial" w:cs="Arial"/>
          <w:sz w:val="16"/>
          <w:szCs w:val="16"/>
          <w:lang w:val="en-US" w:eastAsia="zh-CN"/>
        </w:rPr>
        <w:t>b</w:t>
      </w:r>
      <w:r>
        <w:rPr>
          <w:rFonts w:hint="default" w:ascii="Arial" w:hAnsi="Arial" w:cs="Arial"/>
          <w:sz w:val="16"/>
          <w:szCs w:val="16"/>
        </w:rPr>
        <w:t xml:space="preserve">etween </w:t>
      </w:r>
      <w:r>
        <w:rPr>
          <w:rFonts w:hint="eastAsia" w:ascii="Arial" w:hAnsi="Arial" w:cs="Arial"/>
          <w:sz w:val="16"/>
          <w:szCs w:val="16"/>
          <w:lang w:val="en-US" w:eastAsia="zh-CN"/>
        </w:rPr>
        <w:t>BMR</w:t>
      </w:r>
      <w:r>
        <w:rPr>
          <w:rFonts w:hint="default" w:ascii="Arial" w:hAnsi="Arial" w:cs="Arial"/>
          <w:sz w:val="16"/>
          <w:szCs w:val="16"/>
        </w:rPr>
        <w:t xml:space="preserve"> with </w:t>
      </w:r>
      <w:r>
        <w:rPr>
          <w:rFonts w:hint="eastAsia" w:ascii="Arial" w:hAnsi="Arial" w:eastAsia="等线" w:cs="Arial"/>
          <w:b w:val="0"/>
          <w:bCs w:val="0"/>
          <w:color w:val="000000"/>
          <w:kern w:val="0"/>
          <w:sz w:val="16"/>
          <w:szCs w:val="16"/>
          <w:lang w:val="en-US" w:eastAsia="zh-CN"/>
        </w:rPr>
        <w:t>METS-IR</w:t>
      </w:r>
      <w:r>
        <w:rPr>
          <w:rFonts w:hint="default" w:ascii="Arial" w:hAnsi="Arial" w:cs="Arial"/>
          <w:sz w:val="16"/>
          <w:szCs w:val="16"/>
        </w:rPr>
        <w:t xml:space="preserve"> and CMM</w:t>
      </w:r>
    </w:p>
    <w:tbl>
      <w:tblPr>
        <w:tblStyle w:val="2"/>
        <w:tblW w:w="499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6"/>
        <w:gridCol w:w="2033"/>
        <w:gridCol w:w="1657"/>
        <w:gridCol w:w="1993"/>
      </w:tblGrid>
      <w:tr w14:paraId="28BDD5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4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1DD58231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Variables</w:t>
            </w:r>
          </w:p>
        </w:tc>
        <w:tc>
          <w:tcPr>
            <w:tcW w:w="1193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04570D90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GVIF</w:t>
            </w:r>
          </w:p>
        </w:tc>
        <w:tc>
          <w:tcPr>
            <w:tcW w:w="972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01A93E7F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Df</w:t>
            </w:r>
          </w:p>
        </w:tc>
        <w:tc>
          <w:tcPr>
            <w:tcW w:w="1169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4FCAF477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GVIF^(1/(2*Df))</w:t>
            </w:r>
          </w:p>
        </w:tc>
      </w:tr>
      <w:tr w14:paraId="02A095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716E31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BMR</w:t>
            </w: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 + METS-IR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26E240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1.808 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1285AE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3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228D29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1.104 </w:t>
            </w:r>
          </w:p>
        </w:tc>
      </w:tr>
      <w:tr w14:paraId="4F8100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13D7E9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Age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noWrap/>
            <w:vAlign w:val="top"/>
          </w:tcPr>
          <w:p w14:paraId="6CFD0B1E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1.139 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noWrap/>
            <w:vAlign w:val="top"/>
          </w:tcPr>
          <w:p w14:paraId="39A00092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noWrap/>
            <w:vAlign w:val="top"/>
          </w:tcPr>
          <w:p w14:paraId="608F4253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1.067 </w:t>
            </w:r>
          </w:p>
        </w:tc>
      </w:tr>
      <w:tr w14:paraId="43F718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3F2299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Sex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63E8784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1.139 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F93F363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68419E2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1.067 </w:t>
            </w:r>
          </w:p>
        </w:tc>
      </w:tr>
      <w:tr w14:paraId="3841EC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73F63A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Smoking status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A2CAE4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1.853 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B74D6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A687A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1.361 </w:t>
            </w:r>
          </w:p>
        </w:tc>
      </w:tr>
      <w:tr w14:paraId="59A6D5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BA57C3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Drinking status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98B184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1.496 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ACAFB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2F9CD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1.223 </w:t>
            </w:r>
          </w:p>
        </w:tc>
      </w:tr>
      <w:tr w14:paraId="17B97A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8F470C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Education level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BA7FF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1.388 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2B096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3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AEA07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1.056 </w:t>
            </w:r>
          </w:p>
        </w:tc>
      </w:tr>
      <w:tr w14:paraId="0CD616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8A273A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Marital status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BFD3E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1.099 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12652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BB784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1.049 </w:t>
            </w:r>
          </w:p>
        </w:tc>
      </w:tr>
      <w:tr w14:paraId="2BD61F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18D6DB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Residence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AA89A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1.108 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393D77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90352E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1.053 </w:t>
            </w:r>
          </w:p>
        </w:tc>
      </w:tr>
      <w:tr w14:paraId="1264EE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A1F6AB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SBP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3231C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2.521 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BA869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673A2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1.588 </w:t>
            </w:r>
          </w:p>
        </w:tc>
      </w:tr>
      <w:tr w14:paraId="6E313B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9DA4DD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DBP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4A0F8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2.485 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E1F389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E6E00E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1.576 </w:t>
            </w:r>
          </w:p>
        </w:tc>
      </w:tr>
      <w:tr w14:paraId="6FBB9E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B9F8ED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TC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3C2CF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3.121 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164A3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221095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1.767 </w:t>
            </w:r>
          </w:p>
        </w:tc>
      </w:tr>
      <w:tr w14:paraId="6291B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779EF6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HDL-C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56BA4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1.564 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831FB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8AD14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1.251 </w:t>
            </w:r>
          </w:p>
        </w:tc>
      </w:tr>
      <w:tr w14:paraId="33F338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D1CF03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LDL-C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6113C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3.046 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24111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77B4F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1.745 </w:t>
            </w:r>
          </w:p>
        </w:tc>
      </w:tr>
      <w:tr w14:paraId="69656A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B7E132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hs-CRP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151B0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1.012 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FB746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5E55E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1.006 </w:t>
            </w:r>
          </w:p>
        </w:tc>
      </w:tr>
      <w:tr w14:paraId="7BE8DB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C5E698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Hypertension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CABEA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2.461 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CAC00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30322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1.569 </w:t>
            </w:r>
          </w:p>
        </w:tc>
      </w:tr>
      <w:tr w14:paraId="4B947E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BAEBDF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Dyslipidemia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765C4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1.848 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E4CBA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19371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1.359 </w:t>
            </w:r>
          </w:p>
        </w:tc>
      </w:tr>
      <w:tr w14:paraId="5A83A2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9E7074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Depression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36DAC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1.105 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B9AFB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90931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1.051 </w:t>
            </w:r>
          </w:p>
        </w:tc>
      </w:tr>
      <w:tr w14:paraId="75780C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5A08E7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Cancer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25B27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1.036 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B1F7C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556B3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1.018 </w:t>
            </w:r>
          </w:p>
        </w:tc>
      </w:tr>
      <w:tr w14:paraId="3E4200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EFC86F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Antihypertensive</w:t>
            </w: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medication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5F4D1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2.098 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2B271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3F86A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1.449 </w:t>
            </w:r>
          </w:p>
        </w:tc>
      </w:tr>
      <w:tr w14:paraId="1FC0F6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B3FBB6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Antidiabetic</w:t>
            </w: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medication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485E0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1.107 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67159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52E6B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1.052 </w:t>
            </w:r>
          </w:p>
        </w:tc>
      </w:tr>
      <w:tr w14:paraId="69D7AE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66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574E40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Antidyslipidemic</w:t>
            </w: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medication</w:t>
            </w:r>
          </w:p>
        </w:tc>
        <w:tc>
          <w:tcPr>
            <w:tcW w:w="1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B719B5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1.781 </w:t>
            </w:r>
          </w:p>
        </w:tc>
        <w:tc>
          <w:tcPr>
            <w:tcW w:w="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A311C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72992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1.335 </w:t>
            </w:r>
          </w:p>
        </w:tc>
      </w:tr>
      <w:tr w14:paraId="002EFA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664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center"/>
          </w:tcPr>
          <w:p w14:paraId="1CDA4E93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Cardiovascular medications</w:t>
            </w:r>
          </w:p>
        </w:tc>
        <w:tc>
          <w:tcPr>
            <w:tcW w:w="1193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F66F9D0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1.137 </w:t>
            </w:r>
          </w:p>
        </w:tc>
        <w:tc>
          <w:tcPr>
            <w:tcW w:w="972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CDA832A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>1</w:t>
            </w:r>
          </w:p>
        </w:tc>
        <w:tc>
          <w:tcPr>
            <w:tcW w:w="1169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7FC52A0B">
            <w:pPr>
              <w:widowControl/>
              <w:jc w:val="left"/>
              <w:rPr>
                <w:rFonts w:hint="default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Arial" w:hAnsi="Arial" w:eastAsia="等线" w:cs="Arial"/>
                <w:b w:val="0"/>
                <w:bCs w:val="0"/>
                <w:color w:val="000000"/>
                <w:kern w:val="0"/>
                <w:sz w:val="16"/>
                <w:szCs w:val="16"/>
                <w:lang w:val="en-US" w:eastAsia="zh-CN"/>
              </w:rPr>
              <w:t xml:space="preserve">1.066 </w:t>
            </w:r>
          </w:p>
        </w:tc>
      </w:tr>
    </w:tbl>
    <w:p w14:paraId="75B69F4D">
      <w:pPr>
        <w:widowControl/>
        <w:rPr>
          <w:rFonts w:hint="default" w:ascii="Arial" w:hAnsi="Arial" w:cs="Arial"/>
          <w:sz w:val="13"/>
          <w:szCs w:val="13"/>
        </w:rPr>
      </w:pPr>
      <w:r>
        <w:rPr>
          <w:rFonts w:hint="default" w:ascii="Arial" w:hAnsi="Arial" w:cs="Arial"/>
          <w:sz w:val="13"/>
          <w:szCs w:val="13"/>
        </w:rPr>
        <w:t>Note: Variables with a GVIF greater than 5 or with an adjusted GVIF (GVIF^(1/(2*Df))) greater than 2 were considered collinear and were excluded from the multiple regression model</w:t>
      </w:r>
    </w:p>
    <w:p w14:paraId="3508BD99"/>
    <w:p w14:paraId="0126D50A">
      <w:r>
        <w:rPr>
          <w:rFonts w:hint="default" w:ascii="Arial" w:hAnsi="Arial" w:cs="Arial"/>
          <w:b/>
          <w:bCs/>
          <w:i w:val="0"/>
          <w:iCs w:val="0"/>
          <w:color w:val="000000"/>
          <w:sz w:val="16"/>
          <w:szCs w:val="16"/>
          <w:u w:val="none"/>
          <w:lang w:val="en-US" w:eastAsia="zh-CN"/>
        </w:rPr>
        <w:t xml:space="preserve">Table </w:t>
      </w:r>
      <w:r>
        <w:rPr>
          <w:rFonts w:hint="eastAsia" w:ascii="Arial" w:hAnsi="Arial" w:cs="Arial"/>
          <w:b/>
          <w:bCs/>
          <w:i w:val="0"/>
          <w:iCs w:val="0"/>
          <w:color w:val="000000"/>
          <w:sz w:val="16"/>
          <w:szCs w:val="16"/>
          <w:u w:val="none"/>
          <w:lang w:val="en-US" w:eastAsia="zh-CN"/>
        </w:rPr>
        <w:t xml:space="preserve">S8  </w:t>
      </w:r>
      <w:r>
        <w:rPr>
          <w:rFonts w:hint="default" w:ascii="Arial" w:hAnsi="Arial" w:cs="Arial"/>
          <w:sz w:val="16"/>
          <w:szCs w:val="16"/>
        </w:rPr>
        <w:t xml:space="preserve">Associations of </w:t>
      </w:r>
      <w:r>
        <w:rPr>
          <w:rFonts w:hint="eastAsia" w:ascii="Arial" w:hAnsi="Arial" w:cs="Arial"/>
          <w:sz w:val="16"/>
          <w:szCs w:val="16"/>
          <w:lang w:val="en-US" w:eastAsia="zh-CN"/>
        </w:rPr>
        <w:t xml:space="preserve">BMR, </w:t>
      </w:r>
      <w:r>
        <w:rPr>
          <w:rFonts w:hint="default" w:ascii="Arial" w:hAnsi="Arial" w:cs="Arial"/>
          <w:sz w:val="16"/>
          <w:szCs w:val="16"/>
        </w:rPr>
        <w:t xml:space="preserve">TyG, </w:t>
      </w:r>
      <w:r>
        <w:rPr>
          <w:rFonts w:hint="eastAsia" w:ascii="Arial" w:hAnsi="Arial" w:cs="Arial"/>
          <w:sz w:val="16"/>
          <w:szCs w:val="16"/>
          <w:lang w:val="en-US" w:eastAsia="zh-CN"/>
        </w:rPr>
        <w:t>eGDR</w:t>
      </w:r>
      <w:r>
        <w:rPr>
          <w:rFonts w:hint="default" w:ascii="Arial" w:hAnsi="Arial" w:cs="Arial"/>
          <w:sz w:val="16"/>
          <w:szCs w:val="16"/>
        </w:rPr>
        <w:t xml:space="preserve">, and </w:t>
      </w:r>
      <w:r>
        <w:rPr>
          <w:rFonts w:hint="eastAsia" w:ascii="Arial" w:hAnsi="Arial" w:cs="Arial"/>
          <w:sz w:val="16"/>
          <w:szCs w:val="16"/>
          <w:lang w:val="en-US" w:eastAsia="zh-CN"/>
        </w:rPr>
        <w:t>METS-IR</w:t>
      </w:r>
      <w:r>
        <w:rPr>
          <w:rFonts w:hint="default" w:ascii="Arial" w:hAnsi="Arial" w:cs="Arial"/>
          <w:sz w:val="16"/>
          <w:szCs w:val="16"/>
        </w:rPr>
        <w:t xml:space="preserve"> with CMM</w:t>
      </w:r>
    </w:p>
    <w:tbl>
      <w:tblPr>
        <w:tblStyle w:val="2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9"/>
        <w:gridCol w:w="1220"/>
        <w:gridCol w:w="1201"/>
        <w:gridCol w:w="874"/>
        <w:gridCol w:w="1196"/>
        <w:gridCol w:w="896"/>
        <w:gridCol w:w="1221"/>
        <w:gridCol w:w="790"/>
      </w:tblGrid>
      <w:tr w14:paraId="0B4BE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56" w:type="pct"/>
            <w:vMerge w:val="restart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047649FD">
            <w:pPr>
              <w:jc w:val="left"/>
              <w:rPr>
                <w:rFonts w:hint="default"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2"/>
                <w:szCs w:val="12"/>
                <w:shd w:val="clear" w:color="auto" w:fill="FDFDFE"/>
                <w:lang w:val="en-US" w:eastAsia="zh-CN"/>
              </w:rPr>
              <w:t>S</w:t>
            </w:r>
            <w:r>
              <w:rPr>
                <w:rFonts w:hint="default" w:ascii="Arial" w:hAnsi="Arial" w:eastAsia="Segoe UI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2"/>
                <w:szCs w:val="12"/>
                <w:shd w:val="clear" w:color="auto" w:fill="FDFDFE"/>
              </w:rPr>
              <w:t>ubgroup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2"/>
                <w:szCs w:val="12"/>
                <w:shd w:val="clear" w:color="auto" w:fill="FDFDFE"/>
                <w:lang w:val="en-US" w:eastAsia="zh-CN"/>
              </w:rPr>
              <w:t>s</w:t>
            </w:r>
          </w:p>
        </w:tc>
        <w:tc>
          <w:tcPr>
            <w:tcW w:w="716" w:type="pct"/>
            <w:vMerge w:val="restart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47F788D0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Incidence rate</w:t>
            </w:r>
            <w:r>
              <w:rPr>
                <w:rFonts w:hint="eastAsia" w:ascii="Arial" w:hAnsi="Arial" w:cs="Arial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1218" w:type="pct"/>
            <w:gridSpan w:val="2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0521C4E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color w:val="000000"/>
                <w:sz w:val="12"/>
                <w:szCs w:val="12"/>
                <w:lang w:eastAsia="zh-CN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 xml:space="preserve">Model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>I</w:t>
            </w:r>
          </w:p>
        </w:tc>
        <w:tc>
          <w:tcPr>
            <w:tcW w:w="1228" w:type="pct"/>
            <w:gridSpan w:val="2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001E9A0E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color w:val="000000"/>
                <w:sz w:val="12"/>
                <w:szCs w:val="12"/>
                <w:lang w:val="en-US" w:eastAsia="zh-CN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 xml:space="preserve">Model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>II</w:t>
            </w:r>
          </w:p>
        </w:tc>
        <w:tc>
          <w:tcPr>
            <w:tcW w:w="1180" w:type="pct"/>
            <w:gridSpan w:val="2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3B8AEFC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color w:val="000000"/>
                <w:sz w:val="12"/>
                <w:szCs w:val="12"/>
                <w:lang w:val="en-US" w:eastAsia="zh-CN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 xml:space="preserve">Model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>III</w:t>
            </w:r>
          </w:p>
        </w:tc>
      </w:tr>
      <w:tr w14:paraId="2829A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56" w:type="pct"/>
            <w:vMerge w:val="continue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3E64FFCF">
            <w:pPr>
              <w:jc w:val="left"/>
              <w:rPr>
                <w:rFonts w:hint="default" w:ascii="Arial" w:hAnsi="Arial"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716" w:type="pct"/>
            <w:vMerge w:val="continue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0CBCF04F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</w:pPr>
          </w:p>
        </w:tc>
        <w:tc>
          <w:tcPr>
            <w:tcW w:w="705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0C26BCF9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>H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R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(95%</w:t>
            </w: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CI)</w:t>
            </w:r>
          </w:p>
        </w:tc>
        <w:tc>
          <w:tcPr>
            <w:tcW w:w="513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6120A24D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bidi="ar"/>
              </w:rPr>
            </w:pPr>
            <w:r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bidi="ar"/>
              </w:rPr>
              <w:t xml:space="preserve">P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value</w:t>
            </w:r>
          </w:p>
        </w:tc>
        <w:tc>
          <w:tcPr>
            <w:tcW w:w="702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1EFF4A52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>H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R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(95%</w:t>
            </w: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CI)</w:t>
            </w:r>
          </w:p>
        </w:tc>
        <w:tc>
          <w:tcPr>
            <w:tcW w:w="526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7C214D7D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bidi="ar"/>
              </w:rPr>
            </w:pPr>
            <w:r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bidi="ar"/>
              </w:rPr>
              <w:t xml:space="preserve">P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value</w:t>
            </w:r>
          </w:p>
        </w:tc>
        <w:tc>
          <w:tcPr>
            <w:tcW w:w="716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6724C9FD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>H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R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(95%</w:t>
            </w: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CI)</w:t>
            </w:r>
          </w:p>
        </w:tc>
        <w:tc>
          <w:tcPr>
            <w:tcW w:w="463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7D784BBE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bidi="ar"/>
              </w:rPr>
            </w:pPr>
            <w:r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bidi="ar"/>
              </w:rPr>
              <w:t>P</w:t>
            </w:r>
            <w:r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value</w:t>
            </w:r>
          </w:p>
        </w:tc>
      </w:tr>
      <w:tr w14:paraId="29535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8"/>
            <w:tcBorders>
              <w:top w:val="single" w:color="auto" w:sz="8" w:space="0"/>
              <w:tl2br w:val="nil"/>
              <w:tr2bl w:val="nil"/>
            </w:tcBorders>
            <w:noWrap/>
            <w:vAlign w:val="center"/>
          </w:tcPr>
          <w:p w14:paraId="057AC105">
            <w:pPr>
              <w:jc w:val="left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BMR</w:t>
            </w:r>
          </w:p>
        </w:tc>
      </w:tr>
      <w:tr w14:paraId="10EEE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noWrap/>
            <w:vAlign w:val="center"/>
          </w:tcPr>
          <w:p w14:paraId="070D0F02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Low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33940912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11.57</w:t>
            </w:r>
          </w:p>
        </w:tc>
        <w:tc>
          <w:tcPr>
            <w:tcW w:w="705" w:type="pct"/>
            <w:tcBorders>
              <w:tl2br w:val="nil"/>
              <w:tr2bl w:val="nil"/>
            </w:tcBorders>
            <w:noWrap/>
            <w:vAlign w:val="center"/>
          </w:tcPr>
          <w:p w14:paraId="3C91514F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296F1864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  <w:tc>
          <w:tcPr>
            <w:tcW w:w="702" w:type="pct"/>
            <w:tcBorders>
              <w:tl2br w:val="nil"/>
              <w:tr2bl w:val="nil"/>
            </w:tcBorders>
            <w:noWrap/>
            <w:vAlign w:val="center"/>
          </w:tcPr>
          <w:p w14:paraId="6AE00FF9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26" w:type="pct"/>
            <w:tcBorders>
              <w:tl2br w:val="nil"/>
              <w:tr2bl w:val="nil"/>
            </w:tcBorders>
            <w:noWrap/>
            <w:vAlign w:val="center"/>
          </w:tcPr>
          <w:p w14:paraId="76E17F55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0AA1C5EA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463" w:type="pct"/>
            <w:tcBorders>
              <w:tl2br w:val="nil"/>
              <w:tr2bl w:val="nil"/>
            </w:tcBorders>
            <w:noWrap/>
            <w:vAlign w:val="center"/>
          </w:tcPr>
          <w:p w14:paraId="67F602BE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</w:tr>
      <w:tr w14:paraId="1FCAD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noWrap/>
            <w:vAlign w:val="center"/>
          </w:tcPr>
          <w:p w14:paraId="37ECCBC6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High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313E20DF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18.88</w:t>
            </w:r>
          </w:p>
        </w:tc>
        <w:tc>
          <w:tcPr>
            <w:tcW w:w="7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946B43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1.71 (1.51, 1.93)</w:t>
            </w: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5CBFCD70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76998F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1.93 (1.70, 2.20)</w:t>
            </w:r>
          </w:p>
        </w:tc>
        <w:tc>
          <w:tcPr>
            <w:tcW w:w="52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E2022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F73D5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1.42 (1.23, 1.63)</w:t>
            </w:r>
          </w:p>
        </w:tc>
        <w:tc>
          <w:tcPr>
            <w:tcW w:w="4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22EF09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659B8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noWrap/>
            <w:vAlign w:val="center"/>
          </w:tcPr>
          <w:p w14:paraId="23E70CBF">
            <w:pPr>
              <w:widowControl/>
              <w:ind w:firstLine="130" w:firstLineChars="100"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Per 1.0 SD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2E1D8DC1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7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2F46F2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1.00 (1.00, 1.00)</w:t>
            </w: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6E0FD041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AEA600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1.00 (1.00, 1.00)</w:t>
            </w:r>
          </w:p>
        </w:tc>
        <w:tc>
          <w:tcPr>
            <w:tcW w:w="52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520F35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6BF4BC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1.00 (1.00, 1.00)</w:t>
            </w:r>
          </w:p>
        </w:tc>
        <w:tc>
          <w:tcPr>
            <w:tcW w:w="4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BA3D95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4083B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4EDB38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13"/>
                <w:szCs w:val="13"/>
                <w:lang w:val="en-US" w:eastAsia="zh-CN" w:bidi="ar"/>
              </w:rPr>
              <w:t>TyG</w:t>
            </w:r>
          </w:p>
        </w:tc>
      </w:tr>
      <w:tr w14:paraId="69D03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D9C452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Low</w:t>
            </w:r>
          </w:p>
        </w:tc>
        <w:tc>
          <w:tcPr>
            <w:tcW w:w="7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0973F6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10.44</w:t>
            </w:r>
          </w:p>
        </w:tc>
        <w:tc>
          <w:tcPr>
            <w:tcW w:w="7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D6A4F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3E6B9136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F5AC94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2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10C66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  <w:tc>
          <w:tcPr>
            <w:tcW w:w="7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7CF11E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4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B7ED89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</w:tr>
      <w:tr w14:paraId="21167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2020B9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High</w:t>
            </w:r>
          </w:p>
        </w:tc>
        <w:tc>
          <w:tcPr>
            <w:tcW w:w="7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901A22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20.05</w:t>
            </w:r>
          </w:p>
        </w:tc>
        <w:tc>
          <w:tcPr>
            <w:tcW w:w="7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4FD530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2.03 (1.79, 2.30)</w:t>
            </w: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3EDC0B94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C8A84F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2.01 (1.77, 2.28)</w:t>
            </w:r>
          </w:p>
        </w:tc>
        <w:tc>
          <w:tcPr>
            <w:tcW w:w="52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2C24D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44F9A4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1.52 (1.30, 1.77)</w:t>
            </w:r>
          </w:p>
        </w:tc>
        <w:tc>
          <w:tcPr>
            <w:tcW w:w="4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F770EF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7827E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A8AC4B">
            <w:pPr>
              <w:widowControl/>
              <w:ind w:firstLine="130" w:firstLineChars="100"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Per 1.0 SD</w:t>
            </w:r>
          </w:p>
        </w:tc>
        <w:tc>
          <w:tcPr>
            <w:tcW w:w="7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4C33C7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7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12E3AC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1.78 (1.64, 1.93)</w:t>
            </w: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034F07B9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FB3595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1.80 (1.66, 1.95)</w:t>
            </w:r>
          </w:p>
        </w:tc>
        <w:tc>
          <w:tcPr>
            <w:tcW w:w="52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3C3FAB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0D26C4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1.71 (1.39, 2.11)</w:t>
            </w:r>
          </w:p>
        </w:tc>
        <w:tc>
          <w:tcPr>
            <w:tcW w:w="4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776FCB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599ED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8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2E59B5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13"/>
                <w:szCs w:val="13"/>
                <w:lang w:val="en-US" w:eastAsia="zh-CN" w:bidi="ar"/>
              </w:rPr>
              <w:t>eGDR</w:t>
            </w:r>
          </w:p>
        </w:tc>
      </w:tr>
      <w:tr w14:paraId="732B2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370ADC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Low</w:t>
            </w:r>
          </w:p>
        </w:tc>
        <w:tc>
          <w:tcPr>
            <w:tcW w:w="7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79792F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22.48</w:t>
            </w:r>
          </w:p>
        </w:tc>
        <w:tc>
          <w:tcPr>
            <w:tcW w:w="705" w:type="pct"/>
            <w:tcBorders>
              <w:tl2br w:val="nil"/>
              <w:tr2bl w:val="nil"/>
            </w:tcBorders>
            <w:noWrap/>
            <w:vAlign w:val="center"/>
          </w:tcPr>
          <w:p w14:paraId="3886E03B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04B06A4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  <w:tc>
          <w:tcPr>
            <w:tcW w:w="702" w:type="pct"/>
            <w:tcBorders>
              <w:tl2br w:val="nil"/>
              <w:tr2bl w:val="nil"/>
            </w:tcBorders>
            <w:noWrap/>
            <w:vAlign w:val="center"/>
          </w:tcPr>
          <w:p w14:paraId="3B0D7038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26" w:type="pct"/>
            <w:tcBorders>
              <w:tl2br w:val="nil"/>
              <w:tr2bl w:val="nil"/>
            </w:tcBorders>
            <w:noWrap/>
            <w:vAlign w:val="center"/>
          </w:tcPr>
          <w:p w14:paraId="34C5B26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3E471C0B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463" w:type="pct"/>
            <w:tcBorders>
              <w:tl2br w:val="nil"/>
              <w:tr2bl w:val="nil"/>
            </w:tcBorders>
            <w:noWrap/>
            <w:vAlign w:val="center"/>
          </w:tcPr>
          <w:p w14:paraId="63554EB4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</w:tr>
      <w:tr w14:paraId="17577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56" w:type="pct"/>
            <w:shd w:val="clear" w:color="auto" w:fill="auto"/>
            <w:noWrap w:val="0"/>
            <w:vAlign w:val="center"/>
          </w:tcPr>
          <w:p w14:paraId="386A2F2B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High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371D58AF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8.00</w:t>
            </w:r>
          </w:p>
        </w:tc>
        <w:tc>
          <w:tcPr>
            <w:tcW w:w="705" w:type="pct"/>
            <w:shd w:val="clear" w:color="auto" w:fill="auto"/>
            <w:noWrap w:val="0"/>
            <w:vAlign w:val="center"/>
          </w:tcPr>
          <w:p w14:paraId="1C2573F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0.33 (0.28, 0.37)</w:t>
            </w:r>
          </w:p>
        </w:tc>
        <w:tc>
          <w:tcPr>
            <w:tcW w:w="513" w:type="pct"/>
            <w:noWrap w:val="0"/>
            <w:vAlign w:val="center"/>
          </w:tcPr>
          <w:p w14:paraId="7BD2EBAD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shd w:val="clear" w:color="auto" w:fill="auto"/>
            <w:noWrap w:val="0"/>
            <w:vAlign w:val="center"/>
          </w:tcPr>
          <w:p w14:paraId="74D2AC6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0.34 (0.30, 0.39)</w:t>
            </w:r>
          </w:p>
        </w:tc>
        <w:tc>
          <w:tcPr>
            <w:tcW w:w="526" w:type="pct"/>
            <w:noWrap w:val="0"/>
            <w:vAlign w:val="center"/>
          </w:tcPr>
          <w:p w14:paraId="3DB67554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477B05F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0.65 (0.54, 0.78)</w:t>
            </w:r>
          </w:p>
        </w:tc>
        <w:tc>
          <w:tcPr>
            <w:tcW w:w="463" w:type="pct"/>
            <w:noWrap w:val="0"/>
            <w:vAlign w:val="center"/>
          </w:tcPr>
          <w:p w14:paraId="0F5E309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7EDB4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56" w:type="pct"/>
            <w:shd w:val="clear" w:color="auto" w:fill="auto"/>
            <w:noWrap w:val="0"/>
            <w:vAlign w:val="center"/>
          </w:tcPr>
          <w:p w14:paraId="3EDCB9B3">
            <w:pPr>
              <w:widowControl/>
              <w:ind w:firstLine="130" w:firstLineChars="100"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Per 1.0 SD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2CF4C3FF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705" w:type="pct"/>
            <w:shd w:val="clear" w:color="auto" w:fill="auto"/>
            <w:noWrap w:val="0"/>
            <w:vAlign w:val="center"/>
          </w:tcPr>
          <w:p w14:paraId="695C6965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0.75 (0.73, 0.77)</w:t>
            </w:r>
          </w:p>
        </w:tc>
        <w:tc>
          <w:tcPr>
            <w:tcW w:w="513" w:type="pct"/>
            <w:noWrap w:val="0"/>
            <w:vAlign w:val="center"/>
          </w:tcPr>
          <w:p w14:paraId="469EA967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shd w:val="clear" w:color="auto" w:fill="auto"/>
            <w:noWrap w:val="0"/>
            <w:vAlign w:val="center"/>
          </w:tcPr>
          <w:p w14:paraId="2A3A45D7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0.76 (0.74, 0.78)</w:t>
            </w:r>
          </w:p>
        </w:tc>
        <w:tc>
          <w:tcPr>
            <w:tcW w:w="526" w:type="pct"/>
            <w:noWrap w:val="0"/>
            <w:vAlign w:val="center"/>
          </w:tcPr>
          <w:p w14:paraId="6D13B0A3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3673567D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0.83 (0.77, 0.88)</w:t>
            </w:r>
          </w:p>
        </w:tc>
        <w:tc>
          <w:tcPr>
            <w:tcW w:w="463" w:type="pct"/>
            <w:noWrap w:val="0"/>
            <w:vAlign w:val="center"/>
          </w:tcPr>
          <w:p w14:paraId="05322123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60019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8"/>
            <w:shd w:val="clear" w:color="auto" w:fill="auto"/>
            <w:noWrap w:val="0"/>
            <w:vAlign w:val="center"/>
          </w:tcPr>
          <w:p w14:paraId="73BBC2BD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13"/>
                <w:szCs w:val="13"/>
                <w:lang w:val="en-US" w:eastAsia="zh-CN" w:bidi="ar"/>
              </w:rPr>
              <w:t>METS-IR</w:t>
            </w:r>
          </w:p>
        </w:tc>
      </w:tr>
      <w:tr w14:paraId="720CE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shd w:val="clear" w:color="auto" w:fill="auto"/>
            <w:noWrap w:val="0"/>
            <w:vAlign w:val="center"/>
          </w:tcPr>
          <w:p w14:paraId="62397A17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Low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3E3F2E40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9.58</w:t>
            </w:r>
          </w:p>
        </w:tc>
        <w:tc>
          <w:tcPr>
            <w:tcW w:w="705" w:type="pct"/>
            <w:noWrap w:val="0"/>
            <w:vAlign w:val="center"/>
          </w:tcPr>
          <w:p w14:paraId="2DE31DD8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13" w:type="pct"/>
            <w:noWrap w:val="0"/>
            <w:vAlign w:val="center"/>
          </w:tcPr>
          <w:p w14:paraId="452BDF3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  <w:tc>
          <w:tcPr>
            <w:tcW w:w="702" w:type="pct"/>
            <w:noWrap w:val="0"/>
            <w:vAlign w:val="center"/>
          </w:tcPr>
          <w:p w14:paraId="5D682348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26" w:type="pct"/>
            <w:noWrap w:val="0"/>
            <w:vAlign w:val="center"/>
          </w:tcPr>
          <w:p w14:paraId="7965BA1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  <w:tc>
          <w:tcPr>
            <w:tcW w:w="716" w:type="pct"/>
            <w:noWrap w:val="0"/>
            <w:vAlign w:val="center"/>
          </w:tcPr>
          <w:p w14:paraId="4E0ECF7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463" w:type="pct"/>
            <w:noWrap w:val="0"/>
            <w:vAlign w:val="center"/>
          </w:tcPr>
          <w:p w14:paraId="4243792F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</w:tr>
      <w:tr w14:paraId="3FEBB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noWrap/>
            <w:vAlign w:val="center"/>
          </w:tcPr>
          <w:p w14:paraId="52EE5B98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High</w:t>
            </w:r>
          </w:p>
        </w:tc>
        <w:tc>
          <w:tcPr>
            <w:tcW w:w="716" w:type="pct"/>
            <w:noWrap/>
            <w:vAlign w:val="center"/>
          </w:tcPr>
          <w:p w14:paraId="09E538CC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20.91</w:t>
            </w:r>
          </w:p>
        </w:tc>
        <w:tc>
          <w:tcPr>
            <w:tcW w:w="705" w:type="pct"/>
            <w:shd w:val="clear" w:color="auto" w:fill="auto"/>
            <w:noWrap/>
            <w:vAlign w:val="center"/>
          </w:tcPr>
          <w:p w14:paraId="69EC3D4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2.34 (2.06, 2.66)</w:t>
            </w:r>
          </w:p>
        </w:tc>
        <w:tc>
          <w:tcPr>
            <w:tcW w:w="513" w:type="pct"/>
            <w:noWrap/>
            <w:vAlign w:val="center"/>
          </w:tcPr>
          <w:p w14:paraId="43EC5CD8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shd w:val="clear" w:color="auto" w:fill="auto"/>
            <w:noWrap/>
            <w:vAlign w:val="center"/>
          </w:tcPr>
          <w:p w14:paraId="0478D510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2.46 (2.16, 2.81)</w:t>
            </w:r>
          </w:p>
        </w:tc>
        <w:tc>
          <w:tcPr>
            <w:tcW w:w="526" w:type="pct"/>
            <w:noWrap/>
            <w:vAlign w:val="center"/>
          </w:tcPr>
          <w:p w14:paraId="3E468622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shd w:val="clear" w:color="auto" w:fill="auto"/>
            <w:noWrap/>
            <w:vAlign w:val="center"/>
          </w:tcPr>
          <w:p w14:paraId="1E021AE2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1.82 (1.55, 2.15)</w:t>
            </w:r>
          </w:p>
        </w:tc>
        <w:tc>
          <w:tcPr>
            <w:tcW w:w="463" w:type="pct"/>
            <w:noWrap/>
            <w:vAlign w:val="center"/>
          </w:tcPr>
          <w:p w14:paraId="56EDF768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46899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bottom w:val="single" w:color="auto" w:sz="12" w:space="0"/>
            </w:tcBorders>
            <w:noWrap/>
            <w:vAlign w:val="center"/>
          </w:tcPr>
          <w:p w14:paraId="64F83672">
            <w:pPr>
              <w:widowControl/>
              <w:ind w:firstLine="130" w:firstLineChars="100"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Per 1.0 SD</w:t>
            </w:r>
          </w:p>
        </w:tc>
        <w:tc>
          <w:tcPr>
            <w:tcW w:w="716" w:type="pct"/>
            <w:tcBorders>
              <w:bottom w:val="single" w:color="auto" w:sz="12" w:space="0"/>
            </w:tcBorders>
            <w:noWrap/>
            <w:vAlign w:val="center"/>
          </w:tcPr>
          <w:p w14:paraId="4266133D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705" w:type="pct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4BB135F7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1.00 (1.00, 1.00)</w:t>
            </w:r>
          </w:p>
        </w:tc>
        <w:tc>
          <w:tcPr>
            <w:tcW w:w="513" w:type="pct"/>
            <w:tcBorders>
              <w:bottom w:val="single" w:color="auto" w:sz="12" w:space="0"/>
            </w:tcBorders>
            <w:noWrap/>
            <w:vAlign w:val="center"/>
          </w:tcPr>
          <w:p w14:paraId="4044A42B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0.015</w:t>
            </w:r>
          </w:p>
        </w:tc>
        <w:tc>
          <w:tcPr>
            <w:tcW w:w="702" w:type="pct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6C5F612A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1.00 (1.00, 1.00)</w:t>
            </w:r>
          </w:p>
        </w:tc>
        <w:tc>
          <w:tcPr>
            <w:tcW w:w="526" w:type="pct"/>
            <w:tcBorders>
              <w:bottom w:val="single" w:color="auto" w:sz="12" w:space="0"/>
            </w:tcBorders>
            <w:noWrap/>
            <w:vAlign w:val="center"/>
          </w:tcPr>
          <w:p w14:paraId="56734875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0.008</w:t>
            </w:r>
          </w:p>
        </w:tc>
        <w:tc>
          <w:tcPr>
            <w:tcW w:w="716" w:type="pct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0A986EE9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1.00 (1.00, 1.00)</w:t>
            </w:r>
          </w:p>
        </w:tc>
        <w:tc>
          <w:tcPr>
            <w:tcW w:w="463" w:type="pct"/>
            <w:tcBorders>
              <w:bottom w:val="single" w:color="auto" w:sz="12" w:space="0"/>
            </w:tcBorders>
            <w:noWrap/>
            <w:vAlign w:val="center"/>
          </w:tcPr>
          <w:p w14:paraId="50185067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0.382</w:t>
            </w:r>
          </w:p>
        </w:tc>
      </w:tr>
    </w:tbl>
    <w:p w14:paraId="75284319">
      <w:pP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Model I: non-adjusted</w:t>
      </w:r>
    </w:p>
    <w:p w14:paraId="62028D76">
      <w:pP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Model II: adjusted for age, gender, smoking status, drinking status, education level, marital status, residence</w:t>
      </w:r>
    </w:p>
    <w:p w14:paraId="34C70D30">
      <w:pP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Model III: further adjusted for SBP, DBP,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TC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,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HDL-C, LDL-C, hs-CRP,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chronic diseases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 (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hypertension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,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dyslipidemia, depression,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and cancer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), and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medication use (antihyp</w:t>
      </w:r>
      <w:r>
        <w:rPr>
          <w:rFonts w:hint="default" w:ascii="Arial" w:hAnsi="Arial" w:eastAsia="Segoe UI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er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tensive, antidiabetic, antidyslipidemic,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and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cardiovascular medications)</w:t>
      </w:r>
    </w:p>
    <w:p w14:paraId="574A0AAD">
      <w:pP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</w:pPr>
      <w:r>
        <w:rPr>
          <w:rFonts w:hint="eastAsia" w:ascii="Arial" w:hAnsi="Arial" w:cs="Arial"/>
          <w:b w:val="0"/>
          <w:bCs w:val="0"/>
          <w:i w:val="0"/>
          <w:iCs w:val="0"/>
          <w:sz w:val="12"/>
          <w:szCs w:val="12"/>
          <w:lang w:val="en-US" w:eastAsia="zh-CN"/>
        </w:rPr>
        <w:t xml:space="preserve">Each index was dichotomized at its median value.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insulin resistance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,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BMR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 basal metabolic rate,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TyG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triglyceride-glucose,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eGDR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e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stimate glucose disposal rate,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METS-IR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metabolic score for insulin resistance, </w:t>
      </w:r>
      <w:r>
        <w:rPr>
          <w:rFonts w:hint="default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HR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hazard ratio, </w:t>
      </w:r>
      <w:r>
        <w:rPr>
          <w:rFonts w:hint="default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CI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confidence interval</w:t>
      </w:r>
    </w:p>
    <w:p w14:paraId="54FFA0D9">
      <w:pP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宋体" w:cs="Arial"/>
          <w:b/>
          <w:bCs/>
          <w:i w:val="0"/>
          <w:iCs w:val="0"/>
          <w:color w:val="000000" w:themeColor="text1"/>
          <w:spacing w:val="0"/>
          <w:sz w:val="12"/>
          <w:szCs w:val="12"/>
          <w:shd w:val="clear" w:fill="FDFDFE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a</w:t>
      </w:r>
      <w: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:lang w:val="en-US" w:eastAsia="zh-CN"/>
          <w14:textFill>
            <w14:solidFill>
              <w14:schemeClr w14:val="tx1"/>
            </w14:solidFill>
          </w14:textFill>
        </w:rPr>
        <w:t>Incident rate was presented as per 1000 person-years of follow-up</w:t>
      </w:r>
    </w:p>
    <w:p w14:paraId="39336F38">
      <w:pP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:lang w:val="en-US" w:eastAsia="zh-CN"/>
          <w14:textFill>
            <w14:solidFill>
              <w14:schemeClr w14:val="tx1"/>
            </w14:solidFill>
          </w14:textFill>
        </w:rPr>
      </w:pPr>
    </w:p>
    <w:p w14:paraId="2F0F0AA4"/>
    <w:p w14:paraId="5E78E53C">
      <w:pPr>
        <w:rPr>
          <w:rFonts w:hint="default" w:ascii="Arial" w:hAnsi="Arial" w:eastAsia="宋体" w:cs="Arial"/>
          <w:color w:val="000000" w:themeColor="text1"/>
          <w:sz w:val="16"/>
          <w:szCs w:val="1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bCs/>
          <w:i w:val="0"/>
          <w:iCs w:val="0"/>
          <w:color w:val="000000"/>
          <w:sz w:val="16"/>
          <w:szCs w:val="16"/>
          <w:u w:val="none"/>
          <w:lang w:val="en-US" w:eastAsia="zh-CN"/>
        </w:rPr>
        <w:t xml:space="preserve">Table </w:t>
      </w:r>
      <w:r>
        <w:rPr>
          <w:rFonts w:hint="eastAsia" w:ascii="Arial" w:hAnsi="Arial" w:cs="Arial"/>
          <w:b/>
          <w:bCs/>
          <w:i w:val="0"/>
          <w:iCs w:val="0"/>
          <w:color w:val="000000"/>
          <w:sz w:val="16"/>
          <w:szCs w:val="16"/>
          <w:u w:val="none"/>
          <w:lang w:val="en-US" w:eastAsia="zh-CN"/>
        </w:rPr>
        <w:t>S9</w:t>
      </w:r>
      <w:r>
        <w:rPr>
          <w:rFonts w:hint="default" w:ascii="Arial" w:hAnsi="Arial" w:cs="Arial"/>
          <w:b/>
          <w:bCs/>
          <w:i w:val="0"/>
          <w:iCs w:val="0"/>
          <w:color w:val="000000"/>
          <w:sz w:val="16"/>
          <w:szCs w:val="16"/>
          <w:u w:val="none"/>
          <w:lang w:val="en-US" w:eastAsia="zh-CN"/>
        </w:rPr>
        <w:t xml:space="preserve"> </w:t>
      </w:r>
      <w:r>
        <w:rPr>
          <w:rFonts w:hint="default" w:ascii="Arial" w:hAnsi="Arial" w:cs="Arial"/>
          <w:i w:val="0"/>
          <w:iCs w:val="0"/>
          <w:color w:val="000000"/>
          <w:sz w:val="16"/>
          <w:szCs w:val="16"/>
          <w:u w:val="none"/>
          <w:lang w:val="en-US" w:eastAsia="zh-CN"/>
        </w:rPr>
        <w:t xml:space="preserve"> </w:t>
      </w:r>
      <w:r>
        <w:rPr>
          <w:rFonts w:hint="default" w:ascii="Arial" w:hAnsi="Arial" w:eastAsia="宋体" w:cs="Arial"/>
          <w:color w:val="000000" w:themeColor="text1"/>
          <w:sz w:val="16"/>
          <w:szCs w:val="16"/>
          <w:lang w:val="en-US" w:eastAsia="zh-CN"/>
          <w14:textFill>
            <w14:solidFill>
              <w14:schemeClr w14:val="tx1"/>
            </w14:solidFill>
          </w14:textFill>
        </w:rPr>
        <w:t>Threshold effect analysis of the METS-IR on the risk of CMM among participants with high BMR</w:t>
      </w:r>
    </w:p>
    <w:tbl>
      <w:tblPr>
        <w:tblStyle w:val="2"/>
        <w:tblW w:w="4998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7"/>
        <w:gridCol w:w="2595"/>
        <w:gridCol w:w="1377"/>
      </w:tblGrid>
      <w:tr w14:paraId="6074350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68" w:type="pct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6FF5AD3E">
            <w:pPr>
              <w:widowControl/>
              <w:jc w:val="left"/>
              <w:textAlignment w:val="center"/>
              <w:rPr>
                <w:rFonts w:hint="default" w:ascii="Arial" w:hAnsi="Arial" w:cs="Arial" w:eastAsiaTheme="minorEastAsia"/>
                <w:b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sz w:val="15"/>
                <w:szCs w:val="15"/>
                <w:lang w:val="en-US" w:eastAsia="zh-CN"/>
              </w:rPr>
              <w:t>Participants</w:t>
            </w:r>
            <w:r>
              <w:rPr>
                <w:rFonts w:hint="default" w:ascii="Arial" w:hAnsi="Arial" w:cs="Arial"/>
                <w:b/>
                <w:bCs/>
                <w:color w:val="000000"/>
                <w:sz w:val="15"/>
                <w:szCs w:val="15"/>
                <w:lang w:val="en-US" w:eastAsia="zh-CN"/>
              </w:rPr>
              <w:t xml:space="preserve"> with </w:t>
            </w:r>
            <w:r>
              <w:rPr>
                <w:rFonts w:hint="eastAsia" w:ascii="Arial" w:hAnsi="Arial" w:eastAsia="宋体" w:cs="Arial"/>
                <w:b/>
                <w:bCs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low BMR</w:t>
            </w:r>
          </w:p>
        </w:tc>
        <w:tc>
          <w:tcPr>
            <w:tcW w:w="1523" w:type="pct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16FE66A6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5"/>
                <w:szCs w:val="15"/>
                <w:lang w:val="en-US" w:eastAsia="zh-CN" w:bidi="ar"/>
              </w:rPr>
              <w:t>Adjusted H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R (95</w:t>
            </w: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%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CI)</w:t>
            </w:r>
          </w:p>
        </w:tc>
        <w:tc>
          <w:tcPr>
            <w:tcW w:w="808" w:type="pct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561A25F9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5"/>
                <w:szCs w:val="15"/>
                <w:lang w:bidi="ar"/>
              </w:rPr>
              <w:t>P</w:t>
            </w:r>
            <w:r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value</w:t>
            </w:r>
          </w:p>
        </w:tc>
      </w:tr>
      <w:tr w14:paraId="6CD46E0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66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A0D3C7">
            <w:pPr>
              <w:widowControl/>
              <w:jc w:val="left"/>
              <w:textAlignment w:val="center"/>
              <w:rPr>
                <w:rFonts w:hint="default" w:ascii="Arial" w:hAnsi="Arial" w:cs="Arial" w:eastAsiaTheme="minorEastAsia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Arial" w:hAnsi="Arial" w:cs="Arial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lang w:val="en-US" w:eastAsia="zh-CN" w:bidi="ar"/>
              </w:rPr>
              <w:t>METS-IR</w:t>
            </w:r>
          </w:p>
        </w:tc>
        <w:tc>
          <w:tcPr>
            <w:tcW w:w="15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C457E2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80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F5666A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</w:pPr>
          </w:p>
        </w:tc>
      </w:tr>
      <w:tr w14:paraId="4613E43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66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18AE45">
            <w:pPr>
              <w:widowControl/>
              <w:ind w:firstLine="150" w:firstLineChars="100"/>
              <w:jc w:val="left"/>
              <w:textAlignment w:val="center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kern w:val="0"/>
                <w:sz w:val="15"/>
                <w:szCs w:val="15"/>
                <w:lang w:val="en-US" w:eastAsia="zh-CN" w:bidi="ar"/>
              </w:rPr>
              <w:t>Total</w:t>
            </w:r>
          </w:p>
        </w:tc>
        <w:tc>
          <w:tcPr>
            <w:tcW w:w="15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F5994B">
            <w:pPr>
              <w:widowControl/>
              <w:jc w:val="left"/>
              <w:textAlignment w:val="center"/>
              <w:rPr>
                <w:rFonts w:hint="default" w:ascii="Arial" w:hAnsi="Arial" w:cs="Arial" w:eastAsiaTheme="minorEastAsia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>1.00 (</w:t>
            </w:r>
            <w:r>
              <w:rPr>
                <w:rFonts w:hint="eastAsia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>0.99</w:t>
            </w:r>
            <w:r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>, 1.01)</w:t>
            </w:r>
          </w:p>
        </w:tc>
        <w:tc>
          <w:tcPr>
            <w:tcW w:w="80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1CD258">
            <w:pPr>
              <w:widowControl/>
              <w:jc w:val="left"/>
              <w:textAlignment w:val="center"/>
              <w:rPr>
                <w:rFonts w:hint="default" w:ascii="Arial" w:hAnsi="Arial" w:cs="Arial" w:eastAsiaTheme="minorEastAsia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>0.</w:t>
            </w:r>
            <w:r>
              <w:rPr>
                <w:rFonts w:hint="eastAsia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>656</w:t>
            </w:r>
          </w:p>
        </w:tc>
      </w:tr>
      <w:tr w14:paraId="584BEC3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66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314B2E">
            <w:pPr>
              <w:widowControl/>
              <w:ind w:firstLine="150" w:firstLineChars="100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bidi="ar"/>
              </w:rPr>
              <w:t>Fitting by two-piecewise Cox proportional risk</w:t>
            </w:r>
            <w:r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bidi="ar"/>
              </w:rPr>
              <w:t>model</w:t>
            </w:r>
          </w:p>
        </w:tc>
        <w:tc>
          <w:tcPr>
            <w:tcW w:w="15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860145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80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457DA2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</w:pPr>
          </w:p>
        </w:tc>
      </w:tr>
      <w:tr w14:paraId="6A3F544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66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32D300">
            <w:pPr>
              <w:widowControl/>
              <w:ind w:firstLine="150" w:firstLineChars="100"/>
              <w:jc w:val="left"/>
              <w:textAlignment w:val="center"/>
              <w:rPr>
                <w:rFonts w:hint="default" w:ascii="Arial" w:hAnsi="Arial" w:cs="Arial" w:eastAsiaTheme="minorEastAsia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bidi="ar"/>
              </w:rPr>
              <w:t>Inflection point</w:t>
            </w:r>
          </w:p>
        </w:tc>
        <w:tc>
          <w:tcPr>
            <w:tcW w:w="15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CA216E">
            <w:pPr>
              <w:widowControl/>
              <w:jc w:val="left"/>
              <w:textAlignment w:val="center"/>
              <w:rPr>
                <w:rFonts w:hint="default" w:ascii="Arial" w:hAnsi="Arial" w:cs="Arial" w:eastAsiaTheme="minorEastAsia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>51.90</w:t>
            </w:r>
          </w:p>
        </w:tc>
        <w:tc>
          <w:tcPr>
            <w:tcW w:w="80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02197B">
            <w:pPr>
              <w:widowControl/>
              <w:jc w:val="left"/>
              <w:textAlignment w:val="center"/>
              <w:rPr>
                <w:rFonts w:hint="default" w:ascii="Arial" w:hAnsi="Arial" w:cs="Arial" w:eastAsiaTheme="minorEastAsia"/>
                <w:color w:val="000000"/>
                <w:kern w:val="0"/>
                <w:sz w:val="15"/>
                <w:szCs w:val="15"/>
                <w:lang w:val="en-US" w:eastAsia="zh-CN" w:bidi="ar"/>
              </w:rPr>
            </w:pPr>
          </w:p>
        </w:tc>
      </w:tr>
      <w:tr w14:paraId="4F4EDAF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66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D22F16">
            <w:pPr>
              <w:widowControl/>
              <w:ind w:firstLine="150" w:firstLineChars="100"/>
              <w:jc w:val="left"/>
              <w:textAlignment w:val="center"/>
              <w:rPr>
                <w:rFonts w:hint="default" w:ascii="Arial" w:hAnsi="Arial" w:cs="Arial" w:eastAsiaTheme="minorEastAsia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>METS-IR</w:t>
            </w:r>
            <w:r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bidi="ar"/>
              </w:rPr>
              <w:t>&lt;</w:t>
            </w:r>
            <w:r>
              <w:rPr>
                <w:rFonts w:hint="eastAsia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 51.90</w:t>
            </w:r>
          </w:p>
        </w:tc>
        <w:tc>
          <w:tcPr>
            <w:tcW w:w="15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ECE288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>1.0</w:t>
            </w:r>
            <w:r>
              <w:rPr>
                <w:rFonts w:hint="eastAsia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>5</w:t>
            </w:r>
            <w:r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 (</w:t>
            </w:r>
            <w:r>
              <w:rPr>
                <w:rFonts w:hint="eastAsia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>1.03</w:t>
            </w:r>
            <w:r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>, 1.0</w:t>
            </w:r>
            <w:r>
              <w:rPr>
                <w:rFonts w:hint="eastAsia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>7</w:t>
            </w:r>
            <w:r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>)</w:t>
            </w:r>
          </w:p>
        </w:tc>
        <w:tc>
          <w:tcPr>
            <w:tcW w:w="80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D114FC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&lt; </w:t>
            </w: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0.001</w:t>
            </w:r>
          </w:p>
        </w:tc>
      </w:tr>
      <w:tr w14:paraId="6A64361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66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1F7A81">
            <w:pPr>
              <w:widowControl/>
              <w:ind w:firstLine="150" w:firstLineChars="100"/>
              <w:jc w:val="left"/>
              <w:textAlignment w:val="center"/>
              <w:rPr>
                <w:rFonts w:hint="default" w:ascii="Arial" w:hAnsi="Arial" w:cs="Arial" w:eastAsiaTheme="minorEastAsia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>METS-IR</w:t>
            </w:r>
            <w:r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Times New Roman" w:cs="Arial"/>
                <w:b w:val="0"/>
                <w:i w:val="0"/>
                <w:color w:val="000000"/>
                <w:sz w:val="15"/>
                <w:szCs w:val="15"/>
                <w:u w:val="none"/>
                <w:lang w:val="en-US" w:eastAsia="zh-CN"/>
              </w:rPr>
              <w:t>≥</w:t>
            </w:r>
            <w:r>
              <w:rPr>
                <w:rFonts w:hint="eastAsia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 51.90</w:t>
            </w:r>
          </w:p>
        </w:tc>
        <w:tc>
          <w:tcPr>
            <w:tcW w:w="15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F0EE5A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>0.98 (0.95, 1.02)</w:t>
            </w:r>
          </w:p>
        </w:tc>
        <w:tc>
          <w:tcPr>
            <w:tcW w:w="80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51952C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>0.</w:t>
            </w:r>
            <w:r>
              <w:rPr>
                <w:rFonts w:hint="eastAsia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>306</w:t>
            </w:r>
          </w:p>
        </w:tc>
      </w:tr>
      <w:tr w14:paraId="6BC4D52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266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67B421">
            <w:pPr>
              <w:widowControl/>
              <w:ind w:firstLine="150" w:firstLineChars="100"/>
              <w:jc w:val="left"/>
              <w:textAlignment w:val="center"/>
              <w:rPr>
                <w:rFonts w:hint="default" w:ascii="Arial" w:hAnsi="Arial" w:cs="Arial" w:eastAsiaTheme="minorEastAsia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Arial" w:hAnsi="Arial" w:cs="Arial"/>
                <w:i/>
                <w:iCs/>
                <w:color w:val="000000"/>
                <w:kern w:val="0"/>
                <w:sz w:val="15"/>
                <w:szCs w:val="15"/>
                <w:lang w:bidi="ar"/>
              </w:rPr>
              <w:t>P</w:t>
            </w:r>
            <w:r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bidi="ar"/>
              </w:rPr>
              <w:t xml:space="preserve"> for log-likelihood ratio</w:t>
            </w:r>
          </w:p>
        </w:tc>
        <w:tc>
          <w:tcPr>
            <w:tcW w:w="15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9FAA5E">
            <w:pPr>
              <w:widowControl/>
              <w:jc w:val="left"/>
              <w:textAlignment w:val="center"/>
              <w:rPr>
                <w:rFonts w:hint="default" w:ascii="Arial" w:hAnsi="Arial" w:cs="Arial" w:eastAsiaTheme="minorEastAsia"/>
                <w:color w:val="000000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80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201CE1">
            <w:pPr>
              <w:widowControl/>
              <w:jc w:val="left"/>
              <w:textAlignment w:val="center"/>
              <w:rPr>
                <w:rFonts w:hint="default" w:ascii="Arial" w:hAnsi="Arial" w:cs="Arial" w:eastAsiaTheme="minorEastAsia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&lt; </w:t>
            </w: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0.001</w:t>
            </w:r>
          </w:p>
        </w:tc>
      </w:tr>
    </w:tbl>
    <w:p w14:paraId="1CE7DE90">
      <w:pP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Cox proportional hazards models were employed to estimate HR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s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and 95% CI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s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.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The m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ultivariate models were adjusted for age, gender, smoking status, drinking status, education level, marital status, residence, SBP, DBP,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TC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,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HDL-C, LDL-C, hs-CRP,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chronic diseases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 (including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hypertension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,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dyslipidemia, depression,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and cancer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), as well as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medication use (antihypertensive, antidiabetic, antidyslipidemic,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and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cardiovascular medications)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.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METS-IR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metabolic score for insulin resistance,</w:t>
      </w:r>
      <w:r>
        <w:rPr>
          <w:rFonts w:hint="default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 xml:space="preserve"> HR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s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hazard ratio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s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, </w:t>
      </w:r>
      <w:r>
        <w:rPr>
          <w:rFonts w:hint="default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CI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s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confidence interval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s</w:t>
      </w:r>
    </w:p>
    <w:p w14:paraId="190B8814"/>
    <w:p w14:paraId="23E77F60">
      <w:pPr>
        <w:widowControl/>
        <w:rPr>
          <w:sz w:val="16"/>
          <w:szCs w:val="16"/>
        </w:rPr>
      </w:pPr>
      <w:r>
        <w:rPr>
          <w:rFonts w:hint="default" w:ascii="Arial" w:hAnsi="Arial" w:eastAsia="等线" w:cs="Arial"/>
          <w:b/>
          <w:bCs/>
          <w:color w:val="000000"/>
          <w:kern w:val="0"/>
          <w:sz w:val="16"/>
          <w:szCs w:val="16"/>
        </w:rPr>
        <w:t>Table S</w:t>
      </w:r>
      <w:r>
        <w:rPr>
          <w:rFonts w:hint="eastAsia" w:ascii="Arial" w:hAnsi="Arial" w:eastAsia="等线" w:cs="Arial"/>
          <w:b/>
          <w:bCs/>
          <w:color w:val="000000"/>
          <w:kern w:val="0"/>
          <w:sz w:val="16"/>
          <w:szCs w:val="16"/>
          <w:lang w:val="en-US" w:eastAsia="zh-CN"/>
        </w:rPr>
        <w:t>10</w:t>
      </w:r>
      <w:r>
        <w:rPr>
          <w:rFonts w:hint="default" w:ascii="Arial" w:hAnsi="Arial" w:eastAsia="等线" w:cs="Arial"/>
          <w:color w:val="000000"/>
          <w:kern w:val="0"/>
          <w:sz w:val="16"/>
          <w:szCs w:val="16"/>
        </w:rPr>
        <w:t xml:space="preserve"> </w:t>
      </w:r>
      <w:r>
        <w:rPr>
          <w:rFonts w:hint="eastAsia" w:ascii="Arial" w:hAnsi="Arial" w:eastAsia="等线" w:cs="Arial"/>
          <w:color w:val="000000"/>
          <w:kern w:val="0"/>
          <w:sz w:val="16"/>
          <w:szCs w:val="16"/>
          <w:lang w:val="en-US" w:eastAsia="zh-CN"/>
        </w:rPr>
        <w:t xml:space="preserve"> </w:t>
      </w:r>
      <w:r>
        <w:rPr>
          <w:rFonts w:hint="default" w:ascii="Arial" w:hAnsi="Arial" w:eastAsia="等线" w:cs="Arial"/>
          <w:color w:val="000000"/>
          <w:kern w:val="0"/>
          <w:sz w:val="16"/>
          <w:szCs w:val="16"/>
        </w:rPr>
        <w:t xml:space="preserve">Predictive performance of </w:t>
      </w:r>
      <w:r>
        <w:rPr>
          <w:rFonts w:hint="eastAsia" w:ascii="Arial" w:hAnsi="Arial" w:eastAsia="等线" w:cs="Arial"/>
          <w:color w:val="000000"/>
          <w:kern w:val="0"/>
          <w:sz w:val="16"/>
          <w:szCs w:val="16"/>
          <w:lang w:val="en-US" w:eastAsia="zh-CN"/>
        </w:rPr>
        <w:t xml:space="preserve">BMR, </w:t>
      </w:r>
      <w:r>
        <w:rPr>
          <w:rFonts w:hint="default" w:ascii="Arial" w:hAnsi="Arial" w:eastAsia="等线" w:cs="Arial"/>
          <w:color w:val="000000"/>
          <w:kern w:val="0"/>
          <w:sz w:val="16"/>
          <w:szCs w:val="16"/>
        </w:rPr>
        <w:t xml:space="preserve">TyG, eGDR </w:t>
      </w:r>
      <w:r>
        <w:rPr>
          <w:rFonts w:hint="eastAsia" w:ascii="Arial" w:hAnsi="Arial" w:eastAsia="等线" w:cs="Arial"/>
          <w:color w:val="000000"/>
          <w:kern w:val="0"/>
          <w:sz w:val="16"/>
          <w:szCs w:val="16"/>
          <w:lang w:val="en-US" w:eastAsia="zh-CN"/>
        </w:rPr>
        <w:t xml:space="preserve">and METS-IR </w:t>
      </w:r>
      <w:r>
        <w:rPr>
          <w:rFonts w:hint="default" w:ascii="Arial" w:hAnsi="Arial" w:eastAsia="等线" w:cs="Arial"/>
          <w:color w:val="000000"/>
          <w:kern w:val="0"/>
          <w:sz w:val="16"/>
          <w:szCs w:val="16"/>
        </w:rPr>
        <w:t>for CMM</w:t>
      </w:r>
    </w:p>
    <w:tbl>
      <w:tblPr>
        <w:tblStyle w:val="2"/>
        <w:tblW w:w="4997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4"/>
        <w:gridCol w:w="1443"/>
        <w:gridCol w:w="832"/>
        <w:gridCol w:w="1445"/>
        <w:gridCol w:w="654"/>
        <w:gridCol w:w="1445"/>
        <w:gridCol w:w="654"/>
      </w:tblGrid>
      <w:tr w14:paraId="4E7705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91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61397E8F">
            <w:pPr>
              <w:widowControl/>
              <w:jc w:val="center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>　</w:t>
            </w:r>
          </w:p>
        </w:tc>
        <w:tc>
          <w:tcPr>
            <w:tcW w:w="851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04CE9DB7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>AUC (95%CI)</w:t>
            </w:r>
          </w:p>
        </w:tc>
        <w:tc>
          <w:tcPr>
            <w:tcW w:w="492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71298F4F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Arial" w:hAnsi="Arial" w:eastAsia="等线" w:cs="Arial"/>
                <w:i/>
                <w:iCs/>
                <w:color w:val="000000"/>
                <w:kern w:val="0"/>
                <w:sz w:val="13"/>
                <w:szCs w:val="13"/>
                <w:lang w:val="en-US" w:eastAsia="zh-CN"/>
              </w:rPr>
              <w:t>P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 xml:space="preserve"> value</w:t>
            </w:r>
          </w:p>
        </w:tc>
        <w:tc>
          <w:tcPr>
            <w:tcW w:w="848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309A5D0F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>NRI (95%CI)</w:t>
            </w:r>
          </w:p>
        </w:tc>
        <w:tc>
          <w:tcPr>
            <w:tcW w:w="383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2D5C7753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Arial" w:hAnsi="Arial" w:eastAsia="等线" w:cs="Arial"/>
                <w:i/>
                <w:iCs/>
                <w:color w:val="000000"/>
                <w:kern w:val="0"/>
                <w:sz w:val="13"/>
                <w:szCs w:val="13"/>
                <w:lang w:val="en-US" w:eastAsia="zh-CN"/>
              </w:rPr>
              <w:t>P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 xml:space="preserve"> value</w:t>
            </w:r>
          </w:p>
        </w:tc>
        <w:tc>
          <w:tcPr>
            <w:tcW w:w="848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55E61E81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>IDI (95%CI)</w:t>
            </w:r>
          </w:p>
        </w:tc>
        <w:tc>
          <w:tcPr>
            <w:tcW w:w="383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28560663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Arial" w:hAnsi="Arial" w:eastAsia="等线" w:cs="Arial"/>
                <w:i/>
                <w:iCs/>
                <w:color w:val="000000"/>
                <w:kern w:val="0"/>
                <w:sz w:val="13"/>
                <w:szCs w:val="13"/>
                <w:lang w:val="en-US" w:eastAsia="zh-CN"/>
              </w:rPr>
              <w:t>P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 xml:space="preserve"> value</w:t>
            </w:r>
          </w:p>
        </w:tc>
      </w:tr>
      <w:tr w14:paraId="470B35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DDFE71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eastAsia="zh-CN"/>
              </w:rPr>
              <w:t>Basic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 xml:space="preserve"> model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50D9C5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>0.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  <w:t>741 (0.725-0.757)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D0E1E7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>Reference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E119F4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>Reference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52259D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  <w:t>—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760B6E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>Reference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3F0D45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  <w:t>—</w:t>
            </w:r>
          </w:p>
        </w:tc>
      </w:tr>
      <w:tr w14:paraId="1A51C9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C72148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eastAsia="zh-CN"/>
              </w:rPr>
              <w:t>Basic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 xml:space="preserve"> model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  <w:t xml:space="preserve"> + BMR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AE1996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  <w:t>0.747 (0.731-0.763)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900A7D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  <w:t>0.003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F5657D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  <w:t>0.177 (0.111-0.242)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A2BD37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>&lt;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>0.001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058774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  <w:t>0.004 (0.002-0.007)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71DB2D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  <w:t>0.001</w:t>
            </w:r>
          </w:p>
        </w:tc>
      </w:tr>
      <w:tr w14:paraId="0E935C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00B1DD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eastAsia="zh-CN"/>
              </w:rPr>
              <w:t>Basic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 xml:space="preserve"> model + TyG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048F00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  <w:t>0.754 (0.738-0.770)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B34EFA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>&lt;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>0.001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49292C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  <w:t>0.331 (0.266-0.395)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17D802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>&lt;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>0.001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44F701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  <w:t>0.014 (0.010-0.019)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1D81D3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>&lt;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>0.001</w:t>
            </w:r>
          </w:p>
        </w:tc>
      </w:tr>
      <w:tr w14:paraId="431978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4BDE99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eastAsia="zh-CN"/>
              </w:rPr>
              <w:t>Basic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 xml:space="preserve"> model + eGDR 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E37987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  <w:t>0.753 (0.734-0.769)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475E11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  <w:t>0.002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44F8D4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  <w:t>0.342 (0.277-0.406)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721610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>&lt;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>0.001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8228DD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  <w:t>0.012 (0.008-0.016)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E2FB6D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>&lt;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>0.001</w:t>
            </w:r>
          </w:p>
        </w:tc>
      </w:tr>
      <w:tr w14:paraId="661685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7A6E61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eastAsia="zh-CN"/>
              </w:rPr>
              <w:t>Basic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 xml:space="preserve"> model + 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  <w:t>METS-IR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78CCE3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  <w:t>0.741 (0.725-0.758)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3A1922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  <w:t>0.842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B9FBA2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  <w:t>-0.049 (-0.109-0.010)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691DED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  <w:t>0.103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40E791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  <w:t>-0.001 (-0.001-0.000)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EB8FF0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  <w:t>0.086</w:t>
            </w:r>
          </w:p>
        </w:tc>
      </w:tr>
      <w:tr w14:paraId="068068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B4435C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eastAsia="zh-CN"/>
              </w:rPr>
              <w:t>Basic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 xml:space="preserve"> model + 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  <w:t xml:space="preserve">BMR +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>TyG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939864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  <w:t>0.759 (0.743-0.775)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E60D82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>&lt;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>0.001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E47A99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  <w:t>0.371 (0.306-0.436)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D51A7B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>&lt;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>0.001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A7F3DE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  <w:t>0.017 (0.012-0.022)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D1A6A6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>&lt;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>0.001</w:t>
            </w:r>
          </w:p>
        </w:tc>
      </w:tr>
      <w:tr w14:paraId="3DA29D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1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4CF17F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eastAsia="zh-CN"/>
              </w:rPr>
              <w:t>Basic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 xml:space="preserve"> model + 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  <w:t xml:space="preserve">BMR +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 xml:space="preserve">eGDR </w:t>
            </w:r>
          </w:p>
        </w:tc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1444D9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  <w:t>0.753 (0.734-0.769)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538FBA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  <w:t>0.001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2CD59C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  <w:t>0.330 (0.266-0.395)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05A729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>&lt;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>0.001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973899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  <w:t>0.012 (0.008-0.016)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A9C676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>&lt;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>0.001</w:t>
            </w:r>
          </w:p>
        </w:tc>
      </w:tr>
      <w:tr w14:paraId="4B6CD5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91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7FF954D4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eastAsia="zh-CN"/>
              </w:rPr>
              <w:t>Basic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 xml:space="preserve"> model + 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  <w:t>BMR + METS-IR</w:t>
            </w:r>
          </w:p>
        </w:tc>
        <w:tc>
          <w:tcPr>
            <w:tcW w:w="851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54FD9D1E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  <w:t>0.747 (0.731-0.763)</w:t>
            </w:r>
          </w:p>
        </w:tc>
        <w:tc>
          <w:tcPr>
            <w:tcW w:w="492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2EA1CA78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  <w:t>0.005</w:t>
            </w:r>
          </w:p>
        </w:tc>
        <w:tc>
          <w:tcPr>
            <w:tcW w:w="848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01973AFE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  <w:t>0.170 (0.105-0.235)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3C61AA87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>&lt;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</w:rPr>
              <w:t>0.001</w:t>
            </w:r>
          </w:p>
        </w:tc>
        <w:tc>
          <w:tcPr>
            <w:tcW w:w="848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1460A36E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  <w:t>0.004 (0.001-0.006)</w:t>
            </w:r>
          </w:p>
        </w:tc>
        <w:tc>
          <w:tcPr>
            <w:tcW w:w="383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58CCDB25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3"/>
                <w:szCs w:val="13"/>
                <w:lang w:val="en-US" w:eastAsia="zh-CN" w:bidi="ar-SA"/>
              </w:rPr>
              <w:t>0.007</w:t>
            </w:r>
          </w:p>
        </w:tc>
      </w:tr>
    </w:tbl>
    <w:p w14:paraId="67C46498">
      <w:pPr>
        <w:rPr>
          <w:rFonts w:hint="default" w:ascii="Arial" w:hAnsi="Arial" w:eastAsia="Segoe UI" w:cs="Arial"/>
          <w:i w:val="0"/>
          <w:iCs w:val="0"/>
          <w:caps w:val="0"/>
          <w:spacing w:val="0"/>
          <w:sz w:val="12"/>
          <w:szCs w:val="12"/>
          <w:shd w:val="clear" w:color="auto" w:fill="FFFFFF"/>
        </w:rPr>
      </w:pPr>
      <w:r>
        <w:rPr>
          <w:rFonts w:hint="eastAsia" w:ascii="Arial" w:hAnsi="Arial" w:cs="Arial"/>
          <w:b w:val="0"/>
          <w:bCs w:val="0"/>
          <w:i/>
          <w:iCs/>
          <w:color w:val="000000"/>
          <w:sz w:val="12"/>
          <w:szCs w:val="12"/>
          <w:u w:val="none"/>
          <w:lang w:val="en-US" w:eastAsia="zh-CN"/>
        </w:rPr>
        <w:t>BMR</w:t>
      </w:r>
      <w:r>
        <w:rPr>
          <w:rFonts w:hint="default" w:ascii="Arial" w:hAnsi="Arial" w:cs="Arial"/>
          <w:b w:val="0"/>
          <w:bCs w:val="0"/>
          <w:i w:val="0"/>
          <w:iCs w:val="0"/>
          <w:color w:val="000000"/>
          <w:sz w:val="12"/>
          <w:szCs w:val="12"/>
          <w:u w:val="none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i w:val="0"/>
          <w:iCs w:val="0"/>
          <w:color w:val="000000"/>
          <w:sz w:val="12"/>
          <w:szCs w:val="12"/>
          <w:u w:val="none"/>
          <w:lang w:val="en-US" w:eastAsia="zh-CN"/>
        </w:rPr>
        <w:t>b</w:t>
      </w:r>
      <w:r>
        <w:rPr>
          <w:rFonts w:hint="default" w:ascii="Arial" w:hAnsi="Arial" w:cs="Arial"/>
          <w:b w:val="0"/>
          <w:bCs w:val="0"/>
          <w:i w:val="0"/>
          <w:iCs w:val="0"/>
          <w:color w:val="000000"/>
          <w:sz w:val="12"/>
          <w:szCs w:val="12"/>
          <w:u w:val="none"/>
          <w:lang w:val="en-US" w:eastAsia="zh-CN"/>
        </w:rPr>
        <w:t xml:space="preserve">asal metabolic rate, </w:t>
      </w:r>
      <w:r>
        <w:rPr>
          <w:rFonts w:hint="eastAsia" w:ascii="Arial" w:hAnsi="Arial" w:cs="Arial"/>
          <w:b w:val="0"/>
          <w:bCs w:val="0"/>
          <w:i/>
          <w:iCs/>
          <w:color w:val="000000"/>
          <w:sz w:val="12"/>
          <w:szCs w:val="12"/>
          <w:u w:val="none"/>
          <w:lang w:val="en-US" w:eastAsia="zh-CN"/>
        </w:rPr>
        <w:t>TyG</w:t>
      </w:r>
      <w:r>
        <w:rPr>
          <w:rFonts w:hint="default" w:ascii="Arial" w:hAnsi="Arial" w:cs="Arial"/>
          <w:b w:val="0"/>
          <w:bCs w:val="0"/>
          <w:i w:val="0"/>
          <w:iCs w:val="0"/>
          <w:color w:val="000000"/>
          <w:sz w:val="12"/>
          <w:szCs w:val="12"/>
          <w:u w:val="none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i w:val="0"/>
          <w:iCs w:val="0"/>
          <w:color w:val="000000"/>
          <w:sz w:val="12"/>
          <w:szCs w:val="12"/>
          <w:u w:val="none"/>
          <w:lang w:val="en-US" w:eastAsia="zh-CN"/>
        </w:rPr>
        <w:t>t</w:t>
      </w:r>
      <w:r>
        <w:rPr>
          <w:rFonts w:hint="default" w:ascii="Arial" w:hAnsi="Arial" w:cs="Arial"/>
          <w:b w:val="0"/>
          <w:bCs w:val="0"/>
          <w:i w:val="0"/>
          <w:iCs w:val="0"/>
          <w:color w:val="000000"/>
          <w:sz w:val="12"/>
          <w:szCs w:val="12"/>
          <w:u w:val="none"/>
          <w:lang w:val="en-US" w:eastAsia="zh-CN"/>
        </w:rPr>
        <w:t xml:space="preserve">riglyceride-glucose, </w:t>
      </w:r>
      <w:r>
        <w:rPr>
          <w:rFonts w:hint="eastAsia" w:ascii="Arial" w:hAnsi="Arial" w:cs="Arial"/>
          <w:b w:val="0"/>
          <w:bCs w:val="0"/>
          <w:i/>
          <w:iCs/>
          <w:color w:val="000000"/>
          <w:sz w:val="12"/>
          <w:szCs w:val="12"/>
          <w:u w:val="none"/>
          <w:lang w:val="en-US" w:eastAsia="zh-CN"/>
        </w:rPr>
        <w:t>eGDR</w:t>
      </w:r>
      <w:r>
        <w:rPr>
          <w:rFonts w:hint="default" w:ascii="Arial" w:hAnsi="Arial" w:cs="Arial"/>
          <w:b w:val="0"/>
          <w:bCs w:val="0"/>
          <w:i w:val="0"/>
          <w:iCs w:val="0"/>
          <w:color w:val="000000"/>
          <w:sz w:val="12"/>
          <w:szCs w:val="12"/>
          <w:u w:val="none"/>
          <w:lang w:val="en-US" w:eastAsia="zh-CN"/>
        </w:rPr>
        <w:t xml:space="preserve"> estimated glucose disposal rate, </w:t>
      </w:r>
      <w:r>
        <w:rPr>
          <w:rFonts w:hint="eastAsia" w:ascii="Arial" w:hAnsi="Arial" w:cs="Arial"/>
          <w:b w:val="0"/>
          <w:bCs w:val="0"/>
          <w:i/>
          <w:iCs/>
          <w:color w:val="000000"/>
          <w:sz w:val="12"/>
          <w:szCs w:val="12"/>
          <w:u w:val="none"/>
          <w:lang w:val="en-US" w:eastAsia="zh-CN"/>
        </w:rPr>
        <w:t>METS-IR</w:t>
      </w:r>
      <w:r>
        <w:rPr>
          <w:rFonts w:hint="default" w:ascii="Arial" w:hAnsi="Arial" w:cs="Arial"/>
          <w:b w:val="0"/>
          <w:bCs w:val="0"/>
          <w:i w:val="0"/>
          <w:iCs w:val="0"/>
          <w:color w:val="000000"/>
          <w:sz w:val="12"/>
          <w:szCs w:val="12"/>
          <w:u w:val="none"/>
          <w:lang w:val="en-US" w:eastAsia="zh-CN"/>
        </w:rPr>
        <w:t xml:space="preserve"> metabolic score for insulin resistance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12"/>
          <w:szCs w:val="12"/>
          <w:shd w:val="clear" w:color="auto" w:fill="FFFFFF"/>
        </w:rPr>
        <w:t xml:space="preserve">, </w:t>
      </w:r>
      <w:r>
        <w:rPr>
          <w:rFonts w:hint="default" w:ascii="Arial" w:hAnsi="Arial" w:eastAsia="Segoe UI" w:cs="Arial"/>
          <w:i/>
          <w:iCs/>
          <w:caps w:val="0"/>
          <w:spacing w:val="0"/>
          <w:sz w:val="12"/>
          <w:szCs w:val="12"/>
          <w:shd w:val="clear" w:color="auto" w:fill="FFFFFF"/>
        </w:rPr>
        <w:t>AUC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12"/>
          <w:szCs w:val="12"/>
          <w:shd w:val="clear" w:color="auto" w:fill="FFFFFF"/>
        </w:rPr>
        <w:t xml:space="preserve"> area under the receiver operating characteristic curve, </w:t>
      </w:r>
      <w:r>
        <w:rPr>
          <w:rFonts w:hint="default" w:ascii="Arial" w:hAnsi="Arial" w:eastAsia="Segoe UI" w:cs="Arial"/>
          <w:i/>
          <w:iCs/>
          <w:caps w:val="0"/>
          <w:spacing w:val="0"/>
          <w:sz w:val="12"/>
          <w:szCs w:val="12"/>
          <w:shd w:val="clear" w:color="auto" w:fill="FFFFFF"/>
        </w:rPr>
        <w:t>CI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12"/>
          <w:szCs w:val="12"/>
          <w:shd w:val="clear" w:color="auto" w:fill="FFFFFF"/>
        </w:rPr>
        <w:t xml:space="preserve"> confidence interval</w:t>
      </w:r>
    </w:p>
    <w:p w14:paraId="22C6DCBA"/>
    <w:p w14:paraId="3BADE5AD"/>
    <w:p w14:paraId="6D72D3FD">
      <w:pPr>
        <w:widowControl/>
        <w:rPr>
          <w:sz w:val="16"/>
          <w:szCs w:val="16"/>
        </w:rPr>
      </w:pPr>
      <w:r>
        <w:rPr>
          <w:rFonts w:hint="default" w:ascii="Arial" w:hAnsi="Arial" w:eastAsia="等线" w:cs="Arial"/>
          <w:b/>
          <w:bCs/>
          <w:color w:val="000000"/>
          <w:kern w:val="0"/>
          <w:sz w:val="16"/>
          <w:szCs w:val="16"/>
        </w:rPr>
        <w:t>Table S</w:t>
      </w:r>
      <w:r>
        <w:rPr>
          <w:rFonts w:hint="eastAsia" w:ascii="Arial" w:hAnsi="Arial" w:eastAsia="等线" w:cs="Arial"/>
          <w:b/>
          <w:bCs/>
          <w:color w:val="000000"/>
          <w:kern w:val="0"/>
          <w:sz w:val="16"/>
          <w:szCs w:val="16"/>
          <w:lang w:val="en-US" w:eastAsia="zh-CN"/>
        </w:rPr>
        <w:t>11</w:t>
      </w:r>
      <w:r>
        <w:rPr>
          <w:rFonts w:hint="default" w:ascii="Arial" w:hAnsi="Arial" w:eastAsia="等线" w:cs="Arial"/>
          <w:color w:val="000000"/>
          <w:kern w:val="0"/>
          <w:sz w:val="16"/>
          <w:szCs w:val="16"/>
        </w:rPr>
        <w:t xml:space="preserve"> </w:t>
      </w:r>
      <w:r>
        <w:rPr>
          <w:rFonts w:hint="eastAsia" w:ascii="Arial" w:hAnsi="Arial" w:eastAsia="等线" w:cs="Arial"/>
          <w:color w:val="000000"/>
          <w:kern w:val="0"/>
          <w:sz w:val="16"/>
          <w:szCs w:val="16"/>
          <w:lang w:val="en-US" w:eastAsia="zh-CN"/>
        </w:rPr>
        <w:t xml:space="preserve"> </w:t>
      </w:r>
      <w:r>
        <w:rPr>
          <w:rFonts w:hint="default" w:ascii="Arial" w:hAnsi="Arial" w:eastAsia="等线" w:cs="Arial"/>
          <w:color w:val="000000"/>
          <w:kern w:val="0"/>
          <w:sz w:val="16"/>
          <w:szCs w:val="16"/>
        </w:rPr>
        <w:t xml:space="preserve">Predictive performance of </w:t>
      </w:r>
      <w:r>
        <w:rPr>
          <w:rFonts w:hint="eastAsia" w:ascii="Arial" w:hAnsi="Arial" w:eastAsia="等线" w:cs="Arial"/>
          <w:color w:val="000000"/>
          <w:kern w:val="0"/>
          <w:sz w:val="16"/>
          <w:szCs w:val="16"/>
          <w:lang w:val="en-US" w:eastAsia="zh-CN"/>
        </w:rPr>
        <w:t>BMR</w:t>
      </w:r>
      <w:r>
        <w:rPr>
          <w:rFonts w:hint="eastAsia" w:ascii="Arial" w:hAnsi="Arial" w:eastAsia="等线" w:cs="Arial"/>
          <w:b/>
          <w:bCs/>
          <w:color w:val="000000"/>
          <w:kern w:val="0"/>
          <w:sz w:val="16"/>
          <w:szCs w:val="16"/>
          <w:lang w:val="en-US" w:eastAsia="zh-CN"/>
        </w:rPr>
        <w:t xml:space="preserve"> </w:t>
      </w:r>
      <w:r>
        <w:rPr>
          <w:rFonts w:hint="eastAsia" w:ascii="Arial" w:hAnsi="Arial" w:eastAsia="等线" w:cs="Arial"/>
          <w:b/>
          <w:bCs/>
          <w:color w:val="000000"/>
          <w:kern w:val="0"/>
          <w:sz w:val="16"/>
          <w:szCs w:val="16"/>
          <w:vertAlign w:val="subscript"/>
          <w:lang w:val="en-US" w:eastAsia="zh-CN"/>
        </w:rPr>
        <w:t>(H-B)</w:t>
      </w:r>
      <w:r>
        <w:rPr>
          <w:rFonts w:hint="eastAsia" w:ascii="Arial" w:hAnsi="Arial" w:eastAsia="等线" w:cs="Arial"/>
          <w:color w:val="000000"/>
          <w:kern w:val="0"/>
          <w:sz w:val="16"/>
          <w:szCs w:val="16"/>
          <w:lang w:val="en-US" w:eastAsia="zh-CN"/>
        </w:rPr>
        <w:t xml:space="preserve">, </w:t>
      </w:r>
      <w:r>
        <w:rPr>
          <w:rFonts w:hint="default" w:ascii="Arial" w:hAnsi="Arial" w:eastAsia="等线" w:cs="Arial"/>
          <w:color w:val="000000"/>
          <w:kern w:val="0"/>
          <w:sz w:val="16"/>
          <w:szCs w:val="16"/>
        </w:rPr>
        <w:t xml:space="preserve">TyG, eGDR </w:t>
      </w:r>
      <w:r>
        <w:rPr>
          <w:rFonts w:hint="eastAsia" w:ascii="Arial" w:hAnsi="Arial" w:eastAsia="等线" w:cs="Arial"/>
          <w:color w:val="000000"/>
          <w:kern w:val="0"/>
          <w:sz w:val="16"/>
          <w:szCs w:val="16"/>
          <w:lang w:val="en-US" w:eastAsia="zh-CN"/>
        </w:rPr>
        <w:t xml:space="preserve">and METS-IR </w:t>
      </w:r>
      <w:r>
        <w:rPr>
          <w:rFonts w:hint="default" w:ascii="Arial" w:hAnsi="Arial" w:eastAsia="等线" w:cs="Arial"/>
          <w:color w:val="000000"/>
          <w:kern w:val="0"/>
          <w:sz w:val="16"/>
          <w:szCs w:val="16"/>
        </w:rPr>
        <w:t>for CMM</w:t>
      </w:r>
    </w:p>
    <w:tbl>
      <w:tblPr>
        <w:tblStyle w:val="2"/>
        <w:tblW w:w="4997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5"/>
        <w:gridCol w:w="1386"/>
        <w:gridCol w:w="832"/>
        <w:gridCol w:w="1439"/>
        <w:gridCol w:w="646"/>
        <w:gridCol w:w="1441"/>
        <w:gridCol w:w="648"/>
      </w:tblGrid>
      <w:tr w14:paraId="0D9026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47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00ECA54F">
            <w:pPr>
              <w:widowControl/>
              <w:jc w:val="center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　</w:t>
            </w:r>
          </w:p>
        </w:tc>
        <w:tc>
          <w:tcPr>
            <w:tcW w:w="813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22C0D796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AUC (95%CI)</w:t>
            </w:r>
          </w:p>
        </w:tc>
        <w:tc>
          <w:tcPr>
            <w:tcW w:w="488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04173356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</w:pPr>
            <w:r>
              <w:rPr>
                <w:rFonts w:hint="eastAsia" w:ascii="Arial" w:hAnsi="Arial" w:eastAsia="等线" w:cs="Arial"/>
                <w:i/>
                <w:iCs/>
                <w:color w:val="000000"/>
                <w:kern w:val="0"/>
                <w:sz w:val="12"/>
                <w:szCs w:val="12"/>
                <w:lang w:val="en-US" w:eastAsia="zh-CN"/>
              </w:rPr>
              <w:t>P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 xml:space="preserve"> value</w:t>
            </w:r>
          </w:p>
        </w:tc>
        <w:tc>
          <w:tcPr>
            <w:tcW w:w="844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05095B45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NRI (95%CI)</w:t>
            </w:r>
          </w:p>
        </w:tc>
        <w:tc>
          <w:tcPr>
            <w:tcW w:w="379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472E1356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</w:pPr>
            <w:r>
              <w:rPr>
                <w:rFonts w:hint="eastAsia" w:ascii="Arial" w:hAnsi="Arial" w:eastAsia="等线" w:cs="Arial"/>
                <w:i/>
                <w:iCs/>
                <w:color w:val="000000"/>
                <w:kern w:val="0"/>
                <w:sz w:val="12"/>
                <w:szCs w:val="12"/>
                <w:lang w:val="en-US" w:eastAsia="zh-CN"/>
              </w:rPr>
              <w:t>P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 xml:space="preserve"> value</w:t>
            </w:r>
          </w:p>
        </w:tc>
        <w:tc>
          <w:tcPr>
            <w:tcW w:w="845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3E4952FD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IDI (95%CI)</w:t>
            </w:r>
          </w:p>
        </w:tc>
        <w:tc>
          <w:tcPr>
            <w:tcW w:w="380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37219D4C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</w:pPr>
            <w:r>
              <w:rPr>
                <w:rFonts w:hint="eastAsia" w:ascii="Arial" w:hAnsi="Arial" w:eastAsia="等线" w:cs="Arial"/>
                <w:i/>
                <w:iCs/>
                <w:color w:val="000000"/>
                <w:kern w:val="0"/>
                <w:sz w:val="12"/>
                <w:szCs w:val="12"/>
                <w:lang w:val="en-US" w:eastAsia="zh-CN"/>
              </w:rPr>
              <w:t>P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 xml:space="preserve"> value</w:t>
            </w:r>
          </w:p>
        </w:tc>
      </w:tr>
      <w:tr w14:paraId="178D0D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919E32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eastAsia="zh-CN"/>
              </w:rPr>
              <w:t>Basic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 xml:space="preserve"> model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29A8EE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0.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>741 (0.725-0.757)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D8A493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Reference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D3B1B6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Reference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059A93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</w:pPr>
            <w:r>
              <w:rPr>
                <w:rFonts w:hint="eastAsia" w:ascii="Arial" w:hAnsi="Arial" w:eastAsia="等线" w:cs="Arial"/>
                <w:b/>
                <w:bCs/>
                <w:color w:val="000000"/>
                <w:kern w:val="0"/>
                <w:sz w:val="12"/>
                <w:szCs w:val="12"/>
                <w:lang w:val="en-US" w:eastAsia="zh-CN"/>
              </w:rPr>
              <w:t>—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DCEB7E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Reference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9175AF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</w:pPr>
            <w:r>
              <w:rPr>
                <w:rFonts w:hint="eastAsia" w:ascii="Arial" w:hAnsi="Arial" w:eastAsia="等线" w:cs="Arial"/>
                <w:b/>
                <w:bCs/>
                <w:color w:val="000000"/>
                <w:kern w:val="0"/>
                <w:sz w:val="12"/>
                <w:szCs w:val="12"/>
                <w:lang w:val="en-US" w:eastAsia="zh-CN"/>
              </w:rPr>
              <w:t>—</w:t>
            </w:r>
          </w:p>
        </w:tc>
      </w:tr>
      <w:tr w14:paraId="17702B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D0A1C5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eastAsia="zh-CN"/>
              </w:rPr>
              <w:t>Basic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 xml:space="preserve"> model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 xml:space="preserve"> + BMR</w:t>
            </w:r>
            <w:r>
              <w:rPr>
                <w:rFonts w:hint="eastAsia" w:ascii="Arial" w:hAnsi="Arial" w:eastAsia="等线" w:cs="Arial"/>
                <w:b/>
                <w:bCs/>
                <w:color w:val="000000"/>
                <w:kern w:val="0"/>
                <w:sz w:val="12"/>
                <w:szCs w:val="12"/>
                <w:lang w:val="en-US" w:eastAsia="zh-CN"/>
              </w:rPr>
              <w:t xml:space="preserve"> </w:t>
            </w:r>
            <w:r>
              <w:rPr>
                <w:rFonts w:hint="eastAsia" w:ascii="Arial" w:hAnsi="Arial" w:eastAsia="等线" w:cs="Arial"/>
                <w:b/>
                <w:bCs/>
                <w:color w:val="000000"/>
                <w:kern w:val="0"/>
                <w:sz w:val="12"/>
                <w:szCs w:val="12"/>
                <w:vertAlign w:val="subscript"/>
                <w:lang w:val="en-US" w:eastAsia="zh-CN"/>
              </w:rPr>
              <w:t>(H-B)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310C7A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>0.744 (0.728-0.760)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AA5073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>0.131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84E67F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0.110 (0.045-0.175)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04F75B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0.001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86E438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0.002 (0.000-0.004)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86DEE9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0.030</w:t>
            </w:r>
          </w:p>
        </w:tc>
      </w:tr>
      <w:tr w14:paraId="4C20E0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13EB89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eastAsia="zh-CN"/>
              </w:rPr>
              <w:t>Basic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 xml:space="preserve"> model + TyG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E4B06B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>0.754 (0.738-0.770)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20E1B5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&lt;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0.001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4F5CC2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0.331 (0.266-0.395)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39C843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&lt;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0.001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B4A610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0.014 (0.010-0.019)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C9FBA6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&lt;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0.001</w:t>
            </w:r>
          </w:p>
        </w:tc>
      </w:tr>
      <w:tr w14:paraId="503C70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808EE7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eastAsia="zh-CN"/>
              </w:rPr>
              <w:t>Basic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 xml:space="preserve"> model + eGDR 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EBF8A3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>0.753 (0.734-0.769)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46C10A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0.002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A4860B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0.342 (0.277-0.406)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857C36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&lt;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0.001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1173C8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0.012 (0.008-0.016)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C3DD10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&lt;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0.001</w:t>
            </w:r>
          </w:p>
        </w:tc>
      </w:tr>
      <w:tr w14:paraId="62CFB8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1F72A9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eastAsia="zh-CN"/>
              </w:rPr>
              <w:t>Basic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 xml:space="preserve"> model + 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>METS-IR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766F62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>0.741 (0.725-0.758)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45F548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0.842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FE5C42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-0.049 (-0.109-0.010)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A6CD3B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0.103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E58ED5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-0.001 (-0.001-0.000)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584780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0.086</w:t>
            </w:r>
          </w:p>
        </w:tc>
      </w:tr>
      <w:tr w14:paraId="7C3A47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A44ED2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eastAsia="zh-CN"/>
              </w:rPr>
              <w:t>Basic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 xml:space="preserve"> model + 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>BMR</w:t>
            </w:r>
            <w:r>
              <w:rPr>
                <w:rFonts w:hint="eastAsia" w:ascii="Arial" w:hAnsi="Arial" w:eastAsia="等线" w:cs="Arial"/>
                <w:b/>
                <w:bCs/>
                <w:color w:val="000000"/>
                <w:kern w:val="0"/>
                <w:sz w:val="12"/>
                <w:szCs w:val="12"/>
                <w:lang w:val="en-US" w:eastAsia="zh-CN"/>
              </w:rPr>
              <w:t xml:space="preserve"> </w:t>
            </w:r>
            <w:r>
              <w:rPr>
                <w:rFonts w:hint="eastAsia" w:ascii="Arial" w:hAnsi="Arial" w:eastAsia="等线" w:cs="Arial"/>
                <w:b/>
                <w:bCs/>
                <w:color w:val="000000"/>
                <w:kern w:val="0"/>
                <w:sz w:val="12"/>
                <w:szCs w:val="12"/>
                <w:vertAlign w:val="subscript"/>
                <w:lang w:val="en-US" w:eastAsia="zh-CN"/>
              </w:rPr>
              <w:t>(H-B)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 xml:space="preserve"> +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TyG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5465B7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0.756 (0.740-0.772)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EA8960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&lt;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 xml:space="preserve">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0.001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429A65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0.361 (0.296-0.426)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409B8C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&lt;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0.001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E0D1BD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0.016 (0.011-0.021)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FA9F9F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&lt;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0.001</w:t>
            </w:r>
          </w:p>
        </w:tc>
      </w:tr>
      <w:tr w14:paraId="2C4CBD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2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69DD7C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eastAsia="zh-CN"/>
              </w:rPr>
              <w:t>Basic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 xml:space="preserve"> model + 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>BMR</w:t>
            </w:r>
            <w:r>
              <w:rPr>
                <w:rFonts w:hint="eastAsia" w:ascii="Arial" w:hAnsi="Arial" w:eastAsia="等线" w:cs="Arial"/>
                <w:b/>
                <w:bCs/>
                <w:color w:val="000000"/>
                <w:kern w:val="0"/>
                <w:sz w:val="12"/>
                <w:szCs w:val="12"/>
                <w:lang w:val="en-US" w:eastAsia="zh-CN"/>
              </w:rPr>
              <w:t xml:space="preserve"> </w:t>
            </w:r>
            <w:r>
              <w:rPr>
                <w:rFonts w:hint="eastAsia" w:ascii="Arial" w:hAnsi="Arial" w:eastAsia="等线" w:cs="Arial"/>
                <w:b/>
                <w:bCs/>
                <w:color w:val="000000"/>
                <w:kern w:val="0"/>
                <w:sz w:val="12"/>
                <w:szCs w:val="12"/>
                <w:vertAlign w:val="subscript"/>
                <w:lang w:val="en-US" w:eastAsia="zh-CN"/>
              </w:rPr>
              <w:t>(H-B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vertAlign w:val="subscript"/>
                <w:lang w:val="en-US" w:eastAsia="zh-CN"/>
              </w:rPr>
              <w:t>)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 xml:space="preserve"> +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 xml:space="preserve">eGDR 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1CD062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0.753 (0.737-0.769)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F71238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0.002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4323ED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0.343 (0.278-0.408)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A9B408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&lt;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0.001</w:t>
            </w:r>
          </w:p>
        </w:tc>
        <w:tc>
          <w:tcPr>
            <w:tcW w:w="8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8290EA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0.012 (0.008-0.016)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44B844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&lt;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0.001</w:t>
            </w:r>
          </w:p>
        </w:tc>
      </w:tr>
      <w:tr w14:paraId="204C40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47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33298C63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eastAsia="zh-CN"/>
              </w:rPr>
              <w:t>Basic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 xml:space="preserve"> model + 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>BMR</w:t>
            </w:r>
            <w:r>
              <w:rPr>
                <w:rFonts w:hint="eastAsia" w:ascii="Arial" w:hAnsi="Arial" w:eastAsia="等线" w:cs="Arial"/>
                <w:b/>
                <w:bCs/>
                <w:color w:val="000000"/>
                <w:kern w:val="0"/>
                <w:sz w:val="12"/>
                <w:szCs w:val="12"/>
                <w:lang w:val="en-US" w:eastAsia="zh-CN"/>
              </w:rPr>
              <w:t xml:space="preserve"> </w:t>
            </w:r>
            <w:r>
              <w:rPr>
                <w:rFonts w:hint="eastAsia" w:ascii="Arial" w:hAnsi="Arial" w:eastAsia="等线" w:cs="Arial"/>
                <w:b/>
                <w:bCs/>
                <w:color w:val="000000"/>
                <w:kern w:val="0"/>
                <w:sz w:val="12"/>
                <w:szCs w:val="12"/>
                <w:vertAlign w:val="subscript"/>
                <w:lang w:val="en-US" w:eastAsia="zh-CN"/>
              </w:rPr>
              <w:t>(H-B)</w:t>
            </w:r>
            <w:r>
              <w:rPr>
                <w:rFonts w:hint="eastAsia" w:ascii="Arial" w:hAnsi="Arial" w:eastAsia="等线" w:cs="Arial"/>
                <w:b/>
                <w:bCs/>
                <w:color w:val="000000"/>
                <w:kern w:val="0"/>
                <w:sz w:val="12"/>
                <w:szCs w:val="12"/>
                <w:lang w:val="en-US" w:eastAsia="zh-CN"/>
              </w:rPr>
              <w:t xml:space="preserve"> 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>+ METS-IR</w:t>
            </w:r>
          </w:p>
        </w:tc>
        <w:tc>
          <w:tcPr>
            <w:tcW w:w="813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52AE4D1B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0.744 (0.728-0.760)</w:t>
            </w:r>
          </w:p>
        </w:tc>
        <w:tc>
          <w:tcPr>
            <w:tcW w:w="488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0E6996B3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0.104</w:t>
            </w:r>
          </w:p>
        </w:tc>
        <w:tc>
          <w:tcPr>
            <w:tcW w:w="844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3876A242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0.116 (0.051-0.181)</w:t>
            </w:r>
          </w:p>
        </w:tc>
        <w:tc>
          <w:tcPr>
            <w:tcW w:w="379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7ED51459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0.001</w:t>
            </w:r>
          </w:p>
        </w:tc>
        <w:tc>
          <w:tcPr>
            <w:tcW w:w="845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6BCB4CD9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0.002 (0.000-0.004)</w:t>
            </w:r>
          </w:p>
        </w:tc>
        <w:tc>
          <w:tcPr>
            <w:tcW w:w="380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3D25CCC5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0.036</w:t>
            </w:r>
          </w:p>
        </w:tc>
      </w:tr>
    </w:tbl>
    <w:p w14:paraId="5A0A033B">
      <w:pPr>
        <w:rPr>
          <w:rFonts w:hint="default" w:ascii="Arial" w:hAnsi="Arial" w:eastAsia="Segoe UI" w:cs="Arial"/>
          <w:i w:val="0"/>
          <w:iCs w:val="0"/>
          <w:caps w:val="0"/>
          <w:spacing w:val="0"/>
          <w:sz w:val="12"/>
          <w:szCs w:val="12"/>
          <w:shd w:val="clear" w:color="auto" w:fill="FFFFFF"/>
        </w:rPr>
      </w:pPr>
      <w:r>
        <w:rPr>
          <w:rFonts w:hint="eastAsia" w:ascii="Arial" w:hAnsi="Arial" w:cs="Arial"/>
          <w:b w:val="0"/>
          <w:bCs w:val="0"/>
          <w:i/>
          <w:iCs/>
          <w:color w:val="000000"/>
          <w:sz w:val="12"/>
          <w:szCs w:val="12"/>
          <w:u w:val="none"/>
          <w:lang w:val="en-US" w:eastAsia="zh-CN"/>
        </w:rPr>
        <w:t>BMR</w:t>
      </w:r>
      <w:r>
        <w:rPr>
          <w:rFonts w:hint="eastAsia" w:ascii="Arial" w:hAnsi="Arial" w:eastAsia="等线" w:cs="Arial"/>
          <w:b/>
          <w:bCs/>
          <w:color w:val="000000"/>
          <w:kern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eastAsia="等线" w:cs="Arial"/>
          <w:b/>
          <w:bCs/>
          <w:color w:val="000000"/>
          <w:kern w:val="0"/>
          <w:sz w:val="12"/>
          <w:szCs w:val="12"/>
          <w:vertAlign w:val="subscript"/>
          <w:lang w:val="en-US" w:eastAsia="zh-CN"/>
        </w:rPr>
        <w:t>(H-B)</w:t>
      </w:r>
      <w:r>
        <w:rPr>
          <w:rFonts w:hint="default" w:ascii="Arial" w:hAnsi="Arial" w:cs="Arial"/>
          <w:b w:val="0"/>
          <w:bCs w:val="0"/>
          <w:i w:val="0"/>
          <w:iCs w:val="0"/>
          <w:color w:val="000000"/>
          <w:sz w:val="12"/>
          <w:szCs w:val="12"/>
          <w:u w:val="none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i w:val="0"/>
          <w:iCs w:val="0"/>
          <w:color w:val="000000"/>
          <w:sz w:val="12"/>
          <w:szCs w:val="12"/>
          <w:u w:val="none"/>
          <w:lang w:val="en-US" w:eastAsia="zh-CN"/>
        </w:rPr>
        <w:t>b</w:t>
      </w:r>
      <w:r>
        <w:rPr>
          <w:rFonts w:hint="default" w:ascii="Arial" w:hAnsi="Arial" w:cs="Arial"/>
          <w:b w:val="0"/>
          <w:bCs w:val="0"/>
          <w:i w:val="0"/>
          <w:iCs w:val="0"/>
          <w:color w:val="000000"/>
          <w:sz w:val="12"/>
          <w:szCs w:val="12"/>
          <w:u w:val="none"/>
          <w:lang w:val="en-US" w:eastAsia="zh-CN"/>
        </w:rPr>
        <w:t>asal metabolic rate</w:t>
      </w:r>
      <w:r>
        <w:rPr>
          <w:rFonts w:hint="eastAsia" w:ascii="Arial" w:hAnsi="Arial" w:cs="Arial"/>
          <w:b w:val="0"/>
          <w:bCs w:val="0"/>
          <w:i w:val="0"/>
          <w:iCs w:val="0"/>
          <w:color w:val="000000"/>
          <w:sz w:val="12"/>
          <w:szCs w:val="12"/>
          <w:u w:val="none"/>
          <w:lang w:val="en-US" w:eastAsia="zh-CN"/>
        </w:rPr>
        <w:t xml:space="preserve"> estimated via Harris-Benedict equation</w:t>
      </w:r>
      <w:r>
        <w:rPr>
          <w:rFonts w:hint="default" w:ascii="Arial" w:hAnsi="Arial" w:cs="Arial"/>
          <w:b w:val="0"/>
          <w:bCs w:val="0"/>
          <w:i w:val="0"/>
          <w:iCs w:val="0"/>
          <w:color w:val="000000"/>
          <w:sz w:val="12"/>
          <w:szCs w:val="12"/>
          <w:u w:val="none"/>
          <w:lang w:val="en-US" w:eastAsia="zh-CN"/>
        </w:rPr>
        <w:t xml:space="preserve">, </w:t>
      </w:r>
      <w:r>
        <w:rPr>
          <w:rFonts w:hint="eastAsia" w:ascii="Arial" w:hAnsi="Arial" w:cs="Arial"/>
          <w:b w:val="0"/>
          <w:bCs w:val="0"/>
          <w:i/>
          <w:iCs/>
          <w:color w:val="000000"/>
          <w:sz w:val="12"/>
          <w:szCs w:val="12"/>
          <w:u w:val="none"/>
          <w:lang w:val="en-US" w:eastAsia="zh-CN"/>
        </w:rPr>
        <w:t>TyG</w:t>
      </w:r>
      <w:r>
        <w:rPr>
          <w:rFonts w:hint="default" w:ascii="Arial" w:hAnsi="Arial" w:cs="Arial"/>
          <w:b w:val="0"/>
          <w:bCs w:val="0"/>
          <w:i w:val="0"/>
          <w:iCs w:val="0"/>
          <w:color w:val="000000"/>
          <w:sz w:val="12"/>
          <w:szCs w:val="12"/>
          <w:u w:val="none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i w:val="0"/>
          <w:iCs w:val="0"/>
          <w:color w:val="000000"/>
          <w:sz w:val="12"/>
          <w:szCs w:val="12"/>
          <w:u w:val="none"/>
          <w:lang w:val="en-US" w:eastAsia="zh-CN"/>
        </w:rPr>
        <w:t>t</w:t>
      </w:r>
      <w:r>
        <w:rPr>
          <w:rFonts w:hint="default" w:ascii="Arial" w:hAnsi="Arial" w:cs="Arial"/>
          <w:b w:val="0"/>
          <w:bCs w:val="0"/>
          <w:i w:val="0"/>
          <w:iCs w:val="0"/>
          <w:color w:val="000000"/>
          <w:sz w:val="12"/>
          <w:szCs w:val="12"/>
          <w:u w:val="none"/>
          <w:lang w:val="en-US" w:eastAsia="zh-CN"/>
        </w:rPr>
        <w:t xml:space="preserve">riglyceride-glucose, </w:t>
      </w:r>
      <w:r>
        <w:rPr>
          <w:rFonts w:hint="eastAsia" w:ascii="Arial" w:hAnsi="Arial" w:cs="Arial"/>
          <w:b w:val="0"/>
          <w:bCs w:val="0"/>
          <w:i/>
          <w:iCs/>
          <w:color w:val="000000"/>
          <w:sz w:val="12"/>
          <w:szCs w:val="12"/>
          <w:u w:val="none"/>
          <w:lang w:val="en-US" w:eastAsia="zh-CN"/>
        </w:rPr>
        <w:t>eGDR</w:t>
      </w:r>
      <w:r>
        <w:rPr>
          <w:rFonts w:hint="default" w:ascii="Arial" w:hAnsi="Arial" w:cs="Arial"/>
          <w:b w:val="0"/>
          <w:bCs w:val="0"/>
          <w:i w:val="0"/>
          <w:iCs w:val="0"/>
          <w:color w:val="000000"/>
          <w:sz w:val="12"/>
          <w:szCs w:val="12"/>
          <w:u w:val="none"/>
          <w:lang w:val="en-US" w:eastAsia="zh-CN"/>
        </w:rPr>
        <w:t xml:space="preserve"> estimated glucose disposal rate, </w:t>
      </w:r>
      <w:r>
        <w:rPr>
          <w:rFonts w:hint="eastAsia" w:ascii="Arial" w:hAnsi="Arial" w:cs="Arial"/>
          <w:b w:val="0"/>
          <w:bCs w:val="0"/>
          <w:i/>
          <w:iCs/>
          <w:color w:val="000000"/>
          <w:sz w:val="12"/>
          <w:szCs w:val="12"/>
          <w:u w:val="none"/>
          <w:lang w:val="en-US" w:eastAsia="zh-CN"/>
        </w:rPr>
        <w:t>METS-IR</w:t>
      </w:r>
      <w:r>
        <w:rPr>
          <w:rFonts w:hint="default" w:ascii="Arial" w:hAnsi="Arial" w:cs="Arial"/>
          <w:b w:val="0"/>
          <w:bCs w:val="0"/>
          <w:i w:val="0"/>
          <w:iCs w:val="0"/>
          <w:color w:val="000000"/>
          <w:sz w:val="12"/>
          <w:szCs w:val="12"/>
          <w:u w:val="none"/>
          <w:lang w:val="en-US" w:eastAsia="zh-CN"/>
        </w:rPr>
        <w:t xml:space="preserve"> metabolic score for insulin resistance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12"/>
          <w:szCs w:val="12"/>
          <w:shd w:val="clear" w:color="auto" w:fill="FFFFFF"/>
        </w:rPr>
        <w:t xml:space="preserve">, </w:t>
      </w:r>
      <w:r>
        <w:rPr>
          <w:rFonts w:hint="default" w:ascii="Arial" w:hAnsi="Arial" w:eastAsia="Segoe UI" w:cs="Arial"/>
          <w:i/>
          <w:iCs/>
          <w:caps w:val="0"/>
          <w:spacing w:val="0"/>
          <w:sz w:val="12"/>
          <w:szCs w:val="12"/>
          <w:shd w:val="clear" w:color="auto" w:fill="FFFFFF"/>
        </w:rPr>
        <w:t>AUC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12"/>
          <w:szCs w:val="12"/>
          <w:shd w:val="clear" w:color="auto" w:fill="FFFFFF"/>
        </w:rPr>
        <w:t xml:space="preserve"> area under the receiver operating characteristic curve, </w:t>
      </w:r>
      <w:r>
        <w:rPr>
          <w:rFonts w:hint="default" w:ascii="Arial" w:hAnsi="Arial" w:eastAsia="Segoe UI" w:cs="Arial"/>
          <w:i/>
          <w:iCs/>
          <w:caps w:val="0"/>
          <w:spacing w:val="0"/>
          <w:sz w:val="12"/>
          <w:szCs w:val="12"/>
          <w:shd w:val="clear" w:color="auto" w:fill="FFFFFF"/>
        </w:rPr>
        <w:t>CI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12"/>
          <w:szCs w:val="12"/>
          <w:shd w:val="clear" w:color="auto" w:fill="FFFFFF"/>
        </w:rPr>
        <w:t xml:space="preserve"> confidence interval</w:t>
      </w:r>
    </w:p>
    <w:p w14:paraId="122EFD12"/>
    <w:p w14:paraId="6D6AB6C1"/>
    <w:p w14:paraId="35AD3B61"/>
    <w:p w14:paraId="75B1AD77"/>
    <w:p w14:paraId="3B6B7D14"/>
    <w:p w14:paraId="389E47D0">
      <w:r>
        <w:rPr>
          <w:rFonts w:hint="default" w:ascii="Arial" w:hAnsi="Arial" w:eastAsia="等线" w:cs="Arial"/>
          <w:b/>
          <w:bCs/>
          <w:color w:val="000000"/>
          <w:kern w:val="0"/>
          <w:sz w:val="16"/>
          <w:szCs w:val="16"/>
        </w:rPr>
        <w:t>Table S</w:t>
      </w:r>
      <w:r>
        <w:rPr>
          <w:rFonts w:hint="eastAsia" w:ascii="Arial" w:hAnsi="Arial" w:eastAsia="等线" w:cs="Arial"/>
          <w:b/>
          <w:bCs/>
          <w:color w:val="000000"/>
          <w:kern w:val="0"/>
          <w:sz w:val="16"/>
          <w:szCs w:val="16"/>
          <w:lang w:val="en-US" w:eastAsia="zh-CN"/>
        </w:rPr>
        <w:t>12</w:t>
      </w:r>
      <w:r>
        <w:rPr>
          <w:rFonts w:hint="default" w:ascii="Arial" w:hAnsi="Arial" w:eastAsia="等线" w:cs="Arial"/>
          <w:color w:val="000000"/>
          <w:kern w:val="0"/>
          <w:sz w:val="16"/>
          <w:szCs w:val="16"/>
        </w:rPr>
        <w:t xml:space="preserve"> </w:t>
      </w:r>
      <w:r>
        <w:rPr>
          <w:rFonts w:hint="eastAsia" w:ascii="Arial" w:hAnsi="Arial" w:eastAsia="等线" w:cs="Arial"/>
          <w:color w:val="000000"/>
          <w:kern w:val="0"/>
          <w:sz w:val="16"/>
          <w:szCs w:val="16"/>
          <w:lang w:val="en-US" w:eastAsia="zh-CN"/>
        </w:rPr>
        <w:t xml:space="preserve"> </w:t>
      </w:r>
      <w:r>
        <w:rPr>
          <w:rFonts w:hint="default" w:ascii="Arial" w:hAnsi="Arial" w:eastAsia="等线" w:cs="Arial"/>
          <w:color w:val="000000"/>
          <w:kern w:val="0"/>
          <w:sz w:val="16"/>
          <w:szCs w:val="16"/>
        </w:rPr>
        <w:t xml:space="preserve">Predictive performance of </w:t>
      </w:r>
      <w:r>
        <w:rPr>
          <w:rFonts w:hint="eastAsia" w:ascii="Arial" w:hAnsi="Arial" w:eastAsia="等线" w:cs="Arial"/>
          <w:color w:val="000000"/>
          <w:kern w:val="0"/>
          <w:sz w:val="16"/>
          <w:szCs w:val="16"/>
          <w:lang w:val="en-US" w:eastAsia="zh-CN"/>
        </w:rPr>
        <w:t>BMR</w:t>
      </w:r>
      <w:r>
        <w:rPr>
          <w:rFonts w:hint="eastAsia" w:ascii="Arial" w:hAnsi="Arial" w:eastAsia="等线" w:cs="Arial"/>
          <w:b/>
          <w:bCs/>
          <w:color w:val="000000"/>
          <w:kern w:val="0"/>
          <w:sz w:val="16"/>
          <w:szCs w:val="16"/>
          <w:lang w:val="en-US" w:eastAsia="zh-CN"/>
        </w:rPr>
        <w:t xml:space="preserve"> </w:t>
      </w:r>
      <w:r>
        <w:rPr>
          <w:rFonts w:hint="eastAsia" w:ascii="Arial" w:hAnsi="Arial" w:eastAsia="等线" w:cs="Arial"/>
          <w:b/>
          <w:bCs/>
          <w:color w:val="000000"/>
          <w:kern w:val="0"/>
          <w:sz w:val="16"/>
          <w:szCs w:val="16"/>
          <w:vertAlign w:val="subscript"/>
          <w:lang w:val="en-US" w:eastAsia="zh-CN"/>
        </w:rPr>
        <w:t>(M-SJ)</w:t>
      </w:r>
      <w:r>
        <w:rPr>
          <w:rFonts w:hint="eastAsia" w:ascii="Arial" w:hAnsi="Arial" w:eastAsia="等线" w:cs="Arial"/>
          <w:color w:val="000000"/>
          <w:kern w:val="0"/>
          <w:sz w:val="16"/>
          <w:szCs w:val="16"/>
          <w:lang w:val="en-US" w:eastAsia="zh-CN"/>
        </w:rPr>
        <w:t xml:space="preserve">, </w:t>
      </w:r>
      <w:r>
        <w:rPr>
          <w:rFonts w:hint="default" w:ascii="Arial" w:hAnsi="Arial" w:eastAsia="等线" w:cs="Arial"/>
          <w:color w:val="000000"/>
          <w:kern w:val="0"/>
          <w:sz w:val="16"/>
          <w:szCs w:val="16"/>
        </w:rPr>
        <w:t xml:space="preserve">TyG, eGDR </w:t>
      </w:r>
      <w:r>
        <w:rPr>
          <w:rFonts w:hint="eastAsia" w:ascii="Arial" w:hAnsi="Arial" w:eastAsia="等线" w:cs="Arial"/>
          <w:color w:val="000000"/>
          <w:kern w:val="0"/>
          <w:sz w:val="16"/>
          <w:szCs w:val="16"/>
          <w:lang w:val="en-US" w:eastAsia="zh-CN"/>
        </w:rPr>
        <w:t xml:space="preserve">and METS-IR </w:t>
      </w:r>
      <w:r>
        <w:rPr>
          <w:rFonts w:hint="default" w:ascii="Arial" w:hAnsi="Arial" w:eastAsia="等线" w:cs="Arial"/>
          <w:color w:val="000000"/>
          <w:kern w:val="0"/>
          <w:sz w:val="16"/>
          <w:szCs w:val="16"/>
        </w:rPr>
        <w:t>for CMM</w:t>
      </w:r>
    </w:p>
    <w:tbl>
      <w:tblPr>
        <w:tblStyle w:val="2"/>
        <w:tblW w:w="4997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4"/>
        <w:gridCol w:w="1377"/>
        <w:gridCol w:w="823"/>
        <w:gridCol w:w="1432"/>
        <w:gridCol w:w="636"/>
        <w:gridCol w:w="1434"/>
        <w:gridCol w:w="641"/>
      </w:tblGrid>
      <w:tr w14:paraId="496E39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5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589A3944">
            <w:pPr>
              <w:widowControl/>
              <w:jc w:val="center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　</w:t>
            </w:r>
          </w:p>
        </w:tc>
        <w:tc>
          <w:tcPr>
            <w:tcW w:w="808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5F0D7689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AUC (95%CI)</w:t>
            </w:r>
          </w:p>
        </w:tc>
        <w:tc>
          <w:tcPr>
            <w:tcW w:w="483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1D31A93D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</w:pPr>
            <w:r>
              <w:rPr>
                <w:rFonts w:hint="eastAsia" w:ascii="Arial" w:hAnsi="Arial" w:eastAsia="等线" w:cs="Arial"/>
                <w:i/>
                <w:iCs/>
                <w:color w:val="000000"/>
                <w:kern w:val="0"/>
                <w:sz w:val="12"/>
                <w:szCs w:val="12"/>
                <w:lang w:val="en-US" w:eastAsia="zh-CN"/>
              </w:rPr>
              <w:t>P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 xml:space="preserve"> value</w:t>
            </w:r>
          </w:p>
        </w:tc>
        <w:tc>
          <w:tcPr>
            <w:tcW w:w="840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116CBC43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NRI (95%CI)</w:t>
            </w:r>
          </w:p>
        </w:tc>
        <w:tc>
          <w:tcPr>
            <w:tcW w:w="373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245CBBEF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</w:pPr>
            <w:r>
              <w:rPr>
                <w:rFonts w:hint="eastAsia" w:ascii="Arial" w:hAnsi="Arial" w:eastAsia="等线" w:cs="Arial"/>
                <w:i/>
                <w:iCs/>
                <w:color w:val="000000"/>
                <w:kern w:val="0"/>
                <w:sz w:val="12"/>
                <w:szCs w:val="12"/>
                <w:lang w:val="en-US" w:eastAsia="zh-CN"/>
              </w:rPr>
              <w:t>P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 xml:space="preserve"> value</w:t>
            </w:r>
          </w:p>
        </w:tc>
        <w:tc>
          <w:tcPr>
            <w:tcW w:w="841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2A282832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IDI (95%CI)</w:t>
            </w:r>
          </w:p>
        </w:tc>
        <w:tc>
          <w:tcPr>
            <w:tcW w:w="376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0952BF03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</w:pPr>
            <w:r>
              <w:rPr>
                <w:rFonts w:hint="eastAsia" w:ascii="Arial" w:hAnsi="Arial" w:eastAsia="等线" w:cs="Arial"/>
                <w:i/>
                <w:iCs/>
                <w:color w:val="000000"/>
                <w:kern w:val="0"/>
                <w:sz w:val="12"/>
                <w:szCs w:val="12"/>
                <w:lang w:val="en-US" w:eastAsia="zh-CN"/>
              </w:rPr>
              <w:t>P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 xml:space="preserve"> value</w:t>
            </w:r>
          </w:p>
        </w:tc>
      </w:tr>
      <w:tr w14:paraId="27D4FE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4038C2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eastAsia="zh-CN"/>
              </w:rPr>
              <w:t>Basic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 xml:space="preserve"> model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941D62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0.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>741 (0.725-0.757)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E40C88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Reference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5374CB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Reference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7D0B06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</w:pPr>
            <w:r>
              <w:rPr>
                <w:rFonts w:hint="eastAsia" w:ascii="Arial" w:hAnsi="Arial" w:eastAsia="等线" w:cs="Arial"/>
                <w:b/>
                <w:bCs/>
                <w:color w:val="000000"/>
                <w:kern w:val="0"/>
                <w:sz w:val="12"/>
                <w:szCs w:val="12"/>
                <w:lang w:val="en-US" w:eastAsia="zh-CN"/>
              </w:rPr>
              <w:t>—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5E064B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Reference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0C345F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</w:pPr>
            <w:r>
              <w:rPr>
                <w:rFonts w:hint="eastAsia" w:ascii="Arial" w:hAnsi="Arial" w:eastAsia="等线" w:cs="Arial"/>
                <w:b/>
                <w:bCs/>
                <w:color w:val="000000"/>
                <w:kern w:val="0"/>
                <w:sz w:val="12"/>
                <w:szCs w:val="12"/>
                <w:lang w:val="en-US" w:eastAsia="zh-CN"/>
              </w:rPr>
              <w:t>—</w:t>
            </w:r>
          </w:p>
        </w:tc>
      </w:tr>
      <w:tr w14:paraId="4AC826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E4273A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eastAsia="zh-CN"/>
              </w:rPr>
              <w:t>Basic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 xml:space="preserve"> model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 xml:space="preserve"> + BMR</w:t>
            </w:r>
            <w:r>
              <w:rPr>
                <w:rFonts w:hint="eastAsia" w:ascii="Arial" w:hAnsi="Arial" w:eastAsia="等线" w:cs="Arial"/>
                <w:b/>
                <w:bCs/>
                <w:color w:val="000000"/>
                <w:kern w:val="0"/>
                <w:sz w:val="12"/>
                <w:szCs w:val="12"/>
                <w:lang w:val="en-US" w:eastAsia="zh-CN"/>
              </w:rPr>
              <w:t xml:space="preserve"> </w:t>
            </w:r>
            <w:r>
              <w:rPr>
                <w:rFonts w:hint="eastAsia" w:ascii="Arial" w:hAnsi="Arial" w:eastAsia="等线" w:cs="Arial"/>
                <w:b/>
                <w:bCs/>
                <w:color w:val="000000"/>
                <w:kern w:val="0"/>
                <w:sz w:val="12"/>
                <w:szCs w:val="12"/>
                <w:vertAlign w:val="subscript"/>
                <w:lang w:val="en-US" w:eastAsia="zh-CN"/>
              </w:rPr>
              <w:t>(M-SJ)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48070F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>0.749 (0.733-0.765)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4C48AC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>0.003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1E5D8E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0.166 (0.101-0.231)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F724D7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&lt;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0.001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8AFA03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0.004 (0.001-0.008)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5B462A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>0.007</w:t>
            </w:r>
          </w:p>
        </w:tc>
      </w:tr>
      <w:tr w14:paraId="265785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76D5A0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eastAsia="zh-CN"/>
              </w:rPr>
              <w:t>Basic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 xml:space="preserve"> model + TyG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73E85F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>0.754 (0.738-0.770)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650CD4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&lt;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0.001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14591E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0.331 (0.266-0.395)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6CCBF5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&lt;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0.001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9EBF15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0.014 (0.010-0.019)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22EDB5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&lt;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0.001</w:t>
            </w:r>
          </w:p>
        </w:tc>
      </w:tr>
      <w:tr w14:paraId="28DDA2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58126F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eastAsia="zh-CN"/>
              </w:rPr>
              <w:t>Basic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 xml:space="preserve"> model + eGDR 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17FFF0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>0.753 (0.734-0.769)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F495DA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0.002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E54425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0.342 (0.277-0.406)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818A9E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&lt;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0.001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8AB458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0.012 (0.008-0.016)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37183C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&lt;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0.001</w:t>
            </w:r>
          </w:p>
        </w:tc>
      </w:tr>
      <w:tr w14:paraId="0D94A0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DEBF5E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eastAsia="zh-CN"/>
              </w:rPr>
              <w:t>Basic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 xml:space="preserve"> model + 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>METS-IR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6EA281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>0.741 (0.725-0.758)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32E734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0.842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11AD6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-0.049 (-0.109-0.010)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B12200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0.103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FB3FAD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-0.001 (-0.001-0.000)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B8A09C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0.086</w:t>
            </w:r>
          </w:p>
        </w:tc>
      </w:tr>
      <w:tr w14:paraId="3B3598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5238E2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eastAsia="zh-CN"/>
              </w:rPr>
              <w:t>Basic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 xml:space="preserve"> model + 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>BMR</w:t>
            </w:r>
            <w:r>
              <w:rPr>
                <w:rFonts w:hint="eastAsia" w:ascii="Arial" w:hAnsi="Arial" w:eastAsia="等线" w:cs="Arial"/>
                <w:b/>
                <w:bCs/>
                <w:color w:val="000000"/>
                <w:kern w:val="0"/>
                <w:sz w:val="12"/>
                <w:szCs w:val="12"/>
                <w:lang w:val="en-US" w:eastAsia="zh-CN"/>
              </w:rPr>
              <w:t xml:space="preserve"> </w:t>
            </w:r>
            <w:r>
              <w:rPr>
                <w:rFonts w:hint="eastAsia" w:ascii="Arial" w:hAnsi="Arial" w:eastAsia="等线" w:cs="Arial"/>
                <w:b/>
                <w:bCs/>
                <w:color w:val="000000"/>
                <w:kern w:val="0"/>
                <w:sz w:val="12"/>
                <w:szCs w:val="12"/>
                <w:vertAlign w:val="subscript"/>
                <w:lang w:val="en-US" w:eastAsia="zh-CN"/>
              </w:rPr>
              <w:t>(M-SJ)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 xml:space="preserve"> +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TyG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AD27C7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0.761 (0.745-0.776)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077B28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&lt;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0.001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22EC14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0.335 (0.271-0.400)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D95730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&lt;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0.001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E62E06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0.017 (0.012-0.023)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DE6651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&lt;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0.001</w:t>
            </w:r>
          </w:p>
        </w:tc>
      </w:tr>
      <w:tr w14:paraId="2F3C8A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4BEA0D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eastAsia="zh-CN"/>
              </w:rPr>
              <w:t>Basic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 xml:space="preserve"> model + 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>BMR</w:t>
            </w:r>
            <w:r>
              <w:rPr>
                <w:rFonts w:hint="eastAsia" w:ascii="Arial" w:hAnsi="Arial" w:eastAsia="等线" w:cs="Arial"/>
                <w:b/>
                <w:bCs/>
                <w:color w:val="000000"/>
                <w:kern w:val="0"/>
                <w:sz w:val="12"/>
                <w:szCs w:val="12"/>
                <w:lang w:val="en-US" w:eastAsia="zh-CN"/>
              </w:rPr>
              <w:t xml:space="preserve"> </w:t>
            </w:r>
            <w:r>
              <w:rPr>
                <w:rFonts w:hint="eastAsia" w:ascii="Arial" w:hAnsi="Arial" w:eastAsia="等线" w:cs="Arial"/>
                <w:b/>
                <w:bCs/>
                <w:color w:val="000000"/>
                <w:kern w:val="0"/>
                <w:sz w:val="12"/>
                <w:szCs w:val="12"/>
                <w:vertAlign w:val="subscript"/>
                <w:lang w:val="en-US" w:eastAsia="zh-CN"/>
              </w:rPr>
              <w:t>(M-SJ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vertAlign w:val="subscript"/>
                <w:lang w:val="en-US" w:eastAsia="zh-CN"/>
              </w:rPr>
              <w:t>)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 xml:space="preserve"> +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 xml:space="preserve">eGDR 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6F3359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0.755 (0.740-0.771)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A669DF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&lt;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0.001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CD4E73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0.310 (0.246-0.375)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4B56AA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bookmarkStart w:id="0" w:name="OLE_LINK2"/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&lt;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0.001</w:t>
            </w:r>
            <w:bookmarkEnd w:id="0"/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2D7CDB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0.013 (0.009-0.018)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5EB10F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&lt;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0.001</w:t>
            </w:r>
          </w:p>
        </w:tc>
      </w:tr>
      <w:tr w14:paraId="56502F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75" w:type="pct"/>
            <w:tcBorders>
              <w:top w:val="nil"/>
              <w:left w:val="nil"/>
              <w:bottom w:val="single" w:color="auto" w:sz="8" w:space="0"/>
              <w:right w:val="nil"/>
            </w:tcBorders>
            <w:noWrap/>
            <w:vAlign w:val="bottom"/>
          </w:tcPr>
          <w:p w14:paraId="11CC4173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eastAsia="zh-CN"/>
              </w:rPr>
              <w:t>Basic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 xml:space="preserve"> model + 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>BMR</w:t>
            </w:r>
            <w:r>
              <w:rPr>
                <w:rFonts w:hint="eastAsia" w:ascii="Arial" w:hAnsi="Arial" w:eastAsia="等线" w:cs="Arial"/>
                <w:b/>
                <w:bCs/>
                <w:color w:val="000000"/>
                <w:kern w:val="0"/>
                <w:sz w:val="12"/>
                <w:szCs w:val="12"/>
                <w:lang w:val="en-US" w:eastAsia="zh-CN"/>
              </w:rPr>
              <w:t xml:space="preserve"> </w:t>
            </w:r>
            <w:r>
              <w:rPr>
                <w:rFonts w:hint="eastAsia" w:ascii="Arial" w:hAnsi="Arial" w:eastAsia="等线" w:cs="Arial"/>
                <w:b/>
                <w:bCs/>
                <w:color w:val="000000"/>
                <w:kern w:val="0"/>
                <w:sz w:val="12"/>
                <w:szCs w:val="12"/>
                <w:vertAlign w:val="subscript"/>
                <w:lang w:val="en-US" w:eastAsia="zh-CN"/>
              </w:rPr>
              <w:t>(M-SJ)</w:t>
            </w:r>
            <w:r>
              <w:rPr>
                <w:rFonts w:hint="eastAsia" w:ascii="Arial" w:hAnsi="Arial" w:eastAsia="等线" w:cs="Arial"/>
                <w:b/>
                <w:bCs/>
                <w:color w:val="000000"/>
                <w:kern w:val="0"/>
                <w:sz w:val="12"/>
                <w:szCs w:val="12"/>
                <w:lang w:val="en-US" w:eastAsia="zh-CN"/>
              </w:rPr>
              <w:t xml:space="preserve"> 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>+ METS-IR</w:t>
            </w:r>
          </w:p>
        </w:tc>
        <w:tc>
          <w:tcPr>
            <w:tcW w:w="808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285A2E0D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0.749 (0.733-0.765)</w:t>
            </w:r>
          </w:p>
        </w:tc>
        <w:tc>
          <w:tcPr>
            <w:tcW w:w="483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4A76BA1B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0.003</w:t>
            </w:r>
          </w:p>
        </w:tc>
        <w:tc>
          <w:tcPr>
            <w:tcW w:w="840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7C5A7B8D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0.177 (0.112-0.242)</w:t>
            </w:r>
          </w:p>
        </w:tc>
        <w:tc>
          <w:tcPr>
            <w:tcW w:w="373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4E199FA0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&lt;</w:t>
            </w: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</w:rPr>
              <w:t>0.001</w:t>
            </w:r>
          </w:p>
        </w:tc>
        <w:tc>
          <w:tcPr>
            <w:tcW w:w="841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2B97A9D2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0.004 (0.001-0.008)</w:t>
            </w:r>
          </w:p>
        </w:tc>
        <w:tc>
          <w:tcPr>
            <w:tcW w:w="376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 w14:paraId="38C720F6">
            <w:pPr>
              <w:widowControl/>
              <w:jc w:val="left"/>
              <w:rPr>
                <w:rFonts w:hint="default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</w:pPr>
            <w:r>
              <w:rPr>
                <w:rFonts w:hint="eastAsia" w:ascii="Arial" w:hAnsi="Arial" w:eastAsia="等线" w:cs="Arial"/>
                <w:color w:val="000000"/>
                <w:kern w:val="0"/>
                <w:sz w:val="12"/>
                <w:szCs w:val="12"/>
                <w:lang w:val="en-US" w:eastAsia="zh-CN" w:bidi="ar-SA"/>
              </w:rPr>
              <w:t>0.007</w:t>
            </w:r>
          </w:p>
        </w:tc>
      </w:tr>
    </w:tbl>
    <w:p w14:paraId="799F52BB">
      <w:pPr>
        <w:rPr>
          <w:rFonts w:hint="default" w:ascii="Arial" w:hAnsi="Arial" w:eastAsia="Segoe UI" w:cs="Arial"/>
          <w:i w:val="0"/>
          <w:iCs w:val="0"/>
          <w:caps w:val="0"/>
          <w:spacing w:val="0"/>
          <w:sz w:val="12"/>
          <w:szCs w:val="12"/>
          <w:shd w:val="clear" w:color="auto" w:fill="FFFFFF"/>
        </w:rPr>
      </w:pPr>
      <w:r>
        <w:rPr>
          <w:rFonts w:hint="eastAsia" w:ascii="Arial" w:hAnsi="Arial" w:cs="Arial"/>
          <w:b w:val="0"/>
          <w:bCs w:val="0"/>
          <w:i/>
          <w:iCs/>
          <w:color w:val="000000"/>
          <w:sz w:val="12"/>
          <w:szCs w:val="12"/>
          <w:u w:val="none"/>
          <w:lang w:val="en-US" w:eastAsia="zh-CN"/>
        </w:rPr>
        <w:t>BMR</w:t>
      </w:r>
      <w:r>
        <w:rPr>
          <w:rFonts w:hint="eastAsia" w:ascii="Arial" w:hAnsi="Arial" w:eastAsia="等线" w:cs="Arial"/>
          <w:b/>
          <w:bCs/>
          <w:color w:val="000000"/>
          <w:kern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eastAsia="等线" w:cs="Arial"/>
          <w:b/>
          <w:bCs/>
          <w:color w:val="000000"/>
          <w:kern w:val="0"/>
          <w:sz w:val="12"/>
          <w:szCs w:val="12"/>
          <w:vertAlign w:val="subscript"/>
          <w:lang w:val="en-US" w:eastAsia="zh-CN"/>
        </w:rPr>
        <w:t>(M-SJ)</w:t>
      </w:r>
      <w:r>
        <w:rPr>
          <w:rFonts w:hint="default" w:ascii="Arial" w:hAnsi="Arial" w:cs="Arial"/>
          <w:b w:val="0"/>
          <w:bCs w:val="0"/>
          <w:i w:val="0"/>
          <w:iCs w:val="0"/>
          <w:color w:val="000000"/>
          <w:sz w:val="12"/>
          <w:szCs w:val="12"/>
          <w:u w:val="none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i w:val="0"/>
          <w:iCs w:val="0"/>
          <w:color w:val="000000"/>
          <w:sz w:val="12"/>
          <w:szCs w:val="12"/>
          <w:u w:val="none"/>
          <w:lang w:val="en-US" w:eastAsia="zh-CN"/>
        </w:rPr>
        <w:t>b</w:t>
      </w:r>
      <w:r>
        <w:rPr>
          <w:rFonts w:hint="default" w:ascii="Arial" w:hAnsi="Arial" w:cs="Arial"/>
          <w:b w:val="0"/>
          <w:bCs w:val="0"/>
          <w:i w:val="0"/>
          <w:iCs w:val="0"/>
          <w:color w:val="000000"/>
          <w:sz w:val="12"/>
          <w:szCs w:val="12"/>
          <w:u w:val="none"/>
          <w:lang w:val="en-US" w:eastAsia="zh-CN"/>
        </w:rPr>
        <w:t>asal metabolic rate</w:t>
      </w:r>
      <w:r>
        <w:rPr>
          <w:rFonts w:hint="eastAsia" w:ascii="Arial" w:hAnsi="Arial" w:cs="Arial"/>
          <w:b w:val="0"/>
          <w:bCs w:val="0"/>
          <w:i w:val="0"/>
          <w:iCs w:val="0"/>
          <w:color w:val="000000"/>
          <w:sz w:val="12"/>
          <w:szCs w:val="12"/>
          <w:u w:val="none"/>
          <w:lang w:val="en-US" w:eastAsia="zh-CN"/>
        </w:rPr>
        <w:t xml:space="preserve"> estimated via </w:t>
      </w:r>
      <w:bookmarkStart w:id="1" w:name="OLE_LINK1"/>
      <w:r>
        <w:rPr>
          <w:rFonts w:hint="default" w:ascii="Arial" w:hAnsi="Arial" w:cs="Arial"/>
          <w:b w:val="0"/>
          <w:bCs w:val="0"/>
          <w:i w:val="0"/>
          <w:iCs w:val="0"/>
          <w:color w:val="000000"/>
          <w:sz w:val="12"/>
          <w:szCs w:val="12"/>
          <w:u w:val="none"/>
          <w:lang w:val="en-US" w:eastAsia="zh-CN"/>
        </w:rPr>
        <w:t>Mifflin-St Jeor equation</w:t>
      </w:r>
      <w:bookmarkEnd w:id="1"/>
      <w:r>
        <w:rPr>
          <w:rFonts w:hint="default" w:ascii="Arial" w:hAnsi="Arial" w:cs="Arial"/>
          <w:b w:val="0"/>
          <w:bCs w:val="0"/>
          <w:i w:val="0"/>
          <w:iCs w:val="0"/>
          <w:color w:val="000000"/>
          <w:sz w:val="12"/>
          <w:szCs w:val="12"/>
          <w:u w:val="none"/>
          <w:lang w:val="en-US" w:eastAsia="zh-CN"/>
        </w:rPr>
        <w:t xml:space="preserve">, </w:t>
      </w:r>
      <w:r>
        <w:rPr>
          <w:rFonts w:hint="eastAsia" w:ascii="Arial" w:hAnsi="Arial" w:cs="Arial"/>
          <w:b w:val="0"/>
          <w:bCs w:val="0"/>
          <w:i/>
          <w:iCs/>
          <w:color w:val="000000"/>
          <w:sz w:val="12"/>
          <w:szCs w:val="12"/>
          <w:u w:val="none"/>
          <w:lang w:val="en-US" w:eastAsia="zh-CN"/>
        </w:rPr>
        <w:t>TyG</w:t>
      </w:r>
      <w:r>
        <w:rPr>
          <w:rFonts w:hint="default" w:ascii="Arial" w:hAnsi="Arial" w:cs="Arial"/>
          <w:b w:val="0"/>
          <w:bCs w:val="0"/>
          <w:i w:val="0"/>
          <w:iCs w:val="0"/>
          <w:color w:val="000000"/>
          <w:sz w:val="12"/>
          <w:szCs w:val="12"/>
          <w:u w:val="none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i w:val="0"/>
          <w:iCs w:val="0"/>
          <w:color w:val="000000"/>
          <w:sz w:val="12"/>
          <w:szCs w:val="12"/>
          <w:u w:val="none"/>
          <w:lang w:val="en-US" w:eastAsia="zh-CN"/>
        </w:rPr>
        <w:t>t</w:t>
      </w:r>
      <w:r>
        <w:rPr>
          <w:rFonts w:hint="default" w:ascii="Arial" w:hAnsi="Arial" w:cs="Arial"/>
          <w:b w:val="0"/>
          <w:bCs w:val="0"/>
          <w:i w:val="0"/>
          <w:iCs w:val="0"/>
          <w:color w:val="000000"/>
          <w:sz w:val="12"/>
          <w:szCs w:val="12"/>
          <w:u w:val="none"/>
          <w:lang w:val="en-US" w:eastAsia="zh-CN"/>
        </w:rPr>
        <w:t xml:space="preserve">riglyceride-glucose, </w:t>
      </w:r>
      <w:r>
        <w:rPr>
          <w:rFonts w:hint="eastAsia" w:ascii="Arial" w:hAnsi="Arial" w:cs="Arial"/>
          <w:b w:val="0"/>
          <w:bCs w:val="0"/>
          <w:i/>
          <w:iCs/>
          <w:color w:val="000000"/>
          <w:sz w:val="12"/>
          <w:szCs w:val="12"/>
          <w:u w:val="none"/>
          <w:lang w:val="en-US" w:eastAsia="zh-CN"/>
        </w:rPr>
        <w:t>eGDR</w:t>
      </w:r>
      <w:r>
        <w:rPr>
          <w:rFonts w:hint="default" w:ascii="Arial" w:hAnsi="Arial" w:cs="Arial"/>
          <w:b w:val="0"/>
          <w:bCs w:val="0"/>
          <w:i w:val="0"/>
          <w:iCs w:val="0"/>
          <w:color w:val="000000"/>
          <w:sz w:val="12"/>
          <w:szCs w:val="12"/>
          <w:u w:val="none"/>
          <w:lang w:val="en-US" w:eastAsia="zh-CN"/>
        </w:rPr>
        <w:t xml:space="preserve"> estimated glucose disposal rate, </w:t>
      </w:r>
      <w:r>
        <w:rPr>
          <w:rFonts w:hint="eastAsia" w:ascii="Arial" w:hAnsi="Arial" w:cs="Arial"/>
          <w:b w:val="0"/>
          <w:bCs w:val="0"/>
          <w:i/>
          <w:iCs/>
          <w:color w:val="000000"/>
          <w:sz w:val="12"/>
          <w:szCs w:val="12"/>
          <w:u w:val="none"/>
          <w:lang w:val="en-US" w:eastAsia="zh-CN"/>
        </w:rPr>
        <w:t>METS-IR</w:t>
      </w:r>
      <w:r>
        <w:rPr>
          <w:rFonts w:hint="default" w:ascii="Arial" w:hAnsi="Arial" w:cs="Arial"/>
          <w:b w:val="0"/>
          <w:bCs w:val="0"/>
          <w:i w:val="0"/>
          <w:iCs w:val="0"/>
          <w:color w:val="000000"/>
          <w:sz w:val="12"/>
          <w:szCs w:val="12"/>
          <w:u w:val="none"/>
          <w:lang w:val="en-US" w:eastAsia="zh-CN"/>
        </w:rPr>
        <w:t xml:space="preserve"> metabolic score for insulin resistance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12"/>
          <w:szCs w:val="12"/>
          <w:shd w:val="clear" w:color="auto" w:fill="FFFFFF"/>
        </w:rPr>
        <w:t xml:space="preserve">, </w:t>
      </w:r>
      <w:r>
        <w:rPr>
          <w:rFonts w:hint="default" w:ascii="Arial" w:hAnsi="Arial" w:eastAsia="Segoe UI" w:cs="Arial"/>
          <w:i/>
          <w:iCs/>
          <w:caps w:val="0"/>
          <w:spacing w:val="0"/>
          <w:sz w:val="12"/>
          <w:szCs w:val="12"/>
          <w:shd w:val="clear" w:color="auto" w:fill="FFFFFF"/>
        </w:rPr>
        <w:t>AUC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12"/>
          <w:szCs w:val="12"/>
          <w:shd w:val="clear" w:color="auto" w:fill="FFFFFF"/>
        </w:rPr>
        <w:t xml:space="preserve"> area under the receiver operating characteristic curve, </w:t>
      </w:r>
      <w:r>
        <w:rPr>
          <w:rFonts w:hint="default" w:ascii="Arial" w:hAnsi="Arial" w:eastAsia="Segoe UI" w:cs="Arial"/>
          <w:i/>
          <w:iCs/>
          <w:caps w:val="0"/>
          <w:spacing w:val="0"/>
          <w:sz w:val="12"/>
          <w:szCs w:val="12"/>
          <w:shd w:val="clear" w:color="auto" w:fill="FFFFFF"/>
        </w:rPr>
        <w:t>CI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12"/>
          <w:szCs w:val="12"/>
          <w:shd w:val="clear" w:color="auto" w:fill="FFFFFF"/>
        </w:rPr>
        <w:t xml:space="preserve"> confidence interval</w:t>
      </w:r>
    </w:p>
    <w:p w14:paraId="545CD2A5"/>
    <w:p w14:paraId="377BD8CD"/>
    <w:p w14:paraId="48362F9C"/>
    <w:p w14:paraId="45982492">
      <w:pPr>
        <w:jc w:val="left"/>
        <w:rPr>
          <w:rFonts w:hint="default" w:ascii="Arial" w:hAnsi="Arial" w:cs="Arial" w:eastAsiaTheme="minorEastAsia"/>
          <w:sz w:val="16"/>
          <w:szCs w:val="16"/>
          <w:lang w:val="en-US" w:eastAsia="zh-CN"/>
        </w:rPr>
      </w:pPr>
      <w:r>
        <w:rPr>
          <w:rFonts w:hint="default" w:ascii="Arial" w:hAnsi="Arial" w:cs="Arial"/>
          <w:b/>
          <w:bCs/>
          <w:sz w:val="16"/>
          <w:szCs w:val="16"/>
        </w:rPr>
        <w:t xml:space="preserve">Table </w:t>
      </w:r>
      <w:r>
        <w:rPr>
          <w:rFonts w:hint="eastAsia" w:ascii="Arial" w:hAnsi="Arial" w:cs="Arial"/>
          <w:b/>
          <w:bCs/>
          <w:sz w:val="16"/>
          <w:szCs w:val="16"/>
          <w:lang w:val="en-US" w:eastAsia="zh-CN"/>
        </w:rPr>
        <w:t>S13</w:t>
      </w:r>
      <w:r>
        <w:rPr>
          <w:rFonts w:hint="default" w:ascii="Arial" w:hAnsi="Arial" w:cs="Arial"/>
          <w:sz w:val="16"/>
          <w:szCs w:val="16"/>
        </w:rPr>
        <w:t xml:space="preserve">  </w:t>
      </w:r>
      <w:r>
        <w:rPr>
          <w:rFonts w:hint="eastAsia" w:ascii="Arial" w:hAnsi="Arial" w:cs="Arial"/>
          <w:b w:val="0"/>
          <w:bCs w:val="0"/>
          <w:sz w:val="16"/>
          <w:szCs w:val="16"/>
          <w:lang w:val="en-US" w:eastAsia="zh-CN"/>
        </w:rPr>
        <w:t xml:space="preserve">Interaction of insulin resistance </w:t>
      </w:r>
      <w:r>
        <w:rPr>
          <w:rFonts w:hint="default" w:ascii="Arial" w:hAnsi="Arial" w:eastAsia="Segoe UI" w:cs="Arial"/>
          <w:b w:val="0"/>
          <w:bCs w:val="0"/>
          <w:i w:val="0"/>
          <w:iCs w:val="0"/>
          <w:caps w:val="0"/>
          <w:color w:val="0F1115"/>
          <w:spacing w:val="0"/>
          <w:sz w:val="16"/>
          <w:szCs w:val="16"/>
          <w:shd w:val="clear" w:fill="FFFFFF"/>
        </w:rPr>
        <w:t>surrogate indices</w:t>
      </w:r>
      <w:r>
        <w:rPr>
          <w:rFonts w:hint="eastAsia" w:ascii="Arial" w:hAnsi="Arial" w:cs="Arial"/>
          <w:b w:val="0"/>
          <w:bCs w:val="0"/>
          <w:sz w:val="16"/>
          <w:szCs w:val="16"/>
          <w:lang w:val="en-US" w:eastAsia="zh-CN"/>
        </w:rPr>
        <w:t xml:space="preserve"> with basal metabolic rate on CMM risk</w:t>
      </w:r>
    </w:p>
    <w:tbl>
      <w:tblPr>
        <w:tblStyle w:val="2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2"/>
        <w:gridCol w:w="2016"/>
        <w:gridCol w:w="2087"/>
        <w:gridCol w:w="2115"/>
      </w:tblGrid>
      <w:tr w14:paraId="4E4CD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51" w:type="pct"/>
            <w:vMerge w:val="restart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7035D91F">
            <w:pPr>
              <w:jc w:val="left"/>
              <w:rPr>
                <w:rFonts w:hint="default" w:ascii="Arial" w:hAnsi="Arial" w:cs="Arial"/>
                <w:b/>
                <w:bCs/>
                <w:color w:val="000000"/>
                <w:sz w:val="11"/>
                <w:szCs w:val="11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3"/>
                <w:szCs w:val="13"/>
                <w:shd w:val="clear" w:color="auto" w:fill="FDFDFE"/>
                <w:lang w:val="en-US" w:eastAsia="zh-CN"/>
              </w:rPr>
              <w:t>Interactive</w:t>
            </w:r>
            <w:r>
              <w:rPr>
                <w:rFonts w:hint="eastAsia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3"/>
                <w:szCs w:val="13"/>
                <w:shd w:val="clear" w:color="auto" w:fill="FDFDFE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3"/>
                <w:szCs w:val="13"/>
                <w:shd w:val="clear" w:color="auto" w:fill="FDFDFE"/>
                <w:lang w:val="en-US" w:eastAsia="zh-CN"/>
              </w:rPr>
              <w:t>indices</w:t>
            </w:r>
          </w:p>
        </w:tc>
        <w:tc>
          <w:tcPr>
            <w:tcW w:w="3648" w:type="pct"/>
            <w:gridSpan w:val="3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12B2C42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color w:val="000000"/>
                <w:sz w:val="13"/>
                <w:szCs w:val="13"/>
                <w:lang w:val="en-US" w:eastAsia="zh-CN"/>
              </w:rPr>
              <w:t>Interactive effects (95% CI)</w:t>
            </w:r>
          </w:p>
        </w:tc>
      </w:tr>
      <w:tr w14:paraId="3F431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51" w:type="pct"/>
            <w:vMerge w:val="continue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0D736D78">
            <w:pPr>
              <w:jc w:val="left"/>
              <w:rPr>
                <w:rFonts w:hint="default" w:ascii="Arial" w:hAnsi="Arial" w:cs="Arial"/>
                <w:b/>
                <w:bCs/>
                <w:color w:val="000000"/>
                <w:sz w:val="11"/>
                <w:szCs w:val="11"/>
              </w:rPr>
            </w:pPr>
          </w:p>
        </w:tc>
        <w:tc>
          <w:tcPr>
            <w:tcW w:w="1183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777AFCCE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3"/>
                <w:szCs w:val="13"/>
                <w:lang w:bidi="ar"/>
              </w:rPr>
              <w:t xml:space="preserve">Model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3"/>
                <w:szCs w:val="13"/>
                <w:lang w:val="en-US" w:eastAsia="zh-CN" w:bidi="ar"/>
              </w:rPr>
              <w:t>I</w:t>
            </w:r>
          </w:p>
        </w:tc>
        <w:tc>
          <w:tcPr>
            <w:tcW w:w="1225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668B20D6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3"/>
                <w:szCs w:val="13"/>
                <w:lang w:bidi="ar"/>
              </w:rPr>
              <w:t xml:space="preserve">Model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3"/>
                <w:szCs w:val="13"/>
                <w:lang w:val="en-US" w:eastAsia="zh-CN" w:bidi="ar"/>
              </w:rPr>
              <w:t>I</w:t>
            </w: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13"/>
                <w:szCs w:val="13"/>
                <w:lang w:val="en-US" w:eastAsia="zh-CN" w:bidi="ar"/>
              </w:rPr>
              <w:t>I</w:t>
            </w:r>
          </w:p>
        </w:tc>
        <w:tc>
          <w:tcPr>
            <w:tcW w:w="1238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3AFB2B3B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3"/>
                <w:szCs w:val="13"/>
                <w:lang w:bidi="ar"/>
              </w:rPr>
              <w:t xml:space="preserve">Model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3"/>
                <w:szCs w:val="13"/>
                <w:lang w:val="en-US" w:eastAsia="zh-CN" w:bidi="ar"/>
              </w:rPr>
              <w:t>I</w:t>
            </w: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13"/>
                <w:szCs w:val="13"/>
                <w:lang w:val="en-US" w:eastAsia="zh-CN" w:bidi="ar"/>
              </w:rPr>
              <w:t>II</w:t>
            </w:r>
          </w:p>
        </w:tc>
      </w:tr>
      <w:tr w14:paraId="4A335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4"/>
            <w:tcBorders>
              <w:tl2br w:val="nil"/>
              <w:tr2bl w:val="nil"/>
            </w:tcBorders>
            <w:noWrap/>
            <w:vAlign w:val="center"/>
          </w:tcPr>
          <w:p w14:paraId="116D24ED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13"/>
                <w:szCs w:val="13"/>
                <w:lang w:val="en-US" w:eastAsia="zh-CN" w:bidi="ar"/>
              </w:rPr>
              <w:t>BMR &amp; TyG</w:t>
            </w:r>
          </w:p>
        </w:tc>
      </w:tr>
      <w:tr w14:paraId="0D68D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4"/>
            <w:tcBorders>
              <w:tl2br w:val="nil"/>
              <w:tr2bl w:val="nil"/>
            </w:tcBorders>
            <w:noWrap/>
            <w:vAlign w:val="center"/>
          </w:tcPr>
          <w:p w14:paraId="75321D99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b w:val="0"/>
                <w:bCs w:val="0"/>
                <w:color w:val="000000"/>
                <w:kern w:val="0"/>
                <w:sz w:val="13"/>
                <w:szCs w:val="13"/>
                <w:lang w:val="en-US" w:eastAsia="zh-CN" w:bidi="ar"/>
              </w:rPr>
              <w:t>Additive effect</w:t>
            </w:r>
          </w:p>
        </w:tc>
      </w:tr>
      <w:tr w14:paraId="2CB4C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1" w:type="pct"/>
            <w:tcBorders>
              <w:tl2br w:val="nil"/>
              <w:tr2bl w:val="nil"/>
            </w:tcBorders>
            <w:noWrap/>
            <w:vAlign w:val="center"/>
          </w:tcPr>
          <w:p w14:paraId="364B5157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RERI</w:t>
            </w:r>
          </w:p>
        </w:tc>
        <w:tc>
          <w:tcPr>
            <w:tcW w:w="11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C604A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0.37 (-0.07, 0.80)</w:t>
            </w:r>
          </w:p>
        </w:tc>
        <w:tc>
          <w:tcPr>
            <w:tcW w:w="12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A4BC98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0.49 (0.02, 0.96)</w:t>
            </w:r>
          </w:p>
        </w:tc>
        <w:tc>
          <w:tcPr>
            <w:tcW w:w="12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259D03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0.02 (-0.38, 0.41)</w:t>
            </w:r>
          </w:p>
        </w:tc>
      </w:tr>
      <w:tr w14:paraId="07DC1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1" w:type="pct"/>
            <w:tcBorders>
              <w:tl2br w:val="nil"/>
              <w:tr2bl w:val="nil"/>
            </w:tcBorders>
            <w:noWrap/>
            <w:vAlign w:val="center"/>
          </w:tcPr>
          <w:p w14:paraId="63FADE91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AP</w:t>
            </w:r>
          </w:p>
        </w:tc>
        <w:tc>
          <w:tcPr>
            <w:tcW w:w="11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4CDAE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0.13 (-0.02, 0.28)</w:t>
            </w:r>
          </w:p>
        </w:tc>
        <w:tc>
          <w:tcPr>
            <w:tcW w:w="12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B75EAE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0.15 (0.01, 0.30)</w:t>
            </w:r>
          </w:p>
        </w:tc>
        <w:tc>
          <w:tcPr>
            <w:tcW w:w="12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4AF7A3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0.01 (-0.18, 0.19)</w:t>
            </w:r>
          </w:p>
        </w:tc>
      </w:tr>
      <w:tr w14:paraId="51B6C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1" w:type="pct"/>
            <w:tcBorders>
              <w:tl2br w:val="nil"/>
              <w:tr2bl w:val="nil"/>
            </w:tcBorders>
            <w:noWrap/>
            <w:vAlign w:val="center"/>
          </w:tcPr>
          <w:p w14:paraId="7FAE8B64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SI</w:t>
            </w:r>
          </w:p>
        </w:tc>
        <w:tc>
          <w:tcPr>
            <w:tcW w:w="1183" w:type="pct"/>
            <w:tcBorders>
              <w:tl2br w:val="nil"/>
              <w:tr2bl w:val="nil"/>
            </w:tcBorders>
            <w:noWrap/>
            <w:vAlign w:val="center"/>
          </w:tcPr>
          <w:p w14:paraId="63C972E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1.24 (0.93, 1.66)</w:t>
            </w:r>
          </w:p>
        </w:tc>
        <w:tc>
          <w:tcPr>
            <w:tcW w:w="12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0CEEDA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1.29 (0.98, 1.69)</w:t>
            </w:r>
          </w:p>
        </w:tc>
        <w:tc>
          <w:tcPr>
            <w:tcW w:w="12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57D8AC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1.01 (0.71, 1.45)</w:t>
            </w:r>
          </w:p>
        </w:tc>
      </w:tr>
      <w:tr w14:paraId="313BD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1" w:type="pct"/>
            <w:tcBorders>
              <w:tl2br w:val="nil"/>
              <w:tr2bl w:val="nil"/>
            </w:tcBorders>
            <w:noWrap/>
            <w:vAlign w:val="center"/>
          </w:tcPr>
          <w:p w14:paraId="52E6D97C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Multiplicative effect</w:t>
            </w:r>
          </w:p>
        </w:tc>
        <w:tc>
          <w:tcPr>
            <w:tcW w:w="1183" w:type="pct"/>
            <w:tcBorders>
              <w:tl2br w:val="nil"/>
              <w:tr2bl w:val="nil"/>
            </w:tcBorders>
            <w:noWrap/>
            <w:vAlign w:val="center"/>
          </w:tcPr>
          <w:p w14:paraId="00A94A85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0.95 (0.73, 1.23)</w:t>
            </w:r>
          </w:p>
        </w:tc>
        <w:tc>
          <w:tcPr>
            <w:tcW w:w="12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760CEB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0.94 (0.72, 1.21)</w:t>
            </w:r>
          </w:p>
        </w:tc>
        <w:tc>
          <w:tcPr>
            <w:tcW w:w="12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52103D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0.88 (0.68, 1.14)</w:t>
            </w:r>
          </w:p>
        </w:tc>
      </w:tr>
      <w:tr w14:paraId="3D88E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4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EF786E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13"/>
                <w:szCs w:val="13"/>
                <w:lang w:val="en-US" w:eastAsia="zh-CN" w:bidi="ar"/>
              </w:rPr>
              <w:t>BMR &amp; eGDR</w:t>
            </w:r>
          </w:p>
        </w:tc>
      </w:tr>
      <w:tr w14:paraId="03CFA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  <w:gridSpan w:val="4"/>
            <w:shd w:val="clear" w:color="auto" w:fill="auto"/>
            <w:noWrap w:val="0"/>
            <w:vAlign w:val="center"/>
          </w:tcPr>
          <w:p w14:paraId="4FB15FB9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b w:val="0"/>
                <w:bCs w:val="0"/>
                <w:color w:val="000000"/>
                <w:kern w:val="0"/>
                <w:sz w:val="13"/>
                <w:szCs w:val="13"/>
                <w:lang w:val="en-US" w:eastAsia="zh-CN" w:bidi="ar"/>
              </w:rPr>
              <w:t>Additive effect</w:t>
            </w:r>
          </w:p>
        </w:tc>
      </w:tr>
      <w:tr w14:paraId="4F6C9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1" w:type="pct"/>
            <w:shd w:val="clear" w:color="auto" w:fill="auto"/>
            <w:noWrap w:val="0"/>
            <w:vAlign w:val="center"/>
          </w:tcPr>
          <w:p w14:paraId="4D16B8A0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RERI</w:t>
            </w:r>
          </w:p>
        </w:tc>
        <w:tc>
          <w:tcPr>
            <w:tcW w:w="1183" w:type="pct"/>
            <w:shd w:val="clear" w:color="auto" w:fill="auto"/>
            <w:noWrap w:val="0"/>
            <w:vAlign w:val="center"/>
          </w:tcPr>
          <w:p w14:paraId="5A8F6A94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0.27 (-0.27, 0.81)</w:t>
            </w:r>
          </w:p>
        </w:tc>
        <w:tc>
          <w:tcPr>
            <w:tcW w:w="1225" w:type="pct"/>
            <w:shd w:val="clear" w:color="auto" w:fill="auto"/>
            <w:noWrap w:val="0"/>
            <w:vAlign w:val="center"/>
          </w:tcPr>
          <w:p w14:paraId="00764509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0.56 (0.03, 1.09)</w:t>
            </w:r>
          </w:p>
        </w:tc>
        <w:tc>
          <w:tcPr>
            <w:tcW w:w="1238" w:type="pct"/>
            <w:shd w:val="clear" w:color="auto" w:fill="auto"/>
            <w:noWrap w:val="0"/>
            <w:vAlign w:val="center"/>
          </w:tcPr>
          <w:p w14:paraId="231CE8D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0.29 (-0.09, 0.67)</w:t>
            </w:r>
          </w:p>
        </w:tc>
      </w:tr>
      <w:tr w14:paraId="411E1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1" w:type="pct"/>
            <w:shd w:val="clear" w:color="auto" w:fill="auto"/>
            <w:noWrap w:val="0"/>
            <w:vAlign w:val="center"/>
          </w:tcPr>
          <w:p w14:paraId="55840353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AP</w:t>
            </w:r>
          </w:p>
        </w:tc>
        <w:tc>
          <w:tcPr>
            <w:tcW w:w="1183" w:type="pct"/>
            <w:shd w:val="clear" w:color="auto" w:fill="auto"/>
            <w:noWrap w:val="0"/>
            <w:vAlign w:val="center"/>
          </w:tcPr>
          <w:p w14:paraId="2FA7D7AA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0.08 (-0.08, 0.25)</w:t>
            </w:r>
          </w:p>
        </w:tc>
        <w:tc>
          <w:tcPr>
            <w:tcW w:w="1225" w:type="pct"/>
            <w:shd w:val="clear" w:color="auto" w:fill="auto"/>
            <w:noWrap w:val="0"/>
            <w:vAlign w:val="center"/>
          </w:tcPr>
          <w:p w14:paraId="06990D7F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0.17 (0.01, 0.32)</w:t>
            </w:r>
          </w:p>
        </w:tc>
        <w:tc>
          <w:tcPr>
            <w:tcW w:w="1238" w:type="pct"/>
            <w:shd w:val="clear" w:color="auto" w:fill="auto"/>
            <w:noWrap w:val="0"/>
            <w:vAlign w:val="center"/>
          </w:tcPr>
          <w:p w14:paraId="5926AA2E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0.15 (-0.05, 0.35)</w:t>
            </w:r>
          </w:p>
        </w:tc>
      </w:tr>
      <w:tr w14:paraId="31E3A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0984F2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SI</w:t>
            </w:r>
          </w:p>
        </w:tc>
        <w:tc>
          <w:tcPr>
            <w:tcW w:w="11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93A9D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1.14 (0.87, 1.49)</w:t>
            </w:r>
          </w:p>
        </w:tc>
        <w:tc>
          <w:tcPr>
            <w:tcW w:w="12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B0728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1.31 (0.98, 1.75)</w:t>
            </w:r>
          </w:p>
        </w:tc>
        <w:tc>
          <w:tcPr>
            <w:tcW w:w="12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96C0F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1.45 (0.79, 2.69)</w:t>
            </w:r>
          </w:p>
        </w:tc>
      </w:tr>
      <w:tr w14:paraId="01B11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097C53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Multiplicative effect</w:t>
            </w:r>
          </w:p>
        </w:tc>
        <w:tc>
          <w:tcPr>
            <w:tcW w:w="118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4ED108F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1.03 (0.77, 1.39)</w:t>
            </w:r>
          </w:p>
        </w:tc>
        <w:tc>
          <w:tcPr>
            <w:tcW w:w="122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019415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1.06 (0.78, 1.43)</w:t>
            </w:r>
          </w:p>
        </w:tc>
        <w:tc>
          <w:tcPr>
            <w:tcW w:w="123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FF5FA7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1.12 (0.83, 1.52)</w:t>
            </w:r>
          </w:p>
        </w:tc>
      </w:tr>
      <w:tr w14:paraId="10D8F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4"/>
            <w:shd w:val="clear" w:color="auto" w:fill="auto"/>
            <w:noWrap w:val="0"/>
            <w:vAlign w:val="center"/>
          </w:tcPr>
          <w:p w14:paraId="179C9794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13"/>
                <w:szCs w:val="13"/>
                <w:lang w:val="en-US" w:eastAsia="zh-CN" w:bidi="ar"/>
              </w:rPr>
              <w:t>BMR &amp; METS-IR</w:t>
            </w:r>
          </w:p>
        </w:tc>
      </w:tr>
      <w:tr w14:paraId="17BC4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4"/>
            <w:shd w:val="clear" w:color="auto" w:fill="auto"/>
            <w:noWrap w:val="0"/>
            <w:vAlign w:val="center"/>
          </w:tcPr>
          <w:p w14:paraId="282BD612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b w:val="0"/>
                <w:bCs w:val="0"/>
                <w:color w:val="000000"/>
                <w:kern w:val="0"/>
                <w:sz w:val="13"/>
                <w:szCs w:val="13"/>
                <w:lang w:val="en-US" w:eastAsia="zh-CN" w:bidi="ar"/>
              </w:rPr>
              <w:t>Additive effect</w:t>
            </w:r>
          </w:p>
        </w:tc>
      </w:tr>
      <w:tr w14:paraId="710F1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1" w:type="pct"/>
            <w:shd w:val="clear" w:color="auto" w:fill="auto"/>
            <w:noWrap w:val="0"/>
            <w:vAlign w:val="center"/>
          </w:tcPr>
          <w:p w14:paraId="0868C789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RERI</w:t>
            </w:r>
          </w:p>
        </w:tc>
        <w:tc>
          <w:tcPr>
            <w:tcW w:w="1183" w:type="pct"/>
            <w:shd w:val="clear" w:color="auto" w:fill="auto"/>
            <w:noWrap w:val="0"/>
            <w:vAlign w:val="center"/>
          </w:tcPr>
          <w:p w14:paraId="11DDB14B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0.12 (-0.38, 0.61)</w:t>
            </w:r>
          </w:p>
        </w:tc>
        <w:tc>
          <w:tcPr>
            <w:tcW w:w="1225" w:type="pct"/>
            <w:shd w:val="clear" w:color="auto" w:fill="auto"/>
            <w:noWrap w:val="0"/>
            <w:vAlign w:val="center"/>
          </w:tcPr>
          <w:p w14:paraId="12CE5CA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0.22 (-0.31, 0.75)</w:t>
            </w:r>
          </w:p>
        </w:tc>
        <w:tc>
          <w:tcPr>
            <w:tcW w:w="1238" w:type="pct"/>
            <w:shd w:val="clear" w:color="auto" w:fill="auto"/>
            <w:noWrap w:val="0"/>
            <w:vAlign w:val="center"/>
          </w:tcPr>
          <w:p w14:paraId="6D7A305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-0.12 (-0.59, 0.35)</w:t>
            </w:r>
          </w:p>
        </w:tc>
      </w:tr>
      <w:tr w14:paraId="12480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1" w:type="pct"/>
            <w:shd w:val="clear" w:color="auto" w:fill="auto"/>
            <w:noWrap w:val="0"/>
            <w:vAlign w:val="center"/>
          </w:tcPr>
          <w:p w14:paraId="3E1721E5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AP</w:t>
            </w:r>
          </w:p>
        </w:tc>
        <w:tc>
          <w:tcPr>
            <w:tcW w:w="1183" w:type="pct"/>
            <w:shd w:val="clear" w:color="auto" w:fill="auto"/>
            <w:noWrap w:val="0"/>
            <w:vAlign w:val="center"/>
          </w:tcPr>
          <w:p w14:paraId="343DB75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0.05 (-0.16, 0.26)</w:t>
            </w:r>
          </w:p>
        </w:tc>
        <w:tc>
          <w:tcPr>
            <w:tcW w:w="1225" w:type="pct"/>
            <w:shd w:val="clear" w:color="auto" w:fill="auto"/>
            <w:noWrap w:val="0"/>
            <w:vAlign w:val="center"/>
          </w:tcPr>
          <w:p w14:paraId="3EA89ECF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0.08 (-0.11, 0.28)</w:t>
            </w:r>
          </w:p>
        </w:tc>
        <w:tc>
          <w:tcPr>
            <w:tcW w:w="1238" w:type="pct"/>
            <w:shd w:val="clear" w:color="auto" w:fill="auto"/>
            <w:noWrap w:val="0"/>
            <w:vAlign w:val="center"/>
          </w:tcPr>
          <w:p w14:paraId="30138328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-0.06 (-0.31, 0.18)</w:t>
            </w:r>
          </w:p>
        </w:tc>
      </w:tr>
      <w:tr w14:paraId="1E331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1" w:type="pct"/>
            <w:shd w:val="clear" w:color="auto" w:fill="auto"/>
            <w:noWrap/>
            <w:vAlign w:val="center"/>
          </w:tcPr>
          <w:p w14:paraId="6CB0860C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SI</w:t>
            </w:r>
          </w:p>
        </w:tc>
        <w:tc>
          <w:tcPr>
            <w:tcW w:w="1183" w:type="pct"/>
            <w:shd w:val="clear" w:color="auto" w:fill="auto"/>
            <w:noWrap/>
            <w:vAlign w:val="center"/>
          </w:tcPr>
          <w:p w14:paraId="535C43A4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1.09 (0.74, 1.61)</w:t>
            </w:r>
          </w:p>
        </w:tc>
        <w:tc>
          <w:tcPr>
            <w:tcW w:w="1225" w:type="pct"/>
            <w:shd w:val="clear" w:color="auto" w:fill="auto"/>
            <w:noWrap/>
            <w:vAlign w:val="center"/>
          </w:tcPr>
          <w:p w14:paraId="368D172A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1.15 (0.80, 1.65)</w:t>
            </w:r>
          </w:p>
        </w:tc>
        <w:tc>
          <w:tcPr>
            <w:tcW w:w="1238" w:type="pct"/>
            <w:shd w:val="clear" w:color="auto" w:fill="auto"/>
            <w:noWrap/>
            <w:vAlign w:val="center"/>
          </w:tcPr>
          <w:p w14:paraId="511C082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0.88 (0.56, 1.39)</w:t>
            </w:r>
          </w:p>
        </w:tc>
      </w:tr>
      <w:tr w14:paraId="2A54A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51" w:type="pct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4EBBA5B8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Multiplicative effect</w:t>
            </w:r>
          </w:p>
        </w:tc>
        <w:tc>
          <w:tcPr>
            <w:tcW w:w="1183" w:type="pct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398D6DDD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1.03 (0.74, 1.42)</w:t>
            </w:r>
          </w:p>
        </w:tc>
        <w:tc>
          <w:tcPr>
            <w:tcW w:w="1225" w:type="pct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142D78C1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0.97 (0.70, 1.34)</w:t>
            </w:r>
          </w:p>
        </w:tc>
        <w:tc>
          <w:tcPr>
            <w:tcW w:w="1238" w:type="pct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1602CC92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0.86 (0.63, 1.19)</w:t>
            </w:r>
          </w:p>
        </w:tc>
      </w:tr>
    </w:tbl>
    <w:p w14:paraId="48DFDC4F">
      <w:pPr>
        <w:rPr>
          <w:rFonts w:hint="default" w:ascii="Arial" w:hAnsi="Arial" w:cs="Arial"/>
          <w:sz w:val="12"/>
          <w:szCs w:val="12"/>
          <w:lang w:val="en-US" w:eastAsia="zh-CN"/>
        </w:rPr>
      </w:pPr>
      <w:r>
        <w:rPr>
          <w:rFonts w:hint="default" w:ascii="Arial" w:hAnsi="Arial" w:cs="Arial"/>
          <w:sz w:val="12"/>
          <w:szCs w:val="12"/>
          <w:lang w:val="en-US" w:eastAsia="zh-CN"/>
        </w:rPr>
        <w:t>Model I: non-adjusted</w:t>
      </w:r>
    </w:p>
    <w:p w14:paraId="11F9BECB">
      <w:pPr>
        <w:rPr>
          <w:rFonts w:hint="default" w:ascii="Arial" w:hAnsi="Arial" w:cs="Arial"/>
          <w:sz w:val="12"/>
          <w:szCs w:val="12"/>
          <w:lang w:val="en-US" w:eastAsia="zh-CN"/>
        </w:rPr>
      </w:pPr>
      <w:r>
        <w:rPr>
          <w:rFonts w:hint="default" w:ascii="Arial" w:hAnsi="Arial" w:cs="Arial"/>
          <w:sz w:val="12"/>
          <w:szCs w:val="12"/>
          <w:lang w:val="en-US" w:eastAsia="zh-CN"/>
        </w:rPr>
        <w:t>Model II: adjusted for age, gender, smoking status, drinking status, education level, marital status, residence</w:t>
      </w:r>
    </w:p>
    <w:p w14:paraId="27089546">
      <w:pPr>
        <w:rPr>
          <w:rFonts w:hint="default" w:ascii="Arial" w:hAnsi="Arial" w:cs="Arial"/>
          <w:sz w:val="12"/>
          <w:szCs w:val="12"/>
          <w:lang w:val="en-US" w:eastAsia="zh-CN"/>
        </w:rPr>
      </w:pPr>
      <w:r>
        <w:rPr>
          <w:rFonts w:hint="default" w:ascii="Arial" w:hAnsi="Arial" w:cs="Arial"/>
          <w:sz w:val="12"/>
          <w:szCs w:val="12"/>
          <w:lang w:val="en-US" w:eastAsia="zh-CN"/>
        </w:rPr>
        <w:t xml:space="preserve">Model III: further adjusted for SBP, DBP, </w:t>
      </w:r>
      <w:r>
        <w:rPr>
          <w:rFonts w:hint="eastAsia" w:ascii="Arial" w:hAnsi="Arial" w:cs="Arial"/>
          <w:sz w:val="12"/>
          <w:szCs w:val="12"/>
          <w:lang w:val="en-US" w:eastAsia="zh-CN"/>
        </w:rPr>
        <w:t>TC</w:t>
      </w:r>
      <w:r>
        <w:rPr>
          <w:rFonts w:hint="default" w:ascii="Arial" w:hAnsi="Arial" w:cs="Arial"/>
          <w:sz w:val="12"/>
          <w:szCs w:val="12"/>
          <w:lang w:val="en-US" w:eastAsia="zh-CN"/>
        </w:rPr>
        <w:t xml:space="preserve">, </w:t>
      </w:r>
      <w:r>
        <w:rPr>
          <w:rFonts w:hint="eastAsia" w:ascii="Arial" w:hAnsi="Arial" w:cs="Arial"/>
          <w:sz w:val="12"/>
          <w:szCs w:val="12"/>
          <w:lang w:val="en-US" w:eastAsia="zh-CN"/>
        </w:rPr>
        <w:t xml:space="preserve">HDL-C, LDL-C, hs-CRP, </w:t>
      </w:r>
      <w:r>
        <w:rPr>
          <w:rFonts w:hint="default" w:ascii="Arial" w:hAnsi="Arial" w:cs="Arial"/>
          <w:sz w:val="12"/>
          <w:szCs w:val="12"/>
          <w:lang w:val="en-US" w:eastAsia="zh-CN"/>
        </w:rPr>
        <w:t>chronic diseases</w:t>
      </w:r>
      <w:r>
        <w:rPr>
          <w:rFonts w:hint="eastAsia" w:ascii="Arial" w:hAnsi="Arial" w:cs="Arial"/>
          <w:sz w:val="12"/>
          <w:szCs w:val="12"/>
          <w:lang w:val="en-US" w:eastAsia="zh-CN"/>
        </w:rPr>
        <w:t xml:space="preserve"> (</w:t>
      </w:r>
      <w:r>
        <w:rPr>
          <w:rFonts w:hint="default" w:ascii="Arial" w:hAnsi="Arial" w:cs="Arial"/>
          <w:sz w:val="12"/>
          <w:szCs w:val="12"/>
          <w:lang w:val="en-US" w:eastAsia="zh-CN"/>
        </w:rPr>
        <w:t>hypertension</w:t>
      </w:r>
      <w:r>
        <w:rPr>
          <w:rFonts w:hint="eastAsia" w:ascii="Arial" w:hAnsi="Arial" w:cs="Arial"/>
          <w:sz w:val="12"/>
          <w:szCs w:val="12"/>
          <w:lang w:val="en-US" w:eastAsia="zh-CN"/>
        </w:rPr>
        <w:t>,</w:t>
      </w:r>
      <w:r>
        <w:rPr>
          <w:rFonts w:hint="default" w:ascii="Arial" w:hAnsi="Arial" w:cs="Arial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sz w:val="12"/>
          <w:szCs w:val="12"/>
          <w:lang w:val="en-US" w:eastAsia="zh-CN"/>
        </w:rPr>
        <w:t xml:space="preserve">dyslipidemia, depression, </w:t>
      </w:r>
      <w:r>
        <w:rPr>
          <w:rFonts w:hint="default" w:ascii="Arial" w:hAnsi="Arial" w:cs="Arial"/>
          <w:sz w:val="12"/>
          <w:szCs w:val="12"/>
          <w:lang w:val="en-US" w:eastAsia="zh-CN"/>
        </w:rPr>
        <w:t>and cancer</w:t>
      </w:r>
      <w:r>
        <w:rPr>
          <w:rFonts w:hint="eastAsia" w:ascii="Arial" w:hAnsi="Arial" w:cs="Arial"/>
          <w:sz w:val="12"/>
          <w:szCs w:val="12"/>
          <w:lang w:val="en-US" w:eastAsia="zh-CN"/>
        </w:rPr>
        <w:t xml:space="preserve">), and </w:t>
      </w:r>
      <w:r>
        <w:rPr>
          <w:rFonts w:hint="default" w:ascii="Arial" w:hAnsi="Arial" w:cs="Arial"/>
          <w:sz w:val="12"/>
          <w:szCs w:val="12"/>
          <w:lang w:val="en-US" w:eastAsia="zh-CN"/>
        </w:rPr>
        <w:t xml:space="preserve">medication use (antihypertensive, antidiabetic, antidyslipidemic, </w:t>
      </w:r>
      <w:r>
        <w:rPr>
          <w:rFonts w:hint="eastAsia" w:ascii="Arial" w:hAnsi="Arial" w:cs="Arial"/>
          <w:sz w:val="12"/>
          <w:szCs w:val="12"/>
          <w:lang w:val="en-US" w:eastAsia="zh-CN"/>
        </w:rPr>
        <w:t xml:space="preserve">and </w:t>
      </w:r>
      <w:r>
        <w:rPr>
          <w:rFonts w:hint="default" w:ascii="Arial" w:hAnsi="Arial" w:cs="Arial"/>
          <w:sz w:val="12"/>
          <w:szCs w:val="12"/>
          <w:lang w:val="en-US" w:eastAsia="zh-CN"/>
        </w:rPr>
        <w:t>cardiovascular medications)</w:t>
      </w:r>
    </w:p>
    <w:p w14:paraId="7D69601F">
      <w:pPr>
        <w:jc w:val="left"/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</w:pPr>
      <w:r>
        <w:rPr>
          <w:rFonts w:hint="default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BMR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basal metabolic rate, </w:t>
      </w:r>
      <w:r>
        <w:rPr>
          <w:rFonts w:hint="default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TyG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triglyceride-glucose, </w:t>
      </w:r>
      <w:r>
        <w:rPr>
          <w:rFonts w:hint="default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eGDR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estimate glucose disposal rate, </w:t>
      </w:r>
      <w:r>
        <w:rPr>
          <w:rFonts w:hint="default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METS-IR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metabolic score for insulin resistance, </w:t>
      </w:r>
      <w:r>
        <w:rPr>
          <w:rFonts w:hint="default" w:ascii="Arial" w:hAnsi="Arial" w:cs="Arial"/>
          <w:i/>
          <w:iCs/>
          <w:sz w:val="12"/>
          <w:szCs w:val="12"/>
        </w:rPr>
        <w:t>RERI</w:t>
      </w:r>
      <w:r>
        <w:rPr>
          <w:rFonts w:hint="default" w:ascii="Arial" w:hAnsi="Arial" w:cs="Arial"/>
          <w:sz w:val="12"/>
          <w:szCs w:val="12"/>
        </w:rPr>
        <w:t xml:space="preserve"> relative excess risk due to interaction</w:t>
      </w:r>
      <w:r>
        <w:rPr>
          <w:rFonts w:hint="default" w:ascii="Arial" w:hAnsi="Arial" w:cs="Arial"/>
          <w:sz w:val="12"/>
          <w:szCs w:val="12"/>
          <w:lang w:val="en-US" w:eastAsia="zh-CN"/>
        </w:rPr>
        <w:t>,</w:t>
      </w:r>
      <w:r>
        <w:rPr>
          <w:rFonts w:hint="default" w:ascii="Arial" w:hAnsi="Arial" w:cs="Arial"/>
          <w:sz w:val="12"/>
          <w:szCs w:val="12"/>
        </w:rPr>
        <w:t xml:space="preserve"> </w:t>
      </w:r>
      <w:r>
        <w:rPr>
          <w:rFonts w:hint="default" w:ascii="Arial" w:hAnsi="Arial" w:cs="Arial"/>
          <w:i/>
          <w:iCs/>
          <w:sz w:val="12"/>
          <w:szCs w:val="12"/>
        </w:rPr>
        <w:t>AP</w:t>
      </w:r>
      <w:r>
        <w:rPr>
          <w:rFonts w:hint="default" w:ascii="Arial" w:hAnsi="Arial" w:cs="Arial"/>
          <w:sz w:val="12"/>
          <w:szCs w:val="12"/>
        </w:rPr>
        <w:t xml:space="preserve"> attributable proportion due to interaction</w:t>
      </w:r>
      <w:r>
        <w:rPr>
          <w:rFonts w:hint="default" w:ascii="Arial" w:hAnsi="Arial" w:cs="Arial"/>
          <w:sz w:val="12"/>
          <w:szCs w:val="12"/>
          <w:lang w:val="en-US" w:eastAsia="zh-CN"/>
        </w:rPr>
        <w:t>,</w:t>
      </w:r>
      <w:r>
        <w:rPr>
          <w:rFonts w:hint="default" w:ascii="Arial" w:hAnsi="Arial" w:cs="Arial"/>
          <w:sz w:val="12"/>
          <w:szCs w:val="12"/>
        </w:rPr>
        <w:t xml:space="preserve"> </w:t>
      </w:r>
      <w:r>
        <w:rPr>
          <w:rFonts w:hint="default" w:ascii="Arial" w:hAnsi="Arial" w:cs="Arial"/>
          <w:i/>
          <w:iCs/>
          <w:sz w:val="12"/>
          <w:szCs w:val="12"/>
        </w:rPr>
        <w:t xml:space="preserve">SI </w:t>
      </w:r>
      <w:r>
        <w:rPr>
          <w:rFonts w:hint="default" w:ascii="Arial" w:hAnsi="Arial" w:cs="Arial"/>
          <w:sz w:val="12"/>
          <w:szCs w:val="12"/>
        </w:rPr>
        <w:t>synergy index</w:t>
      </w:r>
    </w:p>
    <w:p w14:paraId="343FEB15"/>
    <w:p w14:paraId="74CF2A2B"/>
    <w:p w14:paraId="696F6008">
      <w:pPr>
        <w:rPr>
          <w:rFonts w:hint="default" w:ascii="Arial" w:hAnsi="Arial" w:cs="Arial"/>
          <w:b/>
          <w:bCs/>
          <w:sz w:val="14"/>
          <w:szCs w:val="14"/>
          <w:lang w:val="en-US" w:eastAsia="zh-CN"/>
        </w:rPr>
      </w:pPr>
      <w:r>
        <w:rPr>
          <w:rFonts w:hint="default" w:ascii="Arial" w:hAnsi="Arial" w:cs="Arial"/>
          <w:b/>
          <w:bCs/>
          <w:i w:val="0"/>
          <w:iCs w:val="0"/>
          <w:color w:val="000000"/>
          <w:sz w:val="16"/>
          <w:szCs w:val="16"/>
          <w:u w:val="none"/>
          <w:lang w:val="en-US" w:eastAsia="zh-CN"/>
        </w:rPr>
        <w:t xml:space="preserve">Table </w:t>
      </w:r>
      <w:r>
        <w:rPr>
          <w:rFonts w:hint="eastAsia" w:ascii="Arial" w:hAnsi="Arial" w:cs="Arial"/>
          <w:b/>
          <w:bCs/>
          <w:i w:val="0"/>
          <w:iCs w:val="0"/>
          <w:color w:val="000000"/>
          <w:sz w:val="16"/>
          <w:szCs w:val="16"/>
          <w:u w:val="none"/>
          <w:lang w:val="en-US" w:eastAsia="zh-CN"/>
        </w:rPr>
        <w:t xml:space="preserve">S14  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14"/>
          <w:szCs w:val="14"/>
          <w:shd w:val="clear" w:fill="FFFFFF"/>
        </w:rPr>
        <w:t>Sensitivity analys</w:t>
      </w:r>
      <w:r>
        <w:rPr>
          <w:rFonts w:hint="eastAsia" w:ascii="Arial" w:hAnsi="Arial" w:cs="Arial"/>
          <w:i w:val="0"/>
          <w:iCs w:val="0"/>
          <w:caps w:val="0"/>
          <w:spacing w:val="0"/>
          <w:sz w:val="14"/>
          <w:szCs w:val="14"/>
          <w:shd w:val="clear" w:fill="FFFFFF"/>
          <w:lang w:val="en-US" w:eastAsia="zh-CN"/>
        </w:rPr>
        <w:t>e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14"/>
          <w:szCs w:val="14"/>
          <w:shd w:val="clear" w:fill="FFFFFF"/>
        </w:rPr>
        <w:t xml:space="preserve">s of </w:t>
      </w:r>
      <w:r>
        <w:rPr>
          <w:rFonts w:hint="default" w:ascii="Arial" w:hAnsi="Arial" w:eastAsia="宋体" w:cs="Arial"/>
          <w:color w:val="000000" w:themeColor="text1"/>
          <w:sz w:val="14"/>
          <w:szCs w:val="14"/>
          <w14:textFill>
            <w14:solidFill>
              <w14:schemeClr w14:val="tx1"/>
            </w14:solidFill>
          </w14:textFill>
        </w:rPr>
        <w:t xml:space="preserve">the joint effects of </w:t>
      </w:r>
      <w:r>
        <w:rPr>
          <w:rFonts w:hint="eastAsia" w:ascii="Arial" w:hAnsi="Arial" w:eastAsia="宋体" w:cs="Arial"/>
          <w:color w:val="000000" w:themeColor="text1"/>
          <w:sz w:val="14"/>
          <w:szCs w:val="14"/>
          <w:lang w:val="en-US" w:eastAsia="zh-CN"/>
          <w14:textFill>
            <w14:solidFill>
              <w14:schemeClr w14:val="tx1"/>
            </w14:solidFill>
          </w14:textFill>
        </w:rPr>
        <w:t>i</w:t>
      </w:r>
      <w:r>
        <w:rPr>
          <w:rFonts w:hint="eastAsia" w:ascii="Arial" w:hAnsi="Arial" w:eastAsia="宋体" w:cs="Arial"/>
          <w:color w:val="000000" w:themeColor="text1"/>
          <w:sz w:val="14"/>
          <w:szCs w:val="14"/>
          <w:lang w:eastAsia="zh-CN"/>
          <w14:textFill>
            <w14:solidFill>
              <w14:schemeClr w14:val="tx1"/>
            </w14:solidFill>
          </w14:textFill>
        </w:rPr>
        <w:t>nsulin</w:t>
      </w:r>
      <w:r>
        <w:rPr>
          <w:rFonts w:hint="eastAsia" w:ascii="Arial" w:hAnsi="Arial" w:cs="Arial"/>
          <w:color w:val="000000" w:themeColor="text1"/>
          <w:sz w:val="14"/>
          <w:szCs w:val="1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eastAsia="Segoe UI" w:cs="Arial"/>
          <w:b w:val="0"/>
          <w:bCs w:val="0"/>
          <w:i w:val="0"/>
          <w:iCs w:val="0"/>
          <w:caps w:val="0"/>
          <w:color w:val="0F1115"/>
          <w:spacing w:val="0"/>
          <w:sz w:val="14"/>
          <w:szCs w:val="14"/>
          <w:shd w:val="clear" w:fill="FFFFFF"/>
        </w:rPr>
        <w:t>resistance surrogate indices and basal metabolic rate</w:t>
      </w:r>
      <w:r>
        <w:rPr>
          <w:rFonts w:hint="default" w:ascii="Arial" w:hAnsi="Arial" w:eastAsia="宋体" w:cs="Arial"/>
          <w:color w:val="000000" w:themeColor="text1"/>
          <w:sz w:val="14"/>
          <w:szCs w:val="14"/>
          <w14:textFill>
            <w14:solidFill>
              <w14:schemeClr w14:val="tx1"/>
            </w14:solidFill>
          </w14:textFill>
        </w:rPr>
        <w:t xml:space="preserve"> on the risk</w:t>
      </w:r>
      <w:r>
        <w:rPr>
          <w:rFonts w:hint="eastAsia" w:ascii="Arial" w:hAnsi="Arial" w:eastAsia="宋体" w:cs="Arial"/>
          <w:color w:val="000000" w:themeColor="text1"/>
          <w:sz w:val="14"/>
          <w:szCs w:val="1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Arial" w:hAnsi="Arial" w:eastAsia="宋体" w:cs="Arial"/>
          <w:color w:val="000000" w:themeColor="text1"/>
          <w:sz w:val="14"/>
          <w:szCs w:val="14"/>
          <w14:textFill>
            <w14:solidFill>
              <w14:schemeClr w14:val="tx1"/>
            </w14:solidFill>
          </w14:textFill>
        </w:rPr>
        <w:t xml:space="preserve"> of developing</w:t>
      </w:r>
      <w:r>
        <w:rPr>
          <w:rFonts w:hint="eastAsia" w:ascii="Arial" w:hAnsi="Arial" w:cs="Arial"/>
          <w:i w:val="0"/>
          <w:iCs w:val="0"/>
          <w:caps w:val="0"/>
          <w:color w:val="000000"/>
          <w:spacing w:val="0"/>
          <w:sz w:val="14"/>
          <w:szCs w:val="14"/>
          <w:shd w:val="clear" w:color="auto" w:fill="FDFDFE"/>
          <w:lang w:val="en-US" w:eastAsia="zh-CN"/>
        </w:rPr>
        <w:t xml:space="preserve"> </w:t>
      </w:r>
      <w:r>
        <w:rPr>
          <w:rFonts w:hint="default" w:ascii="Arial" w:hAnsi="Arial" w:eastAsia="Segoe UI" w:cs="Arial"/>
          <w:i w:val="0"/>
          <w:iCs w:val="0"/>
          <w:caps w:val="0"/>
          <w:color w:val="000000"/>
          <w:spacing w:val="0"/>
          <w:sz w:val="14"/>
          <w:szCs w:val="14"/>
          <w:shd w:val="clear" w:color="auto" w:fill="FDFDFE"/>
        </w:rPr>
        <w:t>CMM</w:t>
      </w:r>
      <w:r>
        <w:rPr>
          <w:rFonts w:hint="eastAsia" w:ascii="Arial" w:hAnsi="Arial" w:cs="Arial"/>
          <w:i w:val="0"/>
          <w:iCs w:val="0"/>
          <w:caps w:val="0"/>
          <w:color w:val="000000"/>
          <w:spacing w:val="0"/>
          <w:sz w:val="14"/>
          <w:szCs w:val="14"/>
          <w:shd w:val="clear" w:color="auto" w:fill="FDFDFE"/>
          <w:lang w:val="en-US" w:eastAsia="zh-CN"/>
        </w:rPr>
        <w:t xml:space="preserve"> (</w:t>
      </w:r>
      <w:r>
        <w:rPr>
          <w:rFonts w:hint="eastAsia" w:ascii="Arial" w:hAnsi="Arial" w:eastAsia="宋体" w:cs="Arial"/>
          <w:i/>
          <w:iCs/>
          <w:color w:val="000000"/>
          <w:sz w:val="13"/>
          <w:szCs w:val="13"/>
          <w:lang w:val="en-US" w:eastAsia="zh-CN"/>
        </w:rPr>
        <w:t>N</w:t>
      </w:r>
      <w:r>
        <w:rPr>
          <w:rFonts w:hint="eastAsia" w:ascii="Arial" w:hAnsi="Arial" w:eastAsia="宋体" w:cs="Arial"/>
          <w:color w:val="000000"/>
          <w:sz w:val="13"/>
          <w:szCs w:val="13"/>
          <w:lang w:val="en-US" w:eastAsia="zh-CN"/>
        </w:rPr>
        <w:t>=</w:t>
      </w:r>
      <w:r>
        <w:rPr>
          <w:rFonts w:hint="eastAsia" w:ascii="Arial" w:hAnsi="Arial" w:cs="Arial"/>
          <w:color w:val="000000"/>
          <w:sz w:val="13"/>
          <w:szCs w:val="13"/>
          <w:lang w:val="en-US" w:eastAsia="zh-CN"/>
        </w:rPr>
        <w:t xml:space="preserve">6974, </w:t>
      </w:r>
      <w:r>
        <w:rPr>
          <w:rFonts w:hint="eastAsia" w:ascii="Arial" w:hAnsi="Arial" w:cs="Arial"/>
          <w:i w:val="0"/>
          <w:iCs w:val="0"/>
          <w:caps w:val="0"/>
          <w:color w:val="000000"/>
          <w:spacing w:val="0"/>
          <w:sz w:val="14"/>
          <w:szCs w:val="14"/>
          <w:shd w:val="clear" w:color="auto" w:fill="FDFDFE"/>
          <w:lang w:val="en-US" w:eastAsia="zh-CN"/>
        </w:rPr>
        <w:t>BMR estimated via Harris-Benedict equation</w:t>
      </w:r>
      <w:r>
        <w:rPr>
          <w:rFonts w:hint="default" w:ascii="Arial" w:hAnsi="Arial" w:cs="Arial"/>
          <w:b w:val="0"/>
          <w:bCs w:val="0"/>
          <w:i w:val="0"/>
          <w:iCs w:val="0"/>
          <w:color w:val="000000"/>
          <w:sz w:val="14"/>
          <w:szCs w:val="14"/>
          <w:u w:val="none"/>
          <w:lang w:val="en-US" w:eastAsia="zh-CN"/>
        </w:rPr>
        <w:t>)</w:t>
      </w:r>
    </w:p>
    <w:tbl>
      <w:tblPr>
        <w:tblStyle w:val="2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9"/>
        <w:gridCol w:w="1220"/>
        <w:gridCol w:w="1201"/>
        <w:gridCol w:w="874"/>
        <w:gridCol w:w="1196"/>
        <w:gridCol w:w="896"/>
        <w:gridCol w:w="1221"/>
        <w:gridCol w:w="790"/>
      </w:tblGrid>
      <w:tr w14:paraId="1DA11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56" w:type="pct"/>
            <w:vMerge w:val="restart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754B3BE0">
            <w:pPr>
              <w:jc w:val="left"/>
              <w:rPr>
                <w:rFonts w:hint="default"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2"/>
                <w:szCs w:val="12"/>
                <w:shd w:val="clear" w:color="auto" w:fill="FDFDFE"/>
                <w:lang w:val="en-US" w:eastAsia="zh-CN"/>
              </w:rPr>
              <w:t>S</w:t>
            </w:r>
            <w:r>
              <w:rPr>
                <w:rFonts w:hint="default" w:ascii="Arial" w:hAnsi="Arial" w:eastAsia="Segoe UI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2"/>
                <w:szCs w:val="12"/>
                <w:shd w:val="clear" w:color="auto" w:fill="FDFDFE"/>
              </w:rPr>
              <w:t>ubgroup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2"/>
                <w:szCs w:val="12"/>
                <w:shd w:val="clear" w:color="auto" w:fill="FDFDFE"/>
                <w:lang w:val="en-US" w:eastAsia="zh-CN"/>
              </w:rPr>
              <w:t>s</w:t>
            </w:r>
          </w:p>
        </w:tc>
        <w:tc>
          <w:tcPr>
            <w:tcW w:w="716" w:type="pct"/>
            <w:vMerge w:val="restart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3F329270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Incidence rate</w:t>
            </w:r>
            <w:r>
              <w:rPr>
                <w:rFonts w:hint="eastAsia" w:ascii="Arial" w:hAnsi="Arial" w:cs="Arial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1218" w:type="pct"/>
            <w:gridSpan w:val="2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2851483F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color w:val="000000"/>
                <w:sz w:val="12"/>
                <w:szCs w:val="12"/>
                <w:lang w:eastAsia="zh-CN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 xml:space="preserve">Model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>I</w:t>
            </w:r>
          </w:p>
        </w:tc>
        <w:tc>
          <w:tcPr>
            <w:tcW w:w="1228" w:type="pct"/>
            <w:gridSpan w:val="2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6B6B75F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color w:val="000000"/>
                <w:sz w:val="12"/>
                <w:szCs w:val="12"/>
                <w:lang w:val="en-US" w:eastAsia="zh-CN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 xml:space="preserve">Model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>II</w:t>
            </w:r>
          </w:p>
        </w:tc>
        <w:tc>
          <w:tcPr>
            <w:tcW w:w="1180" w:type="pct"/>
            <w:gridSpan w:val="2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3B2E084F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color w:val="000000"/>
                <w:sz w:val="12"/>
                <w:szCs w:val="12"/>
                <w:lang w:val="en-US" w:eastAsia="zh-CN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 xml:space="preserve">Model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>III</w:t>
            </w:r>
          </w:p>
        </w:tc>
      </w:tr>
      <w:tr w14:paraId="28CF8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56" w:type="pct"/>
            <w:vMerge w:val="continue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7DD1F605">
            <w:pPr>
              <w:jc w:val="left"/>
              <w:rPr>
                <w:rFonts w:hint="default" w:ascii="Arial" w:hAnsi="Arial"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716" w:type="pct"/>
            <w:vMerge w:val="continue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7D8B51A3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</w:pPr>
          </w:p>
        </w:tc>
        <w:tc>
          <w:tcPr>
            <w:tcW w:w="705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231B0E4F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>H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R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(95%</w:t>
            </w: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CI)</w:t>
            </w:r>
          </w:p>
        </w:tc>
        <w:tc>
          <w:tcPr>
            <w:tcW w:w="513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5F335BAD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bidi="ar"/>
              </w:rPr>
            </w:pPr>
            <w:r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bidi="ar"/>
              </w:rPr>
              <w:t xml:space="preserve">P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value</w:t>
            </w:r>
          </w:p>
        </w:tc>
        <w:tc>
          <w:tcPr>
            <w:tcW w:w="702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27091469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>H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R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(95%</w:t>
            </w: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CI)</w:t>
            </w:r>
          </w:p>
        </w:tc>
        <w:tc>
          <w:tcPr>
            <w:tcW w:w="526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15DD36B1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bidi="ar"/>
              </w:rPr>
            </w:pPr>
            <w:r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bidi="ar"/>
              </w:rPr>
              <w:t xml:space="preserve">P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value</w:t>
            </w:r>
          </w:p>
        </w:tc>
        <w:tc>
          <w:tcPr>
            <w:tcW w:w="716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704CD2BD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>H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R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(95%</w:t>
            </w: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CI)</w:t>
            </w:r>
          </w:p>
        </w:tc>
        <w:tc>
          <w:tcPr>
            <w:tcW w:w="463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0E22DB3F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bidi="ar"/>
              </w:rPr>
            </w:pPr>
            <w:r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bidi="ar"/>
              </w:rPr>
              <w:t>P</w:t>
            </w:r>
            <w:r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value</w:t>
            </w:r>
          </w:p>
        </w:tc>
      </w:tr>
      <w:tr w14:paraId="251E4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8"/>
            <w:tcBorders>
              <w:top w:val="single" w:color="auto" w:sz="8" w:space="0"/>
              <w:tl2br w:val="nil"/>
              <w:tr2bl w:val="nil"/>
            </w:tcBorders>
            <w:noWrap/>
            <w:vAlign w:val="center"/>
          </w:tcPr>
          <w:p w14:paraId="7B9B9631">
            <w:pPr>
              <w:jc w:val="left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TyG and BMR</w:t>
            </w:r>
          </w:p>
        </w:tc>
      </w:tr>
      <w:tr w14:paraId="1E590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noWrap/>
            <w:vAlign w:val="center"/>
          </w:tcPr>
          <w:p w14:paraId="3BD9E7B0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1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59F6A7EC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10.42</w:t>
            </w:r>
          </w:p>
        </w:tc>
        <w:tc>
          <w:tcPr>
            <w:tcW w:w="705" w:type="pct"/>
            <w:tcBorders>
              <w:tl2br w:val="nil"/>
              <w:tr2bl w:val="nil"/>
            </w:tcBorders>
            <w:noWrap/>
            <w:vAlign w:val="center"/>
          </w:tcPr>
          <w:p w14:paraId="78B2AEBF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78C83028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  <w:tc>
          <w:tcPr>
            <w:tcW w:w="702" w:type="pct"/>
            <w:tcBorders>
              <w:tl2br w:val="nil"/>
              <w:tr2bl w:val="nil"/>
            </w:tcBorders>
            <w:noWrap/>
            <w:vAlign w:val="center"/>
          </w:tcPr>
          <w:p w14:paraId="742215BB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26" w:type="pct"/>
            <w:tcBorders>
              <w:tl2br w:val="nil"/>
              <w:tr2bl w:val="nil"/>
            </w:tcBorders>
            <w:noWrap/>
            <w:vAlign w:val="center"/>
          </w:tcPr>
          <w:p w14:paraId="54E1084D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0773680A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463" w:type="pct"/>
            <w:tcBorders>
              <w:tl2br w:val="nil"/>
              <w:tr2bl w:val="nil"/>
            </w:tcBorders>
            <w:noWrap/>
            <w:vAlign w:val="center"/>
          </w:tcPr>
          <w:p w14:paraId="3696EA5A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</w:tr>
      <w:tr w14:paraId="35AF1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noWrap/>
            <w:vAlign w:val="center"/>
          </w:tcPr>
          <w:p w14:paraId="57D555E7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2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1CB4DEF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10.46</w:t>
            </w:r>
          </w:p>
        </w:tc>
        <w:tc>
          <w:tcPr>
            <w:tcW w:w="7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CF6C4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1.01 (0.82, 1.24)</w:t>
            </w: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1A673BB9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0.945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0FF69E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1.37 (1.10, 1.70)</w:t>
            </w:r>
          </w:p>
        </w:tc>
        <w:tc>
          <w:tcPr>
            <w:tcW w:w="52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70C1D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0.005</w:t>
            </w:r>
          </w:p>
        </w:tc>
        <w:tc>
          <w:tcPr>
            <w:tcW w:w="7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758512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1.18 (0.94, 1.47)</w:t>
            </w:r>
          </w:p>
        </w:tc>
        <w:tc>
          <w:tcPr>
            <w:tcW w:w="4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604D4F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0.146</w:t>
            </w:r>
          </w:p>
        </w:tc>
      </w:tr>
      <w:tr w14:paraId="09100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noWrap/>
            <w:vAlign w:val="center"/>
          </w:tcPr>
          <w:p w14:paraId="0541E76C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3</w:t>
            </w:r>
          </w:p>
        </w:tc>
        <w:tc>
          <w:tcPr>
            <w:tcW w:w="7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6E5DA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18.48</w:t>
            </w:r>
          </w:p>
        </w:tc>
        <w:tc>
          <w:tcPr>
            <w:tcW w:w="7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8E20D3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1.86 (1.55, 2.22)</w:t>
            </w: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22E8B2E6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13351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1.78 (1.48, 2.13)</w:t>
            </w:r>
          </w:p>
        </w:tc>
        <w:tc>
          <w:tcPr>
            <w:tcW w:w="52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8BCEAE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439F2DD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1.50 (1.23, 1.83)</w:t>
            </w:r>
          </w:p>
        </w:tc>
        <w:tc>
          <w:tcPr>
            <w:tcW w:w="4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F99758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0D34D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noWrap/>
            <w:vAlign w:val="center"/>
          </w:tcPr>
          <w:p w14:paraId="2A06E9F3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4</w:t>
            </w:r>
          </w:p>
        </w:tc>
        <w:tc>
          <w:tcPr>
            <w:tcW w:w="7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15830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21.19</w:t>
            </w:r>
          </w:p>
        </w:tc>
        <w:tc>
          <w:tcPr>
            <w:tcW w:w="7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5CA68C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2.17 (1.84, 2.56)</w:t>
            </w: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34E62A26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A2F350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2.76 (2.32, 3.29)</w:t>
            </w:r>
          </w:p>
        </w:tc>
        <w:tc>
          <w:tcPr>
            <w:tcW w:w="52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A65DCE2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347888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1.78 (1.45, 2.19)</w:t>
            </w:r>
          </w:p>
        </w:tc>
        <w:tc>
          <w:tcPr>
            <w:tcW w:w="4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6CEEEC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21FF7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noWrap/>
            <w:vAlign w:val="center"/>
          </w:tcPr>
          <w:p w14:paraId="42D457EB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bidi="ar"/>
              </w:rPr>
            </w:pPr>
            <w:r>
              <w:rPr>
                <w:rFonts w:hint="default" w:ascii="Arial" w:hAnsi="Arial" w:cs="Arial"/>
                <w:i/>
                <w:iCs/>
                <w:color w:val="000000"/>
                <w:kern w:val="0"/>
                <w:sz w:val="13"/>
                <w:szCs w:val="13"/>
                <w:lang w:bidi="ar"/>
              </w:rPr>
              <w:t>P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for trend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39ED754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705" w:type="pct"/>
            <w:tcBorders>
              <w:tl2br w:val="nil"/>
              <w:tr2bl w:val="nil"/>
            </w:tcBorders>
            <w:noWrap/>
            <w:vAlign w:val="center"/>
          </w:tcPr>
          <w:p w14:paraId="2F3D0CCE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44F5B645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tcBorders>
              <w:tl2br w:val="nil"/>
              <w:tr2bl w:val="nil"/>
            </w:tcBorders>
            <w:noWrap/>
            <w:vAlign w:val="center"/>
          </w:tcPr>
          <w:p w14:paraId="50799FAE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526" w:type="pct"/>
            <w:tcBorders>
              <w:tl2br w:val="nil"/>
              <w:tr2bl w:val="nil"/>
            </w:tcBorders>
            <w:noWrap/>
            <w:vAlign w:val="center"/>
          </w:tcPr>
          <w:p w14:paraId="47598112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165567E8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463" w:type="pct"/>
            <w:tcBorders>
              <w:tl2br w:val="nil"/>
              <w:tr2bl w:val="nil"/>
            </w:tcBorders>
            <w:noWrap/>
            <w:vAlign w:val="center"/>
          </w:tcPr>
          <w:p w14:paraId="4C14C3D0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72944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8"/>
            <w:tcBorders>
              <w:tl2br w:val="nil"/>
              <w:tr2bl w:val="nil"/>
            </w:tcBorders>
            <w:noWrap/>
            <w:vAlign w:val="center"/>
          </w:tcPr>
          <w:p w14:paraId="344CC68B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eGDR and BMR</w:t>
            </w:r>
          </w:p>
        </w:tc>
      </w:tr>
      <w:tr w14:paraId="6F28C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noWrap/>
            <w:vAlign w:val="center"/>
          </w:tcPr>
          <w:p w14:paraId="3FF7E35C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1</w:t>
            </w:r>
          </w:p>
        </w:tc>
        <w:tc>
          <w:tcPr>
            <w:tcW w:w="7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A8F7DA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8.62</w:t>
            </w:r>
          </w:p>
        </w:tc>
        <w:tc>
          <w:tcPr>
            <w:tcW w:w="705" w:type="pct"/>
            <w:tcBorders>
              <w:tl2br w:val="nil"/>
              <w:tr2bl w:val="nil"/>
            </w:tcBorders>
            <w:noWrap/>
            <w:vAlign w:val="center"/>
          </w:tcPr>
          <w:p w14:paraId="64AC2AE2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067769FF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  <w:tc>
          <w:tcPr>
            <w:tcW w:w="702" w:type="pct"/>
            <w:tcBorders>
              <w:tl2br w:val="nil"/>
              <w:tr2bl w:val="nil"/>
            </w:tcBorders>
            <w:noWrap/>
            <w:vAlign w:val="center"/>
          </w:tcPr>
          <w:p w14:paraId="724B94E9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26" w:type="pct"/>
            <w:tcBorders>
              <w:tl2br w:val="nil"/>
              <w:tr2bl w:val="nil"/>
            </w:tcBorders>
            <w:noWrap/>
            <w:vAlign w:val="center"/>
          </w:tcPr>
          <w:p w14:paraId="12DD20D2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0B6B560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463" w:type="pct"/>
            <w:tcBorders>
              <w:tl2br w:val="nil"/>
              <w:tr2bl w:val="nil"/>
            </w:tcBorders>
            <w:noWrap/>
            <w:vAlign w:val="center"/>
          </w:tcPr>
          <w:p w14:paraId="5FE77B9C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</w:tr>
      <w:tr w14:paraId="183B4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56" w:type="pct"/>
            <w:noWrap w:val="0"/>
            <w:vAlign w:val="center"/>
          </w:tcPr>
          <w:p w14:paraId="799B2AD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2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357E0374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6.85</w:t>
            </w:r>
          </w:p>
        </w:tc>
        <w:tc>
          <w:tcPr>
            <w:tcW w:w="705" w:type="pct"/>
            <w:shd w:val="clear" w:color="auto" w:fill="auto"/>
            <w:noWrap w:val="0"/>
            <w:vAlign w:val="center"/>
          </w:tcPr>
          <w:p w14:paraId="06985809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0.79 (0.61, 1.02)</w:t>
            </w:r>
          </w:p>
        </w:tc>
        <w:tc>
          <w:tcPr>
            <w:tcW w:w="513" w:type="pct"/>
            <w:noWrap w:val="0"/>
            <w:vAlign w:val="center"/>
          </w:tcPr>
          <w:p w14:paraId="4FA61464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0.071</w:t>
            </w:r>
          </w:p>
        </w:tc>
        <w:tc>
          <w:tcPr>
            <w:tcW w:w="702" w:type="pct"/>
            <w:shd w:val="clear" w:color="auto" w:fill="auto"/>
            <w:noWrap w:val="0"/>
            <w:vAlign w:val="center"/>
          </w:tcPr>
          <w:p w14:paraId="31475A7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1.01 (0.77, 1.32)</w:t>
            </w:r>
          </w:p>
        </w:tc>
        <w:tc>
          <w:tcPr>
            <w:tcW w:w="526" w:type="pct"/>
            <w:noWrap w:val="0"/>
            <w:vAlign w:val="center"/>
          </w:tcPr>
          <w:p w14:paraId="3807550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0.943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6A59755A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0.96 (0.74, 1.25)</w:t>
            </w:r>
          </w:p>
        </w:tc>
        <w:tc>
          <w:tcPr>
            <w:tcW w:w="463" w:type="pct"/>
            <w:noWrap w:val="0"/>
            <w:vAlign w:val="center"/>
          </w:tcPr>
          <w:p w14:paraId="11FC3CD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0.771</w:t>
            </w:r>
          </w:p>
        </w:tc>
      </w:tr>
      <w:tr w14:paraId="4EF1B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noWrap w:val="0"/>
            <w:vAlign w:val="center"/>
          </w:tcPr>
          <w:p w14:paraId="2BF99DE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3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564C70DE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23.60</w:t>
            </w:r>
          </w:p>
        </w:tc>
        <w:tc>
          <w:tcPr>
            <w:tcW w:w="705" w:type="pct"/>
            <w:shd w:val="clear" w:color="auto" w:fill="auto"/>
            <w:noWrap w:val="0"/>
            <w:vAlign w:val="center"/>
          </w:tcPr>
          <w:p w14:paraId="7F5ACBA3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3.01 (2.51, 3.61)</w:t>
            </w:r>
          </w:p>
        </w:tc>
        <w:tc>
          <w:tcPr>
            <w:tcW w:w="513" w:type="pct"/>
            <w:noWrap w:val="0"/>
            <w:vAlign w:val="center"/>
          </w:tcPr>
          <w:p w14:paraId="0867F1DC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shd w:val="clear" w:color="auto" w:fill="auto"/>
            <w:noWrap w:val="0"/>
            <w:vAlign w:val="center"/>
          </w:tcPr>
          <w:p w14:paraId="20E15FA2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2.61 (2.17, 3.14)</w:t>
            </w:r>
          </w:p>
        </w:tc>
        <w:tc>
          <w:tcPr>
            <w:tcW w:w="526" w:type="pct"/>
            <w:noWrap w:val="0"/>
            <w:vAlign w:val="center"/>
          </w:tcPr>
          <w:p w14:paraId="01E2FA60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7F73B13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1.56 (1.25, 1.94)</w:t>
            </w:r>
          </w:p>
        </w:tc>
        <w:tc>
          <w:tcPr>
            <w:tcW w:w="463" w:type="pct"/>
            <w:shd w:val="clear" w:color="auto" w:fill="auto"/>
            <w:noWrap w:val="0"/>
            <w:vAlign w:val="center"/>
          </w:tcPr>
          <w:p w14:paraId="0F267263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669EC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noWrap w:val="0"/>
            <w:vAlign w:val="center"/>
          </w:tcPr>
          <w:p w14:paraId="6CF3B26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4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5864458E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21.89</w:t>
            </w:r>
          </w:p>
        </w:tc>
        <w:tc>
          <w:tcPr>
            <w:tcW w:w="705" w:type="pct"/>
            <w:shd w:val="clear" w:color="auto" w:fill="auto"/>
            <w:noWrap w:val="0"/>
            <w:vAlign w:val="center"/>
          </w:tcPr>
          <w:p w14:paraId="23693859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2.76 (2.34, 3.26)</w:t>
            </w:r>
          </w:p>
        </w:tc>
        <w:tc>
          <w:tcPr>
            <w:tcW w:w="513" w:type="pct"/>
            <w:noWrap w:val="0"/>
            <w:vAlign w:val="center"/>
          </w:tcPr>
          <w:p w14:paraId="6A446188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shd w:val="clear" w:color="auto" w:fill="auto"/>
            <w:noWrap w:val="0"/>
            <w:vAlign w:val="center"/>
          </w:tcPr>
          <w:p w14:paraId="4C1E122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3.13 (2.64, 3.71)</w:t>
            </w:r>
          </w:p>
        </w:tc>
        <w:tc>
          <w:tcPr>
            <w:tcW w:w="526" w:type="pct"/>
            <w:noWrap w:val="0"/>
            <w:vAlign w:val="center"/>
          </w:tcPr>
          <w:p w14:paraId="6FC21D88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4635DCFB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1.78 (1.45, 2.19)</w:t>
            </w:r>
          </w:p>
        </w:tc>
        <w:tc>
          <w:tcPr>
            <w:tcW w:w="463" w:type="pct"/>
            <w:shd w:val="clear" w:color="auto" w:fill="auto"/>
            <w:noWrap w:val="0"/>
            <w:vAlign w:val="center"/>
          </w:tcPr>
          <w:p w14:paraId="6F7944DD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73B1A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noWrap/>
            <w:vAlign w:val="center"/>
          </w:tcPr>
          <w:p w14:paraId="5EE9FEEE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bidi="ar"/>
              </w:rPr>
            </w:pPr>
            <w:r>
              <w:rPr>
                <w:rFonts w:hint="default" w:ascii="Arial" w:hAnsi="Arial" w:cs="Arial"/>
                <w:i/>
                <w:iCs/>
                <w:color w:val="000000"/>
                <w:kern w:val="0"/>
                <w:sz w:val="13"/>
                <w:szCs w:val="13"/>
                <w:lang w:bidi="ar"/>
              </w:rPr>
              <w:t>P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for trend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6D0E7CC8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705" w:type="pct"/>
            <w:tcBorders>
              <w:tl2br w:val="nil"/>
              <w:tr2bl w:val="nil"/>
            </w:tcBorders>
            <w:noWrap/>
            <w:vAlign w:val="center"/>
          </w:tcPr>
          <w:p w14:paraId="4EFFE079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5347C7AF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tcBorders>
              <w:tl2br w:val="nil"/>
              <w:tr2bl w:val="nil"/>
            </w:tcBorders>
            <w:noWrap/>
            <w:vAlign w:val="center"/>
          </w:tcPr>
          <w:p w14:paraId="0D8C804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526" w:type="pct"/>
            <w:tcBorders>
              <w:tl2br w:val="nil"/>
              <w:tr2bl w:val="nil"/>
            </w:tcBorders>
            <w:noWrap/>
            <w:vAlign w:val="center"/>
          </w:tcPr>
          <w:p w14:paraId="3584259F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65E1955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463" w:type="pct"/>
            <w:tcBorders>
              <w:tl2br w:val="nil"/>
              <w:tr2bl w:val="nil"/>
            </w:tcBorders>
            <w:noWrap/>
            <w:vAlign w:val="center"/>
          </w:tcPr>
          <w:p w14:paraId="7FE43E73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6E66C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8"/>
            <w:noWrap w:val="0"/>
            <w:vAlign w:val="center"/>
          </w:tcPr>
          <w:p w14:paraId="558DCD6C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METS-IR and BMR</w:t>
            </w:r>
          </w:p>
        </w:tc>
      </w:tr>
      <w:tr w14:paraId="20717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noWrap w:val="0"/>
            <w:vAlign w:val="center"/>
          </w:tcPr>
          <w:p w14:paraId="7A5F2A4E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1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153AB6A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10.46</w:t>
            </w:r>
          </w:p>
        </w:tc>
        <w:tc>
          <w:tcPr>
            <w:tcW w:w="705" w:type="pct"/>
            <w:noWrap w:val="0"/>
            <w:vAlign w:val="center"/>
          </w:tcPr>
          <w:p w14:paraId="7B5D81EC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13" w:type="pct"/>
            <w:noWrap w:val="0"/>
            <w:vAlign w:val="center"/>
          </w:tcPr>
          <w:p w14:paraId="592A36FA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  <w:tc>
          <w:tcPr>
            <w:tcW w:w="702" w:type="pct"/>
            <w:noWrap w:val="0"/>
            <w:vAlign w:val="center"/>
          </w:tcPr>
          <w:p w14:paraId="7ACB98FC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26" w:type="pct"/>
            <w:noWrap w:val="0"/>
            <w:vAlign w:val="center"/>
          </w:tcPr>
          <w:p w14:paraId="213708CA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  <w:tc>
          <w:tcPr>
            <w:tcW w:w="716" w:type="pct"/>
            <w:noWrap w:val="0"/>
            <w:vAlign w:val="center"/>
          </w:tcPr>
          <w:p w14:paraId="20A0AD04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463" w:type="pct"/>
            <w:noWrap w:val="0"/>
            <w:vAlign w:val="center"/>
          </w:tcPr>
          <w:p w14:paraId="345B625D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</w:tr>
      <w:tr w14:paraId="6F8E4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noWrap w:val="0"/>
            <w:vAlign w:val="center"/>
          </w:tcPr>
          <w:p w14:paraId="7446D97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2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602139D4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7.07</w:t>
            </w:r>
          </w:p>
        </w:tc>
        <w:tc>
          <w:tcPr>
            <w:tcW w:w="705" w:type="pct"/>
            <w:shd w:val="clear" w:color="auto" w:fill="auto"/>
            <w:noWrap w:val="0"/>
            <w:vAlign w:val="center"/>
          </w:tcPr>
          <w:p w14:paraId="7721902F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0.66 (0.51, 0.87)</w:t>
            </w:r>
          </w:p>
        </w:tc>
        <w:tc>
          <w:tcPr>
            <w:tcW w:w="513" w:type="pct"/>
            <w:noWrap w:val="0"/>
            <w:vAlign w:val="center"/>
          </w:tcPr>
          <w:p w14:paraId="72C89920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0.003</w:t>
            </w:r>
          </w:p>
        </w:tc>
        <w:tc>
          <w:tcPr>
            <w:tcW w:w="702" w:type="pct"/>
            <w:shd w:val="clear" w:color="auto" w:fill="auto"/>
            <w:noWrap w:val="0"/>
            <w:vAlign w:val="center"/>
          </w:tcPr>
          <w:p w14:paraId="5FE1E7AB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0.93 (0.70, 1.24)</w:t>
            </w:r>
          </w:p>
        </w:tc>
        <w:tc>
          <w:tcPr>
            <w:tcW w:w="526" w:type="pct"/>
            <w:shd w:val="clear" w:color="auto" w:fill="auto"/>
            <w:noWrap w:val="0"/>
            <w:vAlign w:val="center"/>
          </w:tcPr>
          <w:p w14:paraId="76736BCC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0.628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05F4B34A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0.97 (0.73, 1.29)</w:t>
            </w:r>
          </w:p>
        </w:tc>
        <w:tc>
          <w:tcPr>
            <w:tcW w:w="463" w:type="pct"/>
            <w:noWrap w:val="0"/>
            <w:vAlign w:val="center"/>
          </w:tcPr>
          <w:p w14:paraId="197AF328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0.848</w:t>
            </w:r>
          </w:p>
        </w:tc>
      </w:tr>
      <w:tr w14:paraId="547B7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noWrap w:val="0"/>
            <w:vAlign w:val="center"/>
          </w:tcPr>
          <w:p w14:paraId="048A2CF9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3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046F91D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23.43</w:t>
            </w:r>
          </w:p>
        </w:tc>
        <w:tc>
          <w:tcPr>
            <w:tcW w:w="705" w:type="pct"/>
            <w:shd w:val="clear" w:color="auto" w:fill="auto"/>
            <w:noWrap w:val="0"/>
            <w:vAlign w:val="center"/>
          </w:tcPr>
          <w:p w14:paraId="08CA5A6A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2.42 (2.02, 2.90)</w:t>
            </w:r>
          </w:p>
        </w:tc>
        <w:tc>
          <w:tcPr>
            <w:tcW w:w="513" w:type="pct"/>
            <w:noWrap w:val="0"/>
            <w:vAlign w:val="center"/>
          </w:tcPr>
          <w:p w14:paraId="6E9D63D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shd w:val="clear" w:color="auto" w:fill="auto"/>
            <w:noWrap w:val="0"/>
            <w:vAlign w:val="center"/>
          </w:tcPr>
          <w:p w14:paraId="7E731D14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2.24 (1.87, 2.69)</w:t>
            </w:r>
          </w:p>
        </w:tc>
        <w:tc>
          <w:tcPr>
            <w:tcW w:w="526" w:type="pct"/>
            <w:shd w:val="clear" w:color="auto" w:fill="auto"/>
            <w:noWrap w:val="0"/>
            <w:vAlign w:val="center"/>
          </w:tcPr>
          <w:p w14:paraId="6DFDB57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176615C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1.87 (1.52, 2.30)</w:t>
            </w:r>
          </w:p>
        </w:tc>
        <w:tc>
          <w:tcPr>
            <w:tcW w:w="463" w:type="pct"/>
            <w:noWrap w:val="0"/>
            <w:vAlign w:val="center"/>
          </w:tcPr>
          <w:p w14:paraId="77929CCB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44F0E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noWrap w:val="0"/>
            <w:vAlign w:val="center"/>
          </w:tcPr>
          <w:p w14:paraId="35C074E0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4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5B4D85C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20.02</w:t>
            </w:r>
          </w:p>
        </w:tc>
        <w:tc>
          <w:tcPr>
            <w:tcW w:w="705" w:type="pct"/>
            <w:shd w:val="clear" w:color="auto" w:fill="auto"/>
            <w:noWrap w:val="0"/>
            <w:vAlign w:val="center"/>
          </w:tcPr>
          <w:p w14:paraId="7C5259D9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2.03 (1.76, 2.36)</w:t>
            </w:r>
          </w:p>
        </w:tc>
        <w:tc>
          <w:tcPr>
            <w:tcW w:w="513" w:type="pct"/>
            <w:noWrap w:val="0"/>
            <w:vAlign w:val="center"/>
          </w:tcPr>
          <w:p w14:paraId="639F233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shd w:val="clear" w:color="auto" w:fill="auto"/>
            <w:noWrap w:val="0"/>
            <w:vAlign w:val="center"/>
          </w:tcPr>
          <w:p w14:paraId="5F15050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2.53 (2.16, 2.96)</w:t>
            </w:r>
          </w:p>
        </w:tc>
        <w:tc>
          <w:tcPr>
            <w:tcW w:w="526" w:type="pct"/>
            <w:shd w:val="clear" w:color="auto" w:fill="auto"/>
            <w:noWrap w:val="0"/>
            <w:vAlign w:val="center"/>
          </w:tcPr>
          <w:p w14:paraId="27F94DE2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3C102F1A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1.78 (1.49, 2.14)</w:t>
            </w:r>
          </w:p>
        </w:tc>
        <w:tc>
          <w:tcPr>
            <w:tcW w:w="463" w:type="pct"/>
            <w:noWrap w:val="0"/>
            <w:vAlign w:val="center"/>
          </w:tcPr>
          <w:p w14:paraId="5342FE82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55548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bottom w:val="single" w:color="auto" w:sz="12" w:space="0"/>
            </w:tcBorders>
            <w:noWrap/>
            <w:vAlign w:val="center"/>
          </w:tcPr>
          <w:p w14:paraId="3443F978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bidi="ar"/>
              </w:rPr>
            </w:pPr>
            <w:r>
              <w:rPr>
                <w:rFonts w:hint="default" w:ascii="Arial" w:hAnsi="Arial" w:cs="Arial"/>
                <w:i/>
                <w:iCs/>
                <w:color w:val="000000"/>
                <w:kern w:val="0"/>
                <w:sz w:val="13"/>
                <w:szCs w:val="13"/>
                <w:lang w:bidi="ar"/>
              </w:rPr>
              <w:t>P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for trend</w:t>
            </w:r>
          </w:p>
        </w:tc>
        <w:tc>
          <w:tcPr>
            <w:tcW w:w="716" w:type="pct"/>
            <w:tcBorders>
              <w:bottom w:val="single" w:color="auto" w:sz="12" w:space="0"/>
            </w:tcBorders>
            <w:noWrap/>
            <w:vAlign w:val="center"/>
          </w:tcPr>
          <w:p w14:paraId="475D7C00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705" w:type="pct"/>
            <w:tcBorders>
              <w:bottom w:val="single" w:color="auto" w:sz="12" w:space="0"/>
            </w:tcBorders>
            <w:noWrap/>
            <w:vAlign w:val="center"/>
          </w:tcPr>
          <w:p w14:paraId="5CDE3FD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513" w:type="pct"/>
            <w:tcBorders>
              <w:bottom w:val="single" w:color="auto" w:sz="12" w:space="0"/>
            </w:tcBorders>
            <w:noWrap/>
            <w:vAlign w:val="center"/>
          </w:tcPr>
          <w:p w14:paraId="3F327689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tcBorders>
              <w:bottom w:val="single" w:color="auto" w:sz="12" w:space="0"/>
            </w:tcBorders>
            <w:noWrap/>
            <w:vAlign w:val="center"/>
          </w:tcPr>
          <w:p w14:paraId="3C7B426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526" w:type="pct"/>
            <w:tcBorders>
              <w:bottom w:val="single" w:color="auto" w:sz="12" w:space="0"/>
            </w:tcBorders>
            <w:noWrap/>
            <w:vAlign w:val="center"/>
          </w:tcPr>
          <w:p w14:paraId="25B4E50C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46FADFB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463" w:type="pct"/>
            <w:tcBorders>
              <w:bottom w:val="single" w:color="auto" w:sz="12" w:space="0"/>
            </w:tcBorders>
            <w:noWrap/>
            <w:vAlign w:val="center"/>
          </w:tcPr>
          <w:p w14:paraId="621338B1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</w:tbl>
    <w:p w14:paraId="1287678B">
      <w:pP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Model I: non-adjusted</w:t>
      </w:r>
    </w:p>
    <w:p w14:paraId="353CE96A">
      <w:pP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Model II: adjusted for age, gender, smoking status, drinking status, education level, marital status, residence</w:t>
      </w:r>
    </w:p>
    <w:p w14:paraId="4E0E7875">
      <w:pP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Model III: further adjusted for SBP, DBP,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TC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,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HDL-C, LDL-C, hs-CRP,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chronic diseases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 (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hypertension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,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dyslipidemia, depression,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and cancer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), and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medication use (antihyp</w:t>
      </w:r>
      <w:r>
        <w:rPr>
          <w:rFonts w:hint="default" w:ascii="Arial" w:hAnsi="Arial" w:eastAsia="Segoe UI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er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tensive, antidiabetic, antidyslipidemic,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and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cardiovascular medications)</w:t>
      </w:r>
    </w:p>
    <w:p w14:paraId="77E844D1">
      <w:pP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Group 1 refers to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low 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and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low BMR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; Group 2 refers to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low 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and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high BMR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; Group 3 refers to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high 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and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low BMR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; Group 4 refers to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 high 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and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high BMR.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insulin resistance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,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BMR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 basal metabolic rate,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TyG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triglyceride-glucose,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eGDR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e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stimate glucose disposal rate,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METS-IR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metabolic score for insulin resistance, </w:t>
      </w:r>
      <w:r>
        <w:rPr>
          <w:rFonts w:hint="default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HR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hazard ratio, </w:t>
      </w:r>
      <w:r>
        <w:rPr>
          <w:rFonts w:hint="default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CI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confidence interval</w:t>
      </w:r>
    </w:p>
    <w:p w14:paraId="47521913">
      <w:pP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宋体" w:cs="Arial"/>
          <w:b/>
          <w:bCs/>
          <w:i w:val="0"/>
          <w:iCs w:val="0"/>
          <w:color w:val="000000" w:themeColor="text1"/>
          <w:spacing w:val="0"/>
          <w:sz w:val="12"/>
          <w:szCs w:val="12"/>
          <w:shd w:val="clear" w:fill="FDFDFE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a</w:t>
      </w:r>
      <w: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:lang w:val="en-US" w:eastAsia="zh-CN"/>
          <w14:textFill>
            <w14:solidFill>
              <w14:schemeClr w14:val="tx1"/>
            </w14:solidFill>
          </w14:textFill>
        </w:rPr>
        <w:t>Incident rate was presented as per 1000 person-years of follow-up</w:t>
      </w:r>
    </w:p>
    <w:p w14:paraId="5B18E548"/>
    <w:p w14:paraId="46EAB2A7"/>
    <w:p w14:paraId="510AB1A4">
      <w:r>
        <w:rPr>
          <w:rFonts w:hint="default" w:ascii="Arial" w:hAnsi="Arial" w:cs="Arial"/>
          <w:b/>
          <w:bCs/>
          <w:i w:val="0"/>
          <w:iCs w:val="0"/>
          <w:color w:val="000000"/>
          <w:sz w:val="16"/>
          <w:szCs w:val="16"/>
          <w:u w:val="none"/>
          <w:lang w:val="en-US" w:eastAsia="zh-CN"/>
        </w:rPr>
        <w:t xml:space="preserve">Table </w:t>
      </w:r>
      <w:r>
        <w:rPr>
          <w:rFonts w:hint="eastAsia" w:ascii="Arial" w:hAnsi="Arial" w:cs="Arial"/>
          <w:b/>
          <w:bCs/>
          <w:i w:val="0"/>
          <w:iCs w:val="0"/>
          <w:color w:val="000000"/>
          <w:sz w:val="16"/>
          <w:szCs w:val="16"/>
          <w:u w:val="none"/>
          <w:lang w:val="en-US" w:eastAsia="zh-CN"/>
        </w:rPr>
        <w:t xml:space="preserve">S15  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14"/>
          <w:szCs w:val="14"/>
          <w:shd w:val="clear" w:fill="FFFFFF"/>
        </w:rPr>
        <w:t>Sensitivity analys</w:t>
      </w:r>
      <w:r>
        <w:rPr>
          <w:rFonts w:hint="eastAsia" w:ascii="Arial" w:hAnsi="Arial" w:cs="Arial"/>
          <w:i w:val="0"/>
          <w:iCs w:val="0"/>
          <w:caps w:val="0"/>
          <w:spacing w:val="0"/>
          <w:sz w:val="14"/>
          <w:szCs w:val="14"/>
          <w:shd w:val="clear" w:fill="FFFFFF"/>
          <w:lang w:val="en-US" w:eastAsia="zh-CN"/>
        </w:rPr>
        <w:t>e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14"/>
          <w:szCs w:val="14"/>
          <w:shd w:val="clear" w:fill="FFFFFF"/>
        </w:rPr>
        <w:t xml:space="preserve">s of </w:t>
      </w:r>
      <w:r>
        <w:rPr>
          <w:rFonts w:hint="default" w:ascii="Arial" w:hAnsi="Arial" w:eastAsia="宋体" w:cs="Arial"/>
          <w:color w:val="000000" w:themeColor="text1"/>
          <w:sz w:val="14"/>
          <w:szCs w:val="14"/>
          <w14:textFill>
            <w14:solidFill>
              <w14:schemeClr w14:val="tx1"/>
            </w14:solidFill>
          </w14:textFill>
        </w:rPr>
        <w:t xml:space="preserve">the joint effects of </w:t>
      </w:r>
      <w:r>
        <w:rPr>
          <w:rFonts w:hint="eastAsia" w:ascii="Arial" w:hAnsi="Arial" w:eastAsia="宋体" w:cs="Arial"/>
          <w:color w:val="000000" w:themeColor="text1"/>
          <w:sz w:val="14"/>
          <w:szCs w:val="14"/>
          <w:lang w:val="en-US" w:eastAsia="zh-CN"/>
          <w14:textFill>
            <w14:solidFill>
              <w14:schemeClr w14:val="tx1"/>
            </w14:solidFill>
          </w14:textFill>
        </w:rPr>
        <w:t>i</w:t>
      </w:r>
      <w:r>
        <w:rPr>
          <w:rFonts w:hint="eastAsia" w:ascii="Arial" w:hAnsi="Arial" w:eastAsia="宋体" w:cs="Arial"/>
          <w:color w:val="000000" w:themeColor="text1"/>
          <w:sz w:val="14"/>
          <w:szCs w:val="14"/>
          <w:lang w:eastAsia="zh-CN"/>
          <w14:textFill>
            <w14:solidFill>
              <w14:schemeClr w14:val="tx1"/>
            </w14:solidFill>
          </w14:textFill>
        </w:rPr>
        <w:t>nsulin</w:t>
      </w:r>
      <w:r>
        <w:rPr>
          <w:rFonts w:hint="eastAsia" w:ascii="Arial" w:hAnsi="Arial" w:cs="Arial"/>
          <w:color w:val="000000" w:themeColor="text1"/>
          <w:sz w:val="14"/>
          <w:szCs w:val="1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eastAsia="Segoe UI" w:cs="Arial"/>
          <w:b w:val="0"/>
          <w:bCs w:val="0"/>
          <w:i w:val="0"/>
          <w:iCs w:val="0"/>
          <w:caps w:val="0"/>
          <w:color w:val="0F1115"/>
          <w:spacing w:val="0"/>
          <w:sz w:val="14"/>
          <w:szCs w:val="14"/>
          <w:shd w:val="clear" w:fill="FFFFFF"/>
        </w:rPr>
        <w:t>resistance surrogate indices and basal metabolic rate</w:t>
      </w:r>
      <w:r>
        <w:rPr>
          <w:rFonts w:hint="default" w:ascii="Arial" w:hAnsi="Arial" w:eastAsia="宋体" w:cs="Arial"/>
          <w:color w:val="000000" w:themeColor="text1"/>
          <w:sz w:val="14"/>
          <w:szCs w:val="14"/>
          <w14:textFill>
            <w14:solidFill>
              <w14:schemeClr w14:val="tx1"/>
            </w14:solidFill>
          </w14:textFill>
        </w:rPr>
        <w:t xml:space="preserve"> on the risk</w:t>
      </w:r>
      <w:r>
        <w:rPr>
          <w:rFonts w:hint="eastAsia" w:ascii="Arial" w:hAnsi="Arial" w:eastAsia="宋体" w:cs="Arial"/>
          <w:color w:val="000000" w:themeColor="text1"/>
          <w:sz w:val="14"/>
          <w:szCs w:val="1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Arial" w:hAnsi="Arial" w:eastAsia="宋体" w:cs="Arial"/>
          <w:color w:val="000000" w:themeColor="text1"/>
          <w:sz w:val="14"/>
          <w:szCs w:val="14"/>
          <w14:textFill>
            <w14:solidFill>
              <w14:schemeClr w14:val="tx1"/>
            </w14:solidFill>
          </w14:textFill>
        </w:rPr>
        <w:t xml:space="preserve"> of developing</w:t>
      </w:r>
      <w:r>
        <w:rPr>
          <w:rFonts w:hint="eastAsia" w:ascii="Arial" w:hAnsi="Arial" w:cs="Arial"/>
          <w:i w:val="0"/>
          <w:iCs w:val="0"/>
          <w:caps w:val="0"/>
          <w:color w:val="000000"/>
          <w:spacing w:val="0"/>
          <w:sz w:val="14"/>
          <w:szCs w:val="14"/>
          <w:shd w:val="clear" w:color="auto" w:fill="FDFDFE"/>
          <w:lang w:val="en-US" w:eastAsia="zh-CN"/>
        </w:rPr>
        <w:t xml:space="preserve"> </w:t>
      </w:r>
      <w:r>
        <w:rPr>
          <w:rFonts w:hint="default" w:ascii="Arial" w:hAnsi="Arial" w:eastAsia="Segoe UI" w:cs="Arial"/>
          <w:i w:val="0"/>
          <w:iCs w:val="0"/>
          <w:caps w:val="0"/>
          <w:color w:val="000000"/>
          <w:spacing w:val="0"/>
          <w:sz w:val="14"/>
          <w:szCs w:val="14"/>
          <w:shd w:val="clear" w:color="auto" w:fill="FDFDFE"/>
        </w:rPr>
        <w:t>CMM</w:t>
      </w:r>
      <w:r>
        <w:rPr>
          <w:rFonts w:hint="eastAsia" w:ascii="Arial" w:hAnsi="Arial" w:cs="Arial"/>
          <w:i w:val="0"/>
          <w:iCs w:val="0"/>
          <w:caps w:val="0"/>
          <w:color w:val="000000"/>
          <w:spacing w:val="0"/>
          <w:sz w:val="14"/>
          <w:szCs w:val="14"/>
          <w:shd w:val="clear" w:color="auto" w:fill="FDFDFE"/>
          <w:lang w:val="en-US" w:eastAsia="zh-CN"/>
        </w:rPr>
        <w:t xml:space="preserve"> (</w:t>
      </w:r>
      <w:r>
        <w:rPr>
          <w:rFonts w:hint="eastAsia" w:ascii="Arial" w:hAnsi="Arial" w:eastAsia="宋体" w:cs="Arial"/>
          <w:i/>
          <w:iCs/>
          <w:color w:val="000000"/>
          <w:sz w:val="13"/>
          <w:szCs w:val="13"/>
          <w:lang w:val="en-US" w:eastAsia="zh-CN"/>
        </w:rPr>
        <w:t>N</w:t>
      </w:r>
      <w:r>
        <w:rPr>
          <w:rFonts w:hint="eastAsia" w:ascii="Arial" w:hAnsi="Arial" w:eastAsia="宋体" w:cs="Arial"/>
          <w:color w:val="000000"/>
          <w:sz w:val="13"/>
          <w:szCs w:val="13"/>
          <w:lang w:val="en-US" w:eastAsia="zh-CN"/>
        </w:rPr>
        <w:t>=</w:t>
      </w:r>
      <w:r>
        <w:rPr>
          <w:rFonts w:hint="eastAsia" w:ascii="Arial" w:hAnsi="Arial" w:cs="Arial"/>
          <w:color w:val="000000"/>
          <w:sz w:val="13"/>
          <w:szCs w:val="13"/>
          <w:lang w:val="en-US" w:eastAsia="zh-CN"/>
        </w:rPr>
        <w:t xml:space="preserve">6974, </w:t>
      </w:r>
      <w:r>
        <w:rPr>
          <w:rFonts w:hint="eastAsia" w:ascii="Arial" w:hAnsi="Arial" w:cs="Arial"/>
          <w:i w:val="0"/>
          <w:iCs w:val="0"/>
          <w:caps w:val="0"/>
          <w:color w:val="000000"/>
          <w:spacing w:val="0"/>
          <w:sz w:val="14"/>
          <w:szCs w:val="14"/>
          <w:shd w:val="clear" w:color="auto" w:fill="FDFDFE"/>
          <w:lang w:val="en-US" w:eastAsia="zh-CN"/>
        </w:rPr>
        <w:t xml:space="preserve">BMR estimated via 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14"/>
          <w:szCs w:val="14"/>
          <w:shd w:val="clear" w:fill="FFFFFF"/>
        </w:rPr>
        <w:t>Mifflin-St. Jeor</w:t>
      </w:r>
      <w:r>
        <w:rPr>
          <w:rFonts w:hint="eastAsia" w:ascii="Arial" w:hAnsi="Arial" w:eastAsia="Segoe UI" w:cs="Arial"/>
          <w:i w:val="0"/>
          <w:iCs w:val="0"/>
          <w:caps w:val="0"/>
          <w:spacing w:val="0"/>
          <w:sz w:val="14"/>
          <w:szCs w:val="14"/>
          <w:shd w:val="clear" w:fill="FFFFFF"/>
          <w:lang w:val="en-US" w:eastAsia="zh-CN"/>
        </w:rPr>
        <w:t xml:space="preserve"> </w:t>
      </w:r>
      <w:r>
        <w:rPr>
          <w:rFonts w:hint="eastAsia" w:ascii="Arial" w:hAnsi="Arial" w:cs="Arial"/>
          <w:i w:val="0"/>
          <w:iCs w:val="0"/>
          <w:caps w:val="0"/>
          <w:color w:val="000000"/>
          <w:spacing w:val="0"/>
          <w:sz w:val="14"/>
          <w:szCs w:val="14"/>
          <w:shd w:val="clear" w:color="auto" w:fill="FDFDFE"/>
          <w:lang w:val="en-US" w:eastAsia="zh-CN"/>
        </w:rPr>
        <w:t>equation</w:t>
      </w:r>
      <w:r>
        <w:rPr>
          <w:rFonts w:hint="default" w:ascii="Arial" w:hAnsi="Arial" w:cs="Arial"/>
          <w:b w:val="0"/>
          <w:bCs w:val="0"/>
          <w:i w:val="0"/>
          <w:iCs w:val="0"/>
          <w:color w:val="000000"/>
          <w:sz w:val="14"/>
          <w:szCs w:val="14"/>
          <w:u w:val="none"/>
          <w:lang w:val="en-US" w:eastAsia="zh-CN"/>
        </w:rPr>
        <w:t>)</w:t>
      </w:r>
    </w:p>
    <w:tbl>
      <w:tblPr>
        <w:tblStyle w:val="2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9"/>
        <w:gridCol w:w="1220"/>
        <w:gridCol w:w="1201"/>
        <w:gridCol w:w="874"/>
        <w:gridCol w:w="1196"/>
        <w:gridCol w:w="896"/>
        <w:gridCol w:w="1221"/>
        <w:gridCol w:w="790"/>
      </w:tblGrid>
      <w:tr w14:paraId="112C1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56" w:type="pct"/>
            <w:vMerge w:val="restart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386404B4">
            <w:pPr>
              <w:jc w:val="left"/>
              <w:rPr>
                <w:rFonts w:hint="default"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2"/>
                <w:szCs w:val="12"/>
                <w:shd w:val="clear" w:color="auto" w:fill="FDFDFE"/>
                <w:lang w:val="en-US" w:eastAsia="zh-CN"/>
              </w:rPr>
              <w:t>S</w:t>
            </w:r>
            <w:r>
              <w:rPr>
                <w:rFonts w:hint="default" w:ascii="Arial" w:hAnsi="Arial" w:eastAsia="Segoe UI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2"/>
                <w:szCs w:val="12"/>
                <w:shd w:val="clear" w:color="auto" w:fill="FDFDFE"/>
              </w:rPr>
              <w:t>ubgroup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2"/>
                <w:szCs w:val="12"/>
                <w:shd w:val="clear" w:color="auto" w:fill="FDFDFE"/>
                <w:lang w:val="en-US" w:eastAsia="zh-CN"/>
              </w:rPr>
              <w:t>s</w:t>
            </w:r>
          </w:p>
        </w:tc>
        <w:tc>
          <w:tcPr>
            <w:tcW w:w="716" w:type="pct"/>
            <w:vMerge w:val="restart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720AF73C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Incidence rate</w:t>
            </w:r>
            <w:r>
              <w:rPr>
                <w:rFonts w:hint="eastAsia" w:ascii="Arial" w:hAnsi="Arial" w:cs="Arial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1218" w:type="pct"/>
            <w:gridSpan w:val="2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060D22B4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color w:val="000000"/>
                <w:sz w:val="12"/>
                <w:szCs w:val="12"/>
                <w:lang w:eastAsia="zh-CN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 xml:space="preserve">Model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>I</w:t>
            </w:r>
          </w:p>
        </w:tc>
        <w:tc>
          <w:tcPr>
            <w:tcW w:w="1228" w:type="pct"/>
            <w:gridSpan w:val="2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23BF8C6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color w:val="000000"/>
                <w:sz w:val="12"/>
                <w:szCs w:val="12"/>
                <w:lang w:val="en-US" w:eastAsia="zh-CN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 xml:space="preserve">Model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>II</w:t>
            </w:r>
          </w:p>
        </w:tc>
        <w:tc>
          <w:tcPr>
            <w:tcW w:w="1180" w:type="pct"/>
            <w:gridSpan w:val="2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36732200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color w:val="000000"/>
                <w:sz w:val="12"/>
                <w:szCs w:val="12"/>
                <w:lang w:val="en-US" w:eastAsia="zh-CN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 xml:space="preserve">Model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>III</w:t>
            </w:r>
          </w:p>
        </w:tc>
      </w:tr>
      <w:tr w14:paraId="4A9E6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56" w:type="pct"/>
            <w:vMerge w:val="continue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541CA971">
            <w:pPr>
              <w:jc w:val="left"/>
              <w:rPr>
                <w:rFonts w:hint="default" w:ascii="Arial" w:hAnsi="Arial"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716" w:type="pct"/>
            <w:vMerge w:val="continue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6AB962AA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</w:pPr>
          </w:p>
        </w:tc>
        <w:tc>
          <w:tcPr>
            <w:tcW w:w="705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2B7EA01D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>H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R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(95%</w:t>
            </w: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CI)</w:t>
            </w:r>
          </w:p>
        </w:tc>
        <w:tc>
          <w:tcPr>
            <w:tcW w:w="513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58BBB1AC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bidi="ar"/>
              </w:rPr>
            </w:pPr>
            <w:r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bidi="ar"/>
              </w:rPr>
              <w:t xml:space="preserve">P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value</w:t>
            </w:r>
          </w:p>
        </w:tc>
        <w:tc>
          <w:tcPr>
            <w:tcW w:w="702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75B9441F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>H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R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(95%</w:t>
            </w: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CI)</w:t>
            </w:r>
          </w:p>
        </w:tc>
        <w:tc>
          <w:tcPr>
            <w:tcW w:w="526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21D6A916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bidi="ar"/>
              </w:rPr>
            </w:pPr>
            <w:r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bidi="ar"/>
              </w:rPr>
              <w:t xml:space="preserve">P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value</w:t>
            </w:r>
          </w:p>
        </w:tc>
        <w:tc>
          <w:tcPr>
            <w:tcW w:w="716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64430AF1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>H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R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(95%</w:t>
            </w: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CI)</w:t>
            </w:r>
          </w:p>
        </w:tc>
        <w:tc>
          <w:tcPr>
            <w:tcW w:w="463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603B4660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bidi="ar"/>
              </w:rPr>
            </w:pPr>
            <w:r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bidi="ar"/>
              </w:rPr>
              <w:t>P</w:t>
            </w:r>
            <w:r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value</w:t>
            </w:r>
          </w:p>
        </w:tc>
      </w:tr>
      <w:tr w14:paraId="6D865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8"/>
            <w:tcBorders>
              <w:top w:val="single" w:color="auto" w:sz="8" w:space="0"/>
              <w:tl2br w:val="nil"/>
              <w:tr2bl w:val="nil"/>
            </w:tcBorders>
            <w:noWrap/>
            <w:vAlign w:val="center"/>
          </w:tcPr>
          <w:p w14:paraId="7AFCB69D">
            <w:pPr>
              <w:jc w:val="left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TyG and BMR</w:t>
            </w:r>
          </w:p>
        </w:tc>
      </w:tr>
      <w:tr w14:paraId="650A0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noWrap/>
            <w:vAlign w:val="center"/>
          </w:tcPr>
          <w:p w14:paraId="04206CAD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1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627A1D3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10.34</w:t>
            </w:r>
          </w:p>
        </w:tc>
        <w:tc>
          <w:tcPr>
            <w:tcW w:w="705" w:type="pct"/>
            <w:tcBorders>
              <w:tl2br w:val="nil"/>
              <w:tr2bl w:val="nil"/>
            </w:tcBorders>
            <w:noWrap/>
            <w:vAlign w:val="center"/>
          </w:tcPr>
          <w:p w14:paraId="737F84D3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0A36833B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  <w:tc>
          <w:tcPr>
            <w:tcW w:w="702" w:type="pct"/>
            <w:tcBorders>
              <w:tl2br w:val="nil"/>
              <w:tr2bl w:val="nil"/>
            </w:tcBorders>
            <w:noWrap/>
            <w:vAlign w:val="center"/>
          </w:tcPr>
          <w:p w14:paraId="37367518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26" w:type="pct"/>
            <w:tcBorders>
              <w:tl2br w:val="nil"/>
              <w:tr2bl w:val="nil"/>
            </w:tcBorders>
            <w:noWrap/>
            <w:vAlign w:val="center"/>
          </w:tcPr>
          <w:p w14:paraId="43C2A9A9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1F4637F8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463" w:type="pct"/>
            <w:tcBorders>
              <w:tl2br w:val="nil"/>
              <w:tr2bl w:val="nil"/>
            </w:tcBorders>
            <w:noWrap/>
            <w:vAlign w:val="center"/>
          </w:tcPr>
          <w:p w14:paraId="47E13B69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</w:tr>
      <w:tr w14:paraId="189BB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noWrap/>
            <w:vAlign w:val="center"/>
          </w:tcPr>
          <w:p w14:paraId="4E2D2C87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2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60D4C0CA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10.57</w:t>
            </w:r>
          </w:p>
        </w:tc>
        <w:tc>
          <w:tcPr>
            <w:tcW w:w="7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AF0028C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1.03 (0.83, 1.26)</w:t>
            </w: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022CEBAD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0.804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60362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1.39 (1.12, 1.73)</w:t>
            </w:r>
          </w:p>
        </w:tc>
        <w:tc>
          <w:tcPr>
            <w:tcW w:w="52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68AEF3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0.003</w:t>
            </w:r>
          </w:p>
        </w:tc>
        <w:tc>
          <w:tcPr>
            <w:tcW w:w="7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702F03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1.22 (0.98, 1.52)</w:t>
            </w:r>
          </w:p>
        </w:tc>
        <w:tc>
          <w:tcPr>
            <w:tcW w:w="4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732F1E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0.078</w:t>
            </w:r>
          </w:p>
        </w:tc>
      </w:tr>
      <w:tr w14:paraId="2A90F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noWrap/>
            <w:vAlign w:val="center"/>
          </w:tcPr>
          <w:p w14:paraId="4869921D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3</w:t>
            </w:r>
          </w:p>
        </w:tc>
        <w:tc>
          <w:tcPr>
            <w:tcW w:w="7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D8C3F8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18.06</w:t>
            </w:r>
          </w:p>
        </w:tc>
        <w:tc>
          <w:tcPr>
            <w:tcW w:w="7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BBF854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1.83 (1.52, 2.19)</w:t>
            </w: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7DB9E1B9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9AC9DD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1.76 (1.47, 2.11)</w:t>
            </w:r>
          </w:p>
        </w:tc>
        <w:tc>
          <w:tcPr>
            <w:tcW w:w="52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3297AF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29923C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1.49 (1.22, 1.82)</w:t>
            </w:r>
          </w:p>
        </w:tc>
        <w:tc>
          <w:tcPr>
            <w:tcW w:w="4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859D5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430E4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noWrap/>
            <w:vAlign w:val="center"/>
          </w:tcPr>
          <w:p w14:paraId="60A9530D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4</w:t>
            </w:r>
          </w:p>
        </w:tc>
        <w:tc>
          <w:tcPr>
            <w:tcW w:w="7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9E9A6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21.54</w:t>
            </w:r>
          </w:p>
        </w:tc>
        <w:tc>
          <w:tcPr>
            <w:tcW w:w="7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70749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2.23 (1.89, 2.63)</w:t>
            </w: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3AD8ECD0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8AA310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2.84 (2.39, 3.38)</w:t>
            </w:r>
          </w:p>
        </w:tc>
        <w:tc>
          <w:tcPr>
            <w:tcW w:w="52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50DA3B4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1BCB3F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1.85 (1.51, 2.28)</w:t>
            </w:r>
          </w:p>
        </w:tc>
        <w:tc>
          <w:tcPr>
            <w:tcW w:w="4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77FA9F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3BD96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noWrap/>
            <w:vAlign w:val="center"/>
          </w:tcPr>
          <w:p w14:paraId="3684F411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bidi="ar"/>
              </w:rPr>
            </w:pPr>
            <w:r>
              <w:rPr>
                <w:rFonts w:hint="default" w:ascii="Arial" w:hAnsi="Arial" w:cs="Arial"/>
                <w:i/>
                <w:iCs/>
                <w:color w:val="000000"/>
                <w:kern w:val="0"/>
                <w:sz w:val="13"/>
                <w:szCs w:val="13"/>
                <w:lang w:bidi="ar"/>
              </w:rPr>
              <w:t>P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for trend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51CAD599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705" w:type="pct"/>
            <w:tcBorders>
              <w:tl2br w:val="nil"/>
              <w:tr2bl w:val="nil"/>
            </w:tcBorders>
            <w:noWrap/>
            <w:vAlign w:val="center"/>
          </w:tcPr>
          <w:p w14:paraId="1DF6DA04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44D9EAE8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tcBorders>
              <w:tl2br w:val="nil"/>
              <w:tr2bl w:val="nil"/>
            </w:tcBorders>
            <w:noWrap/>
            <w:vAlign w:val="center"/>
          </w:tcPr>
          <w:p w14:paraId="402F7224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526" w:type="pct"/>
            <w:tcBorders>
              <w:tl2br w:val="nil"/>
              <w:tr2bl w:val="nil"/>
            </w:tcBorders>
            <w:noWrap/>
            <w:vAlign w:val="center"/>
          </w:tcPr>
          <w:p w14:paraId="7F06FA0B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4C88BD52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463" w:type="pct"/>
            <w:tcBorders>
              <w:tl2br w:val="nil"/>
              <w:tr2bl w:val="nil"/>
            </w:tcBorders>
            <w:noWrap/>
            <w:vAlign w:val="center"/>
          </w:tcPr>
          <w:p w14:paraId="418B5E78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68C29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8"/>
            <w:tcBorders>
              <w:tl2br w:val="nil"/>
              <w:tr2bl w:val="nil"/>
            </w:tcBorders>
            <w:noWrap/>
            <w:vAlign w:val="center"/>
          </w:tcPr>
          <w:p w14:paraId="58A57065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eGDR and BMR</w:t>
            </w:r>
          </w:p>
        </w:tc>
      </w:tr>
      <w:tr w14:paraId="77127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noWrap/>
            <w:vAlign w:val="center"/>
          </w:tcPr>
          <w:p w14:paraId="6959065B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1</w:t>
            </w:r>
          </w:p>
        </w:tc>
        <w:tc>
          <w:tcPr>
            <w:tcW w:w="7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732D9A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8.67</w:t>
            </w:r>
          </w:p>
        </w:tc>
        <w:tc>
          <w:tcPr>
            <w:tcW w:w="705" w:type="pct"/>
            <w:tcBorders>
              <w:tl2br w:val="nil"/>
              <w:tr2bl w:val="nil"/>
            </w:tcBorders>
            <w:noWrap/>
            <w:vAlign w:val="center"/>
          </w:tcPr>
          <w:p w14:paraId="72E404EB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7FC4F1FB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  <w:tc>
          <w:tcPr>
            <w:tcW w:w="702" w:type="pct"/>
            <w:tcBorders>
              <w:tl2br w:val="nil"/>
              <w:tr2bl w:val="nil"/>
            </w:tcBorders>
            <w:noWrap/>
            <w:vAlign w:val="center"/>
          </w:tcPr>
          <w:p w14:paraId="632DCF3F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26" w:type="pct"/>
            <w:tcBorders>
              <w:tl2br w:val="nil"/>
              <w:tr2bl w:val="nil"/>
            </w:tcBorders>
            <w:noWrap/>
            <w:vAlign w:val="center"/>
          </w:tcPr>
          <w:p w14:paraId="7646D4BA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13AE07CE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463" w:type="pct"/>
            <w:tcBorders>
              <w:tl2br w:val="nil"/>
              <w:tr2bl w:val="nil"/>
            </w:tcBorders>
            <w:noWrap/>
            <w:vAlign w:val="center"/>
          </w:tcPr>
          <w:p w14:paraId="0BE9006A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</w:tr>
      <w:tr w14:paraId="06308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56" w:type="pct"/>
            <w:noWrap w:val="0"/>
            <w:vAlign w:val="center"/>
          </w:tcPr>
          <w:p w14:paraId="20236FF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2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7F936DC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6.80</w:t>
            </w:r>
          </w:p>
        </w:tc>
        <w:tc>
          <w:tcPr>
            <w:tcW w:w="705" w:type="pct"/>
            <w:shd w:val="clear" w:color="auto" w:fill="auto"/>
            <w:noWrap w:val="0"/>
            <w:vAlign w:val="center"/>
          </w:tcPr>
          <w:p w14:paraId="45055CF8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0.78 (0.60, 1.00)</w:t>
            </w:r>
          </w:p>
        </w:tc>
        <w:tc>
          <w:tcPr>
            <w:tcW w:w="513" w:type="pct"/>
            <w:noWrap w:val="0"/>
            <w:vAlign w:val="center"/>
          </w:tcPr>
          <w:p w14:paraId="7982E86F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0.053</w:t>
            </w:r>
          </w:p>
        </w:tc>
        <w:tc>
          <w:tcPr>
            <w:tcW w:w="702" w:type="pct"/>
            <w:shd w:val="clear" w:color="auto" w:fill="auto"/>
            <w:noWrap w:val="0"/>
            <w:vAlign w:val="center"/>
          </w:tcPr>
          <w:p w14:paraId="6789C3F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1.00 (0.77, 1.30)</w:t>
            </w:r>
          </w:p>
        </w:tc>
        <w:tc>
          <w:tcPr>
            <w:tcW w:w="526" w:type="pct"/>
            <w:noWrap w:val="0"/>
            <w:vAlign w:val="center"/>
          </w:tcPr>
          <w:p w14:paraId="30438C5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0.976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6AC7512B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0.95 (0.73, 1.23)</w:t>
            </w:r>
          </w:p>
        </w:tc>
        <w:tc>
          <w:tcPr>
            <w:tcW w:w="463" w:type="pct"/>
            <w:noWrap w:val="0"/>
            <w:vAlign w:val="center"/>
          </w:tcPr>
          <w:p w14:paraId="5BE53F43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0.685</w:t>
            </w:r>
          </w:p>
        </w:tc>
      </w:tr>
      <w:tr w14:paraId="5A5B6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noWrap w:val="0"/>
            <w:vAlign w:val="center"/>
          </w:tcPr>
          <w:p w14:paraId="028C19B2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3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3118A693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22.56</w:t>
            </w:r>
          </w:p>
        </w:tc>
        <w:tc>
          <w:tcPr>
            <w:tcW w:w="705" w:type="pct"/>
            <w:shd w:val="clear" w:color="auto" w:fill="auto"/>
            <w:noWrap w:val="0"/>
            <w:vAlign w:val="center"/>
          </w:tcPr>
          <w:p w14:paraId="1E4F916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2.84 (2.36, 3.41)</w:t>
            </w:r>
          </w:p>
        </w:tc>
        <w:tc>
          <w:tcPr>
            <w:tcW w:w="513" w:type="pct"/>
            <w:noWrap w:val="0"/>
            <w:vAlign w:val="center"/>
          </w:tcPr>
          <w:p w14:paraId="0593D503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shd w:val="clear" w:color="auto" w:fill="auto"/>
            <w:noWrap w:val="0"/>
            <w:vAlign w:val="center"/>
          </w:tcPr>
          <w:p w14:paraId="5B68734D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2.47 (2.06, 2.98)</w:t>
            </w:r>
          </w:p>
        </w:tc>
        <w:tc>
          <w:tcPr>
            <w:tcW w:w="526" w:type="pct"/>
            <w:noWrap w:val="0"/>
            <w:vAlign w:val="center"/>
          </w:tcPr>
          <w:p w14:paraId="3A6FC07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20E83B3F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1.48 (1.19, 1.85)</w:t>
            </w:r>
          </w:p>
        </w:tc>
        <w:tc>
          <w:tcPr>
            <w:tcW w:w="463" w:type="pct"/>
            <w:shd w:val="clear" w:color="auto" w:fill="auto"/>
            <w:noWrap w:val="0"/>
            <w:vAlign w:val="center"/>
          </w:tcPr>
          <w:p w14:paraId="1A24112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6C2A2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noWrap w:val="0"/>
            <w:vAlign w:val="center"/>
          </w:tcPr>
          <w:p w14:paraId="43C6C65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4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3BF407B9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22.44</w:t>
            </w:r>
          </w:p>
        </w:tc>
        <w:tc>
          <w:tcPr>
            <w:tcW w:w="705" w:type="pct"/>
            <w:shd w:val="clear" w:color="auto" w:fill="auto"/>
            <w:noWrap w:val="0"/>
            <w:vAlign w:val="center"/>
          </w:tcPr>
          <w:p w14:paraId="33DDE49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2.82 (2.39, 3.33)</w:t>
            </w:r>
          </w:p>
        </w:tc>
        <w:tc>
          <w:tcPr>
            <w:tcW w:w="513" w:type="pct"/>
            <w:noWrap w:val="0"/>
            <w:vAlign w:val="center"/>
          </w:tcPr>
          <w:p w14:paraId="379BBCC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shd w:val="clear" w:color="auto" w:fill="auto"/>
            <w:noWrap w:val="0"/>
            <w:vAlign w:val="center"/>
          </w:tcPr>
          <w:p w14:paraId="2F6E905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3.22 (2.71, 3.82)</w:t>
            </w:r>
          </w:p>
        </w:tc>
        <w:tc>
          <w:tcPr>
            <w:tcW w:w="526" w:type="pct"/>
            <w:noWrap w:val="0"/>
            <w:vAlign w:val="center"/>
          </w:tcPr>
          <w:p w14:paraId="07AD743C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6F70F3CB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1.81 (1.48, 2.23)</w:t>
            </w:r>
          </w:p>
        </w:tc>
        <w:tc>
          <w:tcPr>
            <w:tcW w:w="463" w:type="pct"/>
            <w:shd w:val="clear" w:color="auto" w:fill="auto"/>
            <w:noWrap w:val="0"/>
            <w:vAlign w:val="center"/>
          </w:tcPr>
          <w:p w14:paraId="7959EC10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3D872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noWrap/>
            <w:vAlign w:val="center"/>
          </w:tcPr>
          <w:p w14:paraId="04E40F6C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bidi="ar"/>
              </w:rPr>
            </w:pPr>
            <w:r>
              <w:rPr>
                <w:rFonts w:hint="default" w:ascii="Arial" w:hAnsi="Arial" w:cs="Arial"/>
                <w:i/>
                <w:iCs/>
                <w:color w:val="000000"/>
                <w:kern w:val="0"/>
                <w:sz w:val="13"/>
                <w:szCs w:val="13"/>
                <w:lang w:bidi="ar"/>
              </w:rPr>
              <w:t>P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for trend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23F8BC1B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705" w:type="pct"/>
            <w:tcBorders>
              <w:tl2br w:val="nil"/>
              <w:tr2bl w:val="nil"/>
            </w:tcBorders>
            <w:noWrap/>
            <w:vAlign w:val="center"/>
          </w:tcPr>
          <w:p w14:paraId="1B8EDCBB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7E46BF57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tcBorders>
              <w:tl2br w:val="nil"/>
              <w:tr2bl w:val="nil"/>
            </w:tcBorders>
            <w:noWrap/>
            <w:vAlign w:val="center"/>
          </w:tcPr>
          <w:p w14:paraId="7470A9F4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526" w:type="pct"/>
            <w:tcBorders>
              <w:tl2br w:val="nil"/>
              <w:tr2bl w:val="nil"/>
            </w:tcBorders>
            <w:noWrap/>
            <w:vAlign w:val="center"/>
          </w:tcPr>
          <w:p w14:paraId="0FDEF4B5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5B2D9D3F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463" w:type="pct"/>
            <w:tcBorders>
              <w:tl2br w:val="nil"/>
              <w:tr2bl w:val="nil"/>
            </w:tcBorders>
            <w:noWrap/>
            <w:vAlign w:val="center"/>
          </w:tcPr>
          <w:p w14:paraId="6469C869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22A4F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8"/>
            <w:noWrap w:val="0"/>
            <w:vAlign w:val="center"/>
          </w:tcPr>
          <w:p w14:paraId="7A00582B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METS-IR and BMR</w:t>
            </w:r>
          </w:p>
        </w:tc>
      </w:tr>
      <w:tr w14:paraId="2E586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noWrap w:val="0"/>
            <w:vAlign w:val="center"/>
          </w:tcPr>
          <w:p w14:paraId="45F2B3A9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1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7ADF11CF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10.46</w:t>
            </w:r>
          </w:p>
        </w:tc>
        <w:tc>
          <w:tcPr>
            <w:tcW w:w="705" w:type="pct"/>
            <w:noWrap w:val="0"/>
            <w:vAlign w:val="center"/>
          </w:tcPr>
          <w:p w14:paraId="61676C92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13" w:type="pct"/>
            <w:noWrap w:val="0"/>
            <w:vAlign w:val="center"/>
          </w:tcPr>
          <w:p w14:paraId="6689384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  <w:tc>
          <w:tcPr>
            <w:tcW w:w="702" w:type="pct"/>
            <w:noWrap w:val="0"/>
            <w:vAlign w:val="center"/>
          </w:tcPr>
          <w:p w14:paraId="6164051A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26" w:type="pct"/>
            <w:noWrap w:val="0"/>
            <w:vAlign w:val="center"/>
          </w:tcPr>
          <w:p w14:paraId="1C6064B3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  <w:tc>
          <w:tcPr>
            <w:tcW w:w="716" w:type="pct"/>
            <w:noWrap w:val="0"/>
            <w:vAlign w:val="center"/>
          </w:tcPr>
          <w:p w14:paraId="10E4E74D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463" w:type="pct"/>
            <w:noWrap w:val="0"/>
            <w:vAlign w:val="center"/>
          </w:tcPr>
          <w:p w14:paraId="55B1027B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</w:tr>
      <w:tr w14:paraId="7A0EE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noWrap w:val="0"/>
            <w:vAlign w:val="center"/>
          </w:tcPr>
          <w:p w14:paraId="20149CCF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2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152F4F82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7.30</w:t>
            </w:r>
          </w:p>
        </w:tc>
        <w:tc>
          <w:tcPr>
            <w:tcW w:w="705" w:type="pct"/>
            <w:shd w:val="clear" w:color="auto" w:fill="auto"/>
            <w:noWrap w:val="0"/>
            <w:vAlign w:val="center"/>
          </w:tcPr>
          <w:p w14:paraId="7933DEC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0.69 (0.53, 0.89)</w:t>
            </w:r>
          </w:p>
        </w:tc>
        <w:tc>
          <w:tcPr>
            <w:tcW w:w="513" w:type="pct"/>
            <w:noWrap w:val="0"/>
            <w:vAlign w:val="center"/>
          </w:tcPr>
          <w:p w14:paraId="2FBEE79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0.005</w:t>
            </w:r>
          </w:p>
        </w:tc>
        <w:tc>
          <w:tcPr>
            <w:tcW w:w="702" w:type="pct"/>
            <w:shd w:val="clear" w:color="auto" w:fill="auto"/>
            <w:noWrap w:val="0"/>
            <w:vAlign w:val="center"/>
          </w:tcPr>
          <w:p w14:paraId="33A29D4F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0.96 (0.73, 1.26)</w:t>
            </w:r>
          </w:p>
        </w:tc>
        <w:tc>
          <w:tcPr>
            <w:tcW w:w="526" w:type="pct"/>
            <w:shd w:val="clear" w:color="auto" w:fill="auto"/>
            <w:noWrap w:val="0"/>
            <w:vAlign w:val="center"/>
          </w:tcPr>
          <w:p w14:paraId="40EEDF0C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0.783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7C76AA5D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1.01 (0.77, 1.32)</w:t>
            </w:r>
          </w:p>
        </w:tc>
        <w:tc>
          <w:tcPr>
            <w:tcW w:w="463" w:type="pct"/>
            <w:noWrap w:val="0"/>
            <w:vAlign w:val="center"/>
          </w:tcPr>
          <w:p w14:paraId="00BF5831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0.942</w:t>
            </w:r>
          </w:p>
        </w:tc>
      </w:tr>
      <w:tr w14:paraId="443D6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noWrap w:val="0"/>
            <w:vAlign w:val="center"/>
          </w:tcPr>
          <w:p w14:paraId="3BBA40C9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3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22F87F3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21.91</w:t>
            </w:r>
          </w:p>
        </w:tc>
        <w:tc>
          <w:tcPr>
            <w:tcW w:w="705" w:type="pct"/>
            <w:shd w:val="clear" w:color="auto" w:fill="auto"/>
            <w:noWrap w:val="0"/>
            <w:vAlign w:val="center"/>
          </w:tcPr>
          <w:p w14:paraId="2896593D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2.24 (1.87, 2.69)</w:t>
            </w:r>
          </w:p>
        </w:tc>
        <w:tc>
          <w:tcPr>
            <w:tcW w:w="513" w:type="pct"/>
            <w:noWrap w:val="0"/>
            <w:vAlign w:val="center"/>
          </w:tcPr>
          <w:p w14:paraId="69F18728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shd w:val="clear" w:color="auto" w:fill="auto"/>
            <w:noWrap w:val="0"/>
            <w:vAlign w:val="center"/>
          </w:tcPr>
          <w:p w14:paraId="5A618CC9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2.12 (1.77, 2.55)</w:t>
            </w:r>
          </w:p>
        </w:tc>
        <w:tc>
          <w:tcPr>
            <w:tcW w:w="526" w:type="pct"/>
            <w:shd w:val="clear" w:color="auto" w:fill="auto"/>
            <w:noWrap w:val="0"/>
            <w:vAlign w:val="center"/>
          </w:tcPr>
          <w:p w14:paraId="3A29F1E3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1B428D8B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1.79 (1.46, 2.19)</w:t>
            </w:r>
          </w:p>
        </w:tc>
        <w:tc>
          <w:tcPr>
            <w:tcW w:w="463" w:type="pct"/>
            <w:noWrap w:val="0"/>
            <w:vAlign w:val="center"/>
          </w:tcPr>
          <w:p w14:paraId="0DF63FED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0B290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noWrap w:val="0"/>
            <w:vAlign w:val="center"/>
          </w:tcPr>
          <w:p w14:paraId="7BC11F30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4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675939AF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20.52</w:t>
            </w:r>
          </w:p>
        </w:tc>
        <w:tc>
          <w:tcPr>
            <w:tcW w:w="705" w:type="pct"/>
            <w:shd w:val="clear" w:color="auto" w:fill="auto"/>
            <w:noWrap w:val="0"/>
            <w:vAlign w:val="center"/>
          </w:tcPr>
          <w:p w14:paraId="54AF9B9B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2.09 (1.80, 2.42)</w:t>
            </w:r>
          </w:p>
        </w:tc>
        <w:tc>
          <w:tcPr>
            <w:tcW w:w="513" w:type="pct"/>
            <w:noWrap w:val="0"/>
            <w:vAlign w:val="center"/>
          </w:tcPr>
          <w:p w14:paraId="70F6B99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shd w:val="clear" w:color="auto" w:fill="auto"/>
            <w:noWrap w:val="0"/>
            <w:vAlign w:val="center"/>
          </w:tcPr>
          <w:p w14:paraId="1E42C21D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2.63 (2.25, 3.08)</w:t>
            </w:r>
          </w:p>
        </w:tc>
        <w:tc>
          <w:tcPr>
            <w:tcW w:w="526" w:type="pct"/>
            <w:shd w:val="clear" w:color="auto" w:fill="auto"/>
            <w:noWrap w:val="0"/>
            <w:vAlign w:val="center"/>
          </w:tcPr>
          <w:p w14:paraId="7086CFBE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23AB5ECA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1.85 (1.54, 2.22)</w:t>
            </w:r>
          </w:p>
        </w:tc>
        <w:tc>
          <w:tcPr>
            <w:tcW w:w="463" w:type="pct"/>
            <w:noWrap w:val="0"/>
            <w:vAlign w:val="center"/>
          </w:tcPr>
          <w:p w14:paraId="63B6F3CF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2694B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bottom w:val="single" w:color="auto" w:sz="12" w:space="0"/>
            </w:tcBorders>
            <w:noWrap/>
            <w:vAlign w:val="center"/>
          </w:tcPr>
          <w:p w14:paraId="4A7F3848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bidi="ar"/>
              </w:rPr>
            </w:pPr>
            <w:r>
              <w:rPr>
                <w:rFonts w:hint="default" w:ascii="Arial" w:hAnsi="Arial" w:cs="Arial"/>
                <w:i/>
                <w:iCs/>
                <w:color w:val="000000"/>
                <w:kern w:val="0"/>
                <w:sz w:val="13"/>
                <w:szCs w:val="13"/>
                <w:lang w:bidi="ar"/>
              </w:rPr>
              <w:t>P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for trend</w:t>
            </w:r>
          </w:p>
        </w:tc>
        <w:tc>
          <w:tcPr>
            <w:tcW w:w="716" w:type="pct"/>
            <w:tcBorders>
              <w:bottom w:val="single" w:color="auto" w:sz="12" w:space="0"/>
            </w:tcBorders>
            <w:noWrap/>
            <w:vAlign w:val="center"/>
          </w:tcPr>
          <w:p w14:paraId="76C8B6CD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705" w:type="pct"/>
            <w:tcBorders>
              <w:bottom w:val="single" w:color="auto" w:sz="12" w:space="0"/>
            </w:tcBorders>
            <w:noWrap/>
            <w:vAlign w:val="center"/>
          </w:tcPr>
          <w:p w14:paraId="7D72FC49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513" w:type="pct"/>
            <w:tcBorders>
              <w:bottom w:val="single" w:color="auto" w:sz="12" w:space="0"/>
            </w:tcBorders>
            <w:noWrap/>
            <w:vAlign w:val="center"/>
          </w:tcPr>
          <w:p w14:paraId="13B61984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tcBorders>
              <w:bottom w:val="single" w:color="auto" w:sz="12" w:space="0"/>
            </w:tcBorders>
            <w:noWrap/>
            <w:vAlign w:val="center"/>
          </w:tcPr>
          <w:p w14:paraId="34651262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526" w:type="pct"/>
            <w:tcBorders>
              <w:bottom w:val="single" w:color="auto" w:sz="12" w:space="0"/>
            </w:tcBorders>
            <w:noWrap/>
            <w:vAlign w:val="center"/>
          </w:tcPr>
          <w:p w14:paraId="4BFAB311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73378EBD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463" w:type="pct"/>
            <w:tcBorders>
              <w:bottom w:val="single" w:color="auto" w:sz="12" w:space="0"/>
            </w:tcBorders>
            <w:noWrap/>
            <w:vAlign w:val="center"/>
          </w:tcPr>
          <w:p w14:paraId="226B9E68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</w:tbl>
    <w:p w14:paraId="6C4208B4">
      <w:pP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Model I: non-adjusted</w:t>
      </w:r>
    </w:p>
    <w:p w14:paraId="4FA05483">
      <w:pP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Model II: adjusted for age, gender, smoking status, drinking status, education level, marital status, residence</w:t>
      </w:r>
    </w:p>
    <w:p w14:paraId="73C07473">
      <w:pP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Model III: further adjusted for SBP, DBP,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TC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,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HDL-C, LDL-C, hs-CRP,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chronic diseases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 (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hypertension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,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dyslipidemia, depression,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and cancer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), and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medication use (antihyp</w:t>
      </w:r>
      <w:r>
        <w:rPr>
          <w:rFonts w:hint="default" w:ascii="Arial" w:hAnsi="Arial" w:eastAsia="Segoe UI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er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tensive, antidiabetic, antidyslipidemic,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and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cardiovascular medications)</w:t>
      </w:r>
    </w:p>
    <w:p w14:paraId="3088F643">
      <w:pP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Group 1 refers to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low 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and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low BMR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; Group 2 refers to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low 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and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high BMR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; Group 3 refers to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high 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and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low BMR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; Group 4 refers to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 high 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and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high BMR.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insulin resistance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,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BMR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 basal metabolic rate,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TyG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triglyceride-glucose,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eGDR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e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stimate glucose disposal rate,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METS-IR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metabolic score for insulin resistance, </w:t>
      </w:r>
      <w:r>
        <w:rPr>
          <w:rFonts w:hint="default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HR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hazard ratio, </w:t>
      </w:r>
      <w:r>
        <w:rPr>
          <w:rFonts w:hint="default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CI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confidence interval</w:t>
      </w:r>
    </w:p>
    <w:p w14:paraId="11EEBA27">
      <w:pP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宋体" w:cs="Arial"/>
          <w:b/>
          <w:bCs/>
          <w:i w:val="0"/>
          <w:iCs w:val="0"/>
          <w:color w:val="000000" w:themeColor="text1"/>
          <w:spacing w:val="0"/>
          <w:sz w:val="12"/>
          <w:szCs w:val="12"/>
          <w:shd w:val="clear" w:fill="FDFDFE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a</w:t>
      </w:r>
      <w: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:lang w:val="en-US" w:eastAsia="zh-CN"/>
          <w14:textFill>
            <w14:solidFill>
              <w14:schemeClr w14:val="tx1"/>
            </w14:solidFill>
          </w14:textFill>
        </w:rPr>
        <w:t>Incident rate was presented as per 1000 person-years of follow-up</w:t>
      </w:r>
    </w:p>
    <w:p w14:paraId="4B340F71"/>
    <w:p w14:paraId="53B292F3"/>
    <w:p w14:paraId="20D2F8E4">
      <w:pPr>
        <w:rPr>
          <w:rFonts w:hint="default" w:ascii="Arial" w:hAnsi="Arial" w:eastAsia="Segoe UI" w:cs="Arial"/>
          <w:i w:val="0"/>
          <w:iCs w:val="0"/>
          <w:caps w:val="0"/>
          <w:spacing w:val="0"/>
          <w:sz w:val="14"/>
          <w:szCs w:val="14"/>
          <w:shd w:val="clear" w:fill="FFFFFF"/>
        </w:rPr>
      </w:pPr>
      <w:r>
        <w:rPr>
          <w:rFonts w:hint="default" w:ascii="Arial" w:hAnsi="Arial" w:cs="Arial"/>
          <w:b/>
          <w:bCs/>
          <w:i w:val="0"/>
          <w:iCs w:val="0"/>
          <w:color w:val="000000"/>
          <w:sz w:val="16"/>
          <w:szCs w:val="16"/>
          <w:u w:val="none"/>
          <w:lang w:val="en-US" w:eastAsia="zh-CN"/>
        </w:rPr>
        <w:t xml:space="preserve">Table </w:t>
      </w:r>
      <w:r>
        <w:rPr>
          <w:rFonts w:hint="eastAsia" w:ascii="Arial" w:hAnsi="Arial" w:cs="Arial"/>
          <w:b/>
          <w:bCs/>
          <w:i w:val="0"/>
          <w:iCs w:val="0"/>
          <w:color w:val="000000"/>
          <w:sz w:val="16"/>
          <w:szCs w:val="16"/>
          <w:u w:val="none"/>
          <w:lang w:val="en-US" w:eastAsia="zh-CN"/>
        </w:rPr>
        <w:t xml:space="preserve">S16  </w:t>
      </w:r>
      <w:r>
        <w:rPr>
          <w:rFonts w:hint="eastAsia" w:ascii="Arial" w:hAnsi="Arial" w:eastAsia="Segoe UI" w:cs="Arial"/>
          <w:i w:val="0"/>
          <w:iCs w:val="0"/>
          <w:caps w:val="0"/>
          <w:spacing w:val="0"/>
          <w:sz w:val="14"/>
          <w:szCs w:val="14"/>
          <w:shd w:val="clear" w:fill="FFFFFF"/>
        </w:rPr>
        <w:t xml:space="preserve">Sensitivity analyses of the joint effects of insulin resistance </w:t>
      </w:r>
      <w:r>
        <w:rPr>
          <w:rFonts w:hint="default" w:ascii="Arial" w:hAnsi="Arial" w:eastAsia="Segoe UI" w:cs="Arial"/>
          <w:b w:val="0"/>
          <w:bCs w:val="0"/>
          <w:i w:val="0"/>
          <w:iCs w:val="0"/>
          <w:caps w:val="0"/>
          <w:color w:val="0F1115"/>
          <w:spacing w:val="0"/>
          <w:sz w:val="14"/>
          <w:szCs w:val="14"/>
          <w:shd w:val="clear" w:fill="FFFFFF"/>
        </w:rPr>
        <w:t>surrogate</w:t>
      </w:r>
      <w:r>
        <w:rPr>
          <w:rFonts w:hint="eastAsia" w:ascii="Arial" w:hAnsi="Arial" w:cs="Arial"/>
          <w:b w:val="0"/>
          <w:bCs w:val="0"/>
          <w:i w:val="0"/>
          <w:iCs w:val="0"/>
          <w:caps w:val="0"/>
          <w:color w:val="0F1115"/>
          <w:spacing w:val="0"/>
          <w:sz w:val="14"/>
          <w:szCs w:val="14"/>
          <w:shd w:val="clear" w:fill="FFFFFF"/>
          <w:lang w:val="en-US" w:eastAsia="zh-CN"/>
        </w:rPr>
        <w:t xml:space="preserve"> </w:t>
      </w:r>
      <w:r>
        <w:rPr>
          <w:rFonts w:hint="eastAsia" w:ascii="Arial" w:hAnsi="Arial" w:eastAsia="Segoe UI" w:cs="Arial"/>
          <w:i w:val="0"/>
          <w:iCs w:val="0"/>
          <w:caps w:val="0"/>
          <w:spacing w:val="0"/>
          <w:sz w:val="14"/>
          <w:szCs w:val="14"/>
          <w:shd w:val="clear" w:fill="FFFFFF"/>
        </w:rPr>
        <w:t xml:space="preserve">indices and basal metabolic rate on the risks of developing </w:t>
      </w:r>
      <w:r>
        <w:rPr>
          <w:rFonts w:hint="eastAsia" w:ascii="Arial" w:hAnsi="Arial" w:cs="Arial"/>
          <w:i w:val="0"/>
          <w:iCs w:val="0"/>
          <w:caps w:val="0"/>
          <w:spacing w:val="0"/>
          <w:sz w:val="14"/>
          <w:szCs w:val="14"/>
          <w:shd w:val="clear" w:fill="FFFFFF"/>
          <w:lang w:val="en-US" w:eastAsia="zh-CN"/>
        </w:rPr>
        <w:t>CMM</w:t>
      </w:r>
      <w:r>
        <w:rPr>
          <w:rFonts w:hint="eastAsia" w:ascii="Arial" w:hAnsi="Arial" w:eastAsia="Segoe UI" w:cs="Arial"/>
          <w:i w:val="0"/>
          <w:iCs w:val="0"/>
          <w:caps w:val="0"/>
          <w:spacing w:val="0"/>
          <w:sz w:val="14"/>
          <w:szCs w:val="14"/>
          <w:shd w:val="clear" w:fill="FFFFFF"/>
        </w:rPr>
        <w:t xml:space="preserve"> in participants who were free of the outcome within the first 2 years</w:t>
      </w:r>
      <w:r>
        <w:rPr>
          <w:rFonts w:hint="eastAsia" w:ascii="Arial" w:hAnsi="Arial" w:cs="Arial"/>
          <w:i w:val="0"/>
          <w:iCs w:val="0"/>
          <w:caps w:val="0"/>
          <w:spacing w:val="0"/>
          <w:sz w:val="14"/>
          <w:szCs w:val="14"/>
          <w:shd w:val="clear" w:fill="FFFFFF"/>
          <w:lang w:val="en-US" w:eastAsia="zh-CN"/>
        </w:rPr>
        <w:t xml:space="preserve"> </w:t>
      </w:r>
      <w:r>
        <w:rPr>
          <w:rFonts w:hint="eastAsia" w:ascii="Arial" w:hAnsi="Arial" w:cs="Arial"/>
          <w:i w:val="0"/>
          <w:iCs w:val="0"/>
          <w:caps w:val="0"/>
          <w:color w:val="000000"/>
          <w:spacing w:val="0"/>
          <w:sz w:val="14"/>
          <w:szCs w:val="14"/>
          <w:shd w:val="clear" w:color="auto" w:fill="FDFDFE"/>
          <w:lang w:val="en-US" w:eastAsia="zh-CN"/>
        </w:rPr>
        <w:t>(</w:t>
      </w:r>
      <w:r>
        <w:rPr>
          <w:rFonts w:hint="eastAsia" w:ascii="Arial" w:hAnsi="Arial" w:eastAsia="宋体" w:cs="Arial"/>
          <w:i/>
          <w:iCs/>
          <w:color w:val="000000"/>
          <w:sz w:val="13"/>
          <w:szCs w:val="13"/>
          <w:lang w:val="en-US" w:eastAsia="zh-CN"/>
        </w:rPr>
        <w:t>N</w:t>
      </w:r>
      <w:r>
        <w:rPr>
          <w:rFonts w:hint="eastAsia" w:ascii="Arial" w:hAnsi="Arial" w:eastAsia="宋体" w:cs="Arial"/>
          <w:color w:val="000000"/>
          <w:sz w:val="13"/>
          <w:szCs w:val="13"/>
          <w:lang w:val="en-US" w:eastAsia="zh-CN"/>
        </w:rPr>
        <w:t>=</w:t>
      </w:r>
      <w:r>
        <w:rPr>
          <w:rFonts w:hint="eastAsia" w:ascii="Arial" w:hAnsi="Arial" w:cs="Arial"/>
          <w:color w:val="000000"/>
          <w:sz w:val="13"/>
          <w:szCs w:val="13"/>
          <w:lang w:val="en-US" w:eastAsia="zh-CN"/>
        </w:rPr>
        <w:t>6,870</w:t>
      </w:r>
      <w:r>
        <w:rPr>
          <w:rFonts w:hint="default" w:ascii="Arial" w:hAnsi="Arial" w:cs="Arial"/>
          <w:b w:val="0"/>
          <w:bCs w:val="0"/>
          <w:i w:val="0"/>
          <w:iCs w:val="0"/>
          <w:color w:val="000000"/>
          <w:sz w:val="14"/>
          <w:szCs w:val="14"/>
          <w:u w:val="none"/>
          <w:lang w:val="en-US" w:eastAsia="zh-CN"/>
        </w:rPr>
        <w:t>)</w:t>
      </w:r>
      <w:r>
        <w:rPr>
          <w:rFonts w:hint="eastAsia" w:ascii="Arial" w:hAnsi="Arial" w:eastAsia="Segoe UI" w:cs="Arial"/>
          <w:i w:val="0"/>
          <w:iCs w:val="0"/>
          <w:caps w:val="0"/>
          <w:spacing w:val="0"/>
          <w:sz w:val="14"/>
          <w:szCs w:val="14"/>
          <w:shd w:val="clear" w:fill="FFFFFF"/>
        </w:rPr>
        <w:t>.</w:t>
      </w:r>
    </w:p>
    <w:tbl>
      <w:tblPr>
        <w:tblStyle w:val="2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9"/>
        <w:gridCol w:w="1220"/>
        <w:gridCol w:w="1201"/>
        <w:gridCol w:w="874"/>
        <w:gridCol w:w="1196"/>
        <w:gridCol w:w="896"/>
        <w:gridCol w:w="1221"/>
        <w:gridCol w:w="790"/>
      </w:tblGrid>
      <w:tr w14:paraId="4C88F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56" w:type="pct"/>
            <w:vMerge w:val="restart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241C98EB">
            <w:pPr>
              <w:jc w:val="left"/>
              <w:rPr>
                <w:rFonts w:hint="default"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2"/>
                <w:szCs w:val="12"/>
                <w:shd w:val="clear" w:color="auto" w:fill="FDFDFE"/>
                <w:lang w:val="en-US" w:eastAsia="zh-CN"/>
              </w:rPr>
              <w:t>S</w:t>
            </w:r>
            <w:r>
              <w:rPr>
                <w:rFonts w:hint="default" w:ascii="Arial" w:hAnsi="Arial" w:eastAsia="Segoe UI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2"/>
                <w:szCs w:val="12"/>
                <w:shd w:val="clear" w:color="auto" w:fill="FDFDFE"/>
              </w:rPr>
              <w:t>ubgroup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2"/>
                <w:szCs w:val="12"/>
                <w:shd w:val="clear" w:color="auto" w:fill="FDFDFE"/>
                <w:lang w:val="en-US" w:eastAsia="zh-CN"/>
              </w:rPr>
              <w:t>s</w:t>
            </w:r>
          </w:p>
        </w:tc>
        <w:tc>
          <w:tcPr>
            <w:tcW w:w="716" w:type="pct"/>
            <w:vMerge w:val="restart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1FCB4A97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Incidence rate</w:t>
            </w:r>
            <w:r>
              <w:rPr>
                <w:rFonts w:hint="eastAsia" w:ascii="Arial" w:hAnsi="Arial" w:cs="Arial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1218" w:type="pct"/>
            <w:gridSpan w:val="2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73770FBE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color w:val="000000"/>
                <w:sz w:val="12"/>
                <w:szCs w:val="12"/>
                <w:lang w:eastAsia="zh-CN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 xml:space="preserve">Model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>I</w:t>
            </w:r>
          </w:p>
        </w:tc>
        <w:tc>
          <w:tcPr>
            <w:tcW w:w="1228" w:type="pct"/>
            <w:gridSpan w:val="2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039A91A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color w:val="000000"/>
                <w:sz w:val="12"/>
                <w:szCs w:val="12"/>
                <w:lang w:val="en-US" w:eastAsia="zh-CN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 xml:space="preserve">Model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>II</w:t>
            </w:r>
          </w:p>
        </w:tc>
        <w:tc>
          <w:tcPr>
            <w:tcW w:w="1180" w:type="pct"/>
            <w:gridSpan w:val="2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6FD16D64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color w:val="000000"/>
                <w:sz w:val="12"/>
                <w:szCs w:val="12"/>
                <w:lang w:val="en-US" w:eastAsia="zh-CN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 xml:space="preserve">Model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>III</w:t>
            </w:r>
          </w:p>
        </w:tc>
      </w:tr>
      <w:tr w14:paraId="5C535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56" w:type="pct"/>
            <w:vMerge w:val="continue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57445D4C">
            <w:pPr>
              <w:jc w:val="left"/>
              <w:rPr>
                <w:rFonts w:hint="default" w:ascii="Arial" w:hAnsi="Arial"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716" w:type="pct"/>
            <w:vMerge w:val="continue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54255D1B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</w:pPr>
          </w:p>
        </w:tc>
        <w:tc>
          <w:tcPr>
            <w:tcW w:w="705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0585FE74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>H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R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(95%</w:t>
            </w: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CI)</w:t>
            </w:r>
          </w:p>
        </w:tc>
        <w:tc>
          <w:tcPr>
            <w:tcW w:w="513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395F763B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bidi="ar"/>
              </w:rPr>
            </w:pPr>
            <w:r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bidi="ar"/>
              </w:rPr>
              <w:t xml:space="preserve">P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value</w:t>
            </w:r>
          </w:p>
        </w:tc>
        <w:tc>
          <w:tcPr>
            <w:tcW w:w="702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066C9603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>H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R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(95%</w:t>
            </w: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CI)</w:t>
            </w:r>
          </w:p>
        </w:tc>
        <w:tc>
          <w:tcPr>
            <w:tcW w:w="526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107BD6AC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bidi="ar"/>
              </w:rPr>
            </w:pPr>
            <w:r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bidi="ar"/>
              </w:rPr>
              <w:t xml:space="preserve">P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value</w:t>
            </w:r>
          </w:p>
        </w:tc>
        <w:tc>
          <w:tcPr>
            <w:tcW w:w="716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7252BA32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>H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R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(95%</w:t>
            </w: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CI)</w:t>
            </w:r>
          </w:p>
        </w:tc>
        <w:tc>
          <w:tcPr>
            <w:tcW w:w="463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7567D04A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bidi="ar"/>
              </w:rPr>
            </w:pPr>
            <w:r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bidi="ar"/>
              </w:rPr>
              <w:t>P</w:t>
            </w:r>
            <w:r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value</w:t>
            </w:r>
          </w:p>
        </w:tc>
      </w:tr>
      <w:tr w14:paraId="320B6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8"/>
            <w:tcBorders>
              <w:top w:val="single" w:color="auto" w:sz="8" w:space="0"/>
              <w:tl2br w:val="nil"/>
              <w:tr2bl w:val="nil"/>
            </w:tcBorders>
            <w:noWrap/>
            <w:vAlign w:val="center"/>
          </w:tcPr>
          <w:p w14:paraId="1E514437">
            <w:pPr>
              <w:jc w:val="left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TyG and BMR</w:t>
            </w:r>
          </w:p>
        </w:tc>
      </w:tr>
      <w:tr w14:paraId="0F63F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noWrap/>
            <w:vAlign w:val="center"/>
          </w:tcPr>
          <w:p w14:paraId="038AD2B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1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589ADD43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7.94</w:t>
            </w:r>
          </w:p>
        </w:tc>
        <w:tc>
          <w:tcPr>
            <w:tcW w:w="705" w:type="pct"/>
            <w:tcBorders>
              <w:tl2br w:val="nil"/>
              <w:tr2bl w:val="nil"/>
            </w:tcBorders>
            <w:noWrap/>
            <w:vAlign w:val="center"/>
          </w:tcPr>
          <w:p w14:paraId="6923BC82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1F5DF5C2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  <w:tc>
          <w:tcPr>
            <w:tcW w:w="702" w:type="pct"/>
            <w:tcBorders>
              <w:tl2br w:val="nil"/>
              <w:tr2bl w:val="nil"/>
            </w:tcBorders>
            <w:noWrap/>
            <w:vAlign w:val="center"/>
          </w:tcPr>
          <w:p w14:paraId="173C5DE8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26" w:type="pct"/>
            <w:tcBorders>
              <w:tl2br w:val="nil"/>
              <w:tr2bl w:val="nil"/>
            </w:tcBorders>
            <w:noWrap/>
            <w:vAlign w:val="center"/>
          </w:tcPr>
          <w:p w14:paraId="79BBB548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4F5CBBCD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463" w:type="pct"/>
            <w:tcBorders>
              <w:tl2br w:val="nil"/>
              <w:tr2bl w:val="nil"/>
            </w:tcBorders>
            <w:noWrap/>
            <w:vAlign w:val="center"/>
          </w:tcPr>
          <w:p w14:paraId="2E9F1605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</w:tr>
      <w:tr w14:paraId="50A99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noWrap/>
            <w:vAlign w:val="center"/>
          </w:tcPr>
          <w:p w14:paraId="3DCD1035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2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0EAD4448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11.96</w:t>
            </w:r>
          </w:p>
        </w:tc>
        <w:tc>
          <w:tcPr>
            <w:tcW w:w="7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1C33B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1.54 (1.24, 1.91)</w:t>
            </w: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35F790A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B3DBE0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1.78 (1.43, 2.22)</w:t>
            </w:r>
          </w:p>
        </w:tc>
        <w:tc>
          <w:tcPr>
            <w:tcW w:w="52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96793E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CC3FC8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1.48 (1.18, 1.85)</w:t>
            </w:r>
          </w:p>
        </w:tc>
        <w:tc>
          <w:tcPr>
            <w:tcW w:w="4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C91EDE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0.001</w:t>
            </w:r>
          </w:p>
        </w:tc>
      </w:tr>
      <w:tr w14:paraId="4CC3C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noWrap/>
            <w:vAlign w:val="center"/>
          </w:tcPr>
          <w:p w14:paraId="578D750B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3</w:t>
            </w:r>
          </w:p>
        </w:tc>
        <w:tc>
          <w:tcPr>
            <w:tcW w:w="7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FB0CCE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14.90</w:t>
            </w:r>
          </w:p>
        </w:tc>
        <w:tc>
          <w:tcPr>
            <w:tcW w:w="7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511EAA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1.95 (1.59,2.39)</w:t>
            </w: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28DC5B1C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6815AA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1.90 (1.54, 2.33)</w:t>
            </w:r>
          </w:p>
        </w:tc>
        <w:tc>
          <w:tcPr>
            <w:tcW w:w="52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AAAF7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D00C64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1.60 (1.28, 2.00)</w:t>
            </w:r>
          </w:p>
        </w:tc>
        <w:tc>
          <w:tcPr>
            <w:tcW w:w="4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6195F94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4D894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noWrap/>
            <w:vAlign w:val="center"/>
          </w:tcPr>
          <w:p w14:paraId="0225D380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4</w:t>
            </w:r>
          </w:p>
        </w:tc>
        <w:tc>
          <w:tcPr>
            <w:tcW w:w="7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D76D0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20.75</w:t>
            </w:r>
          </w:p>
        </w:tc>
        <w:tc>
          <w:tcPr>
            <w:tcW w:w="7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7261BA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2.81 (2.35, 3.37)</w:t>
            </w: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3DAB362C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26403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3.14 (2.61, 3.78)</w:t>
            </w:r>
          </w:p>
        </w:tc>
        <w:tc>
          <w:tcPr>
            <w:tcW w:w="52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62F7F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7C619A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2.09 (1.68, 2.61)</w:t>
            </w:r>
          </w:p>
        </w:tc>
        <w:tc>
          <w:tcPr>
            <w:tcW w:w="4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FFDDD0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344F0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noWrap/>
            <w:vAlign w:val="center"/>
          </w:tcPr>
          <w:p w14:paraId="79247507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bidi="ar"/>
              </w:rPr>
            </w:pPr>
            <w:r>
              <w:rPr>
                <w:rFonts w:hint="default" w:ascii="Arial" w:hAnsi="Arial" w:cs="Arial"/>
                <w:i/>
                <w:iCs/>
                <w:color w:val="000000"/>
                <w:kern w:val="0"/>
                <w:sz w:val="13"/>
                <w:szCs w:val="13"/>
                <w:lang w:bidi="ar"/>
              </w:rPr>
              <w:t>P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for trend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01CE2ED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705" w:type="pct"/>
            <w:tcBorders>
              <w:tl2br w:val="nil"/>
              <w:tr2bl w:val="nil"/>
            </w:tcBorders>
            <w:noWrap/>
            <w:vAlign w:val="center"/>
          </w:tcPr>
          <w:p w14:paraId="178A759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1FF9D31E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tcBorders>
              <w:tl2br w:val="nil"/>
              <w:tr2bl w:val="nil"/>
            </w:tcBorders>
            <w:noWrap/>
            <w:vAlign w:val="center"/>
          </w:tcPr>
          <w:p w14:paraId="1AB43F82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526" w:type="pct"/>
            <w:tcBorders>
              <w:tl2br w:val="nil"/>
              <w:tr2bl w:val="nil"/>
            </w:tcBorders>
            <w:noWrap/>
            <w:vAlign w:val="center"/>
          </w:tcPr>
          <w:p w14:paraId="282B7AB7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0E6D22D9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463" w:type="pct"/>
            <w:tcBorders>
              <w:tl2br w:val="nil"/>
              <w:tr2bl w:val="nil"/>
            </w:tcBorders>
            <w:noWrap/>
            <w:vAlign w:val="center"/>
          </w:tcPr>
          <w:p w14:paraId="1D4D8477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78AB4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8"/>
            <w:tcBorders>
              <w:tl2br w:val="nil"/>
              <w:tr2bl w:val="nil"/>
            </w:tcBorders>
            <w:noWrap/>
            <w:vAlign w:val="center"/>
          </w:tcPr>
          <w:p w14:paraId="6BCC248C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eGDR and BMR</w:t>
            </w:r>
          </w:p>
        </w:tc>
      </w:tr>
      <w:tr w14:paraId="3AD06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noWrap/>
            <w:vAlign w:val="center"/>
          </w:tcPr>
          <w:p w14:paraId="46C64434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1</w:t>
            </w:r>
          </w:p>
        </w:tc>
        <w:tc>
          <w:tcPr>
            <w:tcW w:w="7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3B8019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7.36</w:t>
            </w:r>
          </w:p>
        </w:tc>
        <w:tc>
          <w:tcPr>
            <w:tcW w:w="705" w:type="pct"/>
            <w:tcBorders>
              <w:tl2br w:val="nil"/>
              <w:tr2bl w:val="nil"/>
            </w:tcBorders>
            <w:noWrap/>
            <w:vAlign w:val="center"/>
          </w:tcPr>
          <w:p w14:paraId="49E3EC1A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3E61FE6D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  <w:tc>
          <w:tcPr>
            <w:tcW w:w="702" w:type="pct"/>
            <w:tcBorders>
              <w:tl2br w:val="nil"/>
              <w:tr2bl w:val="nil"/>
            </w:tcBorders>
            <w:noWrap/>
            <w:vAlign w:val="center"/>
          </w:tcPr>
          <w:p w14:paraId="06C685C9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26" w:type="pct"/>
            <w:tcBorders>
              <w:tl2br w:val="nil"/>
              <w:tr2bl w:val="nil"/>
            </w:tcBorders>
            <w:noWrap/>
            <w:vAlign w:val="center"/>
          </w:tcPr>
          <w:p w14:paraId="19FF3B5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71C9D61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463" w:type="pct"/>
            <w:tcBorders>
              <w:tl2br w:val="nil"/>
              <w:tr2bl w:val="nil"/>
            </w:tcBorders>
            <w:noWrap/>
            <w:vAlign w:val="center"/>
          </w:tcPr>
          <w:p w14:paraId="043DCAD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</w:tr>
      <w:tr w14:paraId="008C4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56" w:type="pct"/>
            <w:noWrap w:val="0"/>
            <w:vAlign w:val="center"/>
          </w:tcPr>
          <w:p w14:paraId="4AF7F6BA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2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384BD8A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7.65</w:t>
            </w:r>
          </w:p>
        </w:tc>
        <w:tc>
          <w:tcPr>
            <w:tcW w:w="705" w:type="pct"/>
            <w:shd w:val="clear" w:color="auto" w:fill="auto"/>
            <w:noWrap w:val="0"/>
            <w:vAlign w:val="center"/>
          </w:tcPr>
          <w:p w14:paraId="1DE72EF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1.04 (0.80, 1.36)</w:t>
            </w:r>
          </w:p>
        </w:tc>
        <w:tc>
          <w:tcPr>
            <w:tcW w:w="513" w:type="pct"/>
            <w:noWrap w:val="0"/>
            <w:vAlign w:val="center"/>
          </w:tcPr>
          <w:p w14:paraId="62718E29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0.780</w:t>
            </w:r>
          </w:p>
        </w:tc>
        <w:tc>
          <w:tcPr>
            <w:tcW w:w="702" w:type="pct"/>
            <w:shd w:val="clear" w:color="auto" w:fill="auto"/>
            <w:noWrap w:val="0"/>
            <w:vAlign w:val="center"/>
          </w:tcPr>
          <w:p w14:paraId="1D9AF239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1.20 (0.92, 1.57)</w:t>
            </w:r>
          </w:p>
        </w:tc>
        <w:tc>
          <w:tcPr>
            <w:tcW w:w="526" w:type="pct"/>
            <w:noWrap w:val="0"/>
            <w:vAlign w:val="center"/>
          </w:tcPr>
          <w:p w14:paraId="1073316A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0.186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6B79102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1.12 (0.85, 1.47)</w:t>
            </w:r>
          </w:p>
        </w:tc>
        <w:tc>
          <w:tcPr>
            <w:tcW w:w="463" w:type="pct"/>
            <w:noWrap w:val="0"/>
            <w:vAlign w:val="center"/>
          </w:tcPr>
          <w:p w14:paraId="16C97B7D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0.411</w:t>
            </w:r>
          </w:p>
        </w:tc>
      </w:tr>
      <w:tr w14:paraId="26364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noWrap w:val="0"/>
            <w:vAlign w:val="center"/>
          </w:tcPr>
          <w:p w14:paraId="1CF05363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3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11AB5224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19.18</w:t>
            </w:r>
          </w:p>
        </w:tc>
        <w:tc>
          <w:tcPr>
            <w:tcW w:w="705" w:type="pct"/>
            <w:shd w:val="clear" w:color="auto" w:fill="auto"/>
            <w:noWrap w:val="0"/>
            <w:vAlign w:val="center"/>
          </w:tcPr>
          <w:p w14:paraId="71E58AD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2.80 (2.28, 3.44)</w:t>
            </w:r>
          </w:p>
        </w:tc>
        <w:tc>
          <w:tcPr>
            <w:tcW w:w="513" w:type="pct"/>
            <w:noWrap w:val="0"/>
            <w:vAlign w:val="center"/>
          </w:tcPr>
          <w:p w14:paraId="275D4A4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shd w:val="clear" w:color="auto" w:fill="auto"/>
            <w:noWrap w:val="0"/>
            <w:vAlign w:val="center"/>
          </w:tcPr>
          <w:p w14:paraId="3E58E8D0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2.46 (2.00, 3.02)</w:t>
            </w:r>
          </w:p>
        </w:tc>
        <w:tc>
          <w:tcPr>
            <w:tcW w:w="526" w:type="pct"/>
            <w:noWrap w:val="0"/>
            <w:vAlign w:val="center"/>
          </w:tcPr>
          <w:p w14:paraId="2B30437B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11C73769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1.40 (1.09, 1.80)</w:t>
            </w:r>
          </w:p>
        </w:tc>
        <w:tc>
          <w:tcPr>
            <w:tcW w:w="463" w:type="pct"/>
            <w:shd w:val="clear" w:color="auto" w:fill="auto"/>
            <w:noWrap w:val="0"/>
            <w:vAlign w:val="center"/>
          </w:tcPr>
          <w:p w14:paraId="1C3AB6FC">
            <w:pPr>
              <w:widowControl/>
              <w:jc w:val="left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</w:t>
            </w: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8</w:t>
            </w:r>
          </w:p>
        </w:tc>
      </w:tr>
      <w:tr w14:paraId="36204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noWrap w:val="0"/>
            <w:vAlign w:val="center"/>
          </w:tcPr>
          <w:p w14:paraId="64D8B679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4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1352EB98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21.16</w:t>
            </w:r>
          </w:p>
        </w:tc>
        <w:tc>
          <w:tcPr>
            <w:tcW w:w="705" w:type="pct"/>
            <w:shd w:val="clear" w:color="auto" w:fill="auto"/>
            <w:noWrap w:val="0"/>
            <w:vAlign w:val="center"/>
          </w:tcPr>
          <w:p w14:paraId="5561CC22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3.13 (2.64, 3.70)</w:t>
            </w:r>
          </w:p>
        </w:tc>
        <w:tc>
          <w:tcPr>
            <w:tcW w:w="513" w:type="pct"/>
            <w:noWrap w:val="0"/>
            <w:vAlign w:val="center"/>
          </w:tcPr>
          <w:p w14:paraId="4E817D7A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shd w:val="clear" w:color="auto" w:fill="auto"/>
            <w:noWrap w:val="0"/>
            <w:vAlign w:val="center"/>
          </w:tcPr>
          <w:p w14:paraId="4145709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3.26 (2.74, 3.87)</w:t>
            </w:r>
          </w:p>
        </w:tc>
        <w:tc>
          <w:tcPr>
            <w:tcW w:w="526" w:type="pct"/>
            <w:noWrap w:val="0"/>
            <w:vAlign w:val="center"/>
          </w:tcPr>
          <w:p w14:paraId="7CBF490D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67752FED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1.85 (1.50, 2.28)</w:t>
            </w:r>
          </w:p>
        </w:tc>
        <w:tc>
          <w:tcPr>
            <w:tcW w:w="463" w:type="pct"/>
            <w:shd w:val="clear" w:color="auto" w:fill="auto"/>
            <w:noWrap w:val="0"/>
            <w:vAlign w:val="center"/>
          </w:tcPr>
          <w:p w14:paraId="4330B8D3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24757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noWrap/>
            <w:vAlign w:val="center"/>
          </w:tcPr>
          <w:p w14:paraId="0E27CC29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bidi="ar"/>
              </w:rPr>
            </w:pPr>
            <w:r>
              <w:rPr>
                <w:rFonts w:hint="default" w:ascii="Arial" w:hAnsi="Arial" w:cs="Arial"/>
                <w:i/>
                <w:iCs/>
                <w:color w:val="000000"/>
                <w:kern w:val="0"/>
                <w:sz w:val="13"/>
                <w:szCs w:val="13"/>
                <w:lang w:bidi="ar"/>
              </w:rPr>
              <w:t>P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for trend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1A5DC150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705" w:type="pct"/>
            <w:tcBorders>
              <w:tl2br w:val="nil"/>
              <w:tr2bl w:val="nil"/>
            </w:tcBorders>
            <w:noWrap/>
            <w:vAlign w:val="center"/>
          </w:tcPr>
          <w:p w14:paraId="43AFBA03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47D32723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tcBorders>
              <w:tl2br w:val="nil"/>
              <w:tr2bl w:val="nil"/>
            </w:tcBorders>
            <w:noWrap/>
            <w:vAlign w:val="center"/>
          </w:tcPr>
          <w:p w14:paraId="1144635B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526" w:type="pct"/>
            <w:tcBorders>
              <w:tl2br w:val="nil"/>
              <w:tr2bl w:val="nil"/>
            </w:tcBorders>
            <w:noWrap/>
            <w:vAlign w:val="center"/>
          </w:tcPr>
          <w:p w14:paraId="2C076342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62477D4E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463" w:type="pct"/>
            <w:tcBorders>
              <w:tl2br w:val="nil"/>
              <w:tr2bl w:val="nil"/>
            </w:tcBorders>
            <w:noWrap/>
            <w:vAlign w:val="center"/>
          </w:tcPr>
          <w:p w14:paraId="5418CD66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75F0E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8"/>
            <w:noWrap w:val="0"/>
            <w:vAlign w:val="center"/>
          </w:tcPr>
          <w:p w14:paraId="752B593B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METS-IR and BMR</w:t>
            </w:r>
          </w:p>
        </w:tc>
      </w:tr>
      <w:tr w14:paraId="16210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noWrap w:val="0"/>
            <w:vAlign w:val="center"/>
          </w:tcPr>
          <w:p w14:paraId="43871BAF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1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34384E38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8.84</w:t>
            </w:r>
          </w:p>
        </w:tc>
        <w:tc>
          <w:tcPr>
            <w:tcW w:w="705" w:type="pct"/>
            <w:noWrap w:val="0"/>
            <w:vAlign w:val="center"/>
          </w:tcPr>
          <w:p w14:paraId="4240569E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13" w:type="pct"/>
            <w:noWrap w:val="0"/>
            <w:vAlign w:val="center"/>
          </w:tcPr>
          <w:p w14:paraId="265848EE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  <w:tc>
          <w:tcPr>
            <w:tcW w:w="702" w:type="pct"/>
            <w:noWrap w:val="0"/>
            <w:vAlign w:val="center"/>
          </w:tcPr>
          <w:p w14:paraId="196F811C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26" w:type="pct"/>
            <w:noWrap w:val="0"/>
            <w:vAlign w:val="center"/>
          </w:tcPr>
          <w:p w14:paraId="7B57D48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  <w:tc>
          <w:tcPr>
            <w:tcW w:w="716" w:type="pct"/>
            <w:noWrap w:val="0"/>
            <w:vAlign w:val="center"/>
          </w:tcPr>
          <w:p w14:paraId="6EF9EDFA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463" w:type="pct"/>
            <w:noWrap w:val="0"/>
            <w:vAlign w:val="center"/>
          </w:tcPr>
          <w:p w14:paraId="398C742E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</w:tr>
      <w:tr w14:paraId="3FBC2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noWrap w:val="0"/>
            <w:vAlign w:val="center"/>
          </w:tcPr>
          <w:p w14:paraId="72E465CA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2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36EEEF19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9.26</w:t>
            </w:r>
          </w:p>
        </w:tc>
        <w:tc>
          <w:tcPr>
            <w:tcW w:w="705" w:type="pct"/>
            <w:shd w:val="clear" w:color="auto" w:fill="auto"/>
            <w:noWrap w:val="0"/>
            <w:vAlign w:val="center"/>
          </w:tcPr>
          <w:p w14:paraId="7EFF6088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1.05 (0.80, 1.38)</w:t>
            </w:r>
          </w:p>
        </w:tc>
        <w:tc>
          <w:tcPr>
            <w:tcW w:w="513" w:type="pct"/>
            <w:noWrap w:val="0"/>
            <w:vAlign w:val="center"/>
          </w:tcPr>
          <w:p w14:paraId="365BED68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0.739</w:t>
            </w:r>
          </w:p>
        </w:tc>
        <w:tc>
          <w:tcPr>
            <w:tcW w:w="702" w:type="pct"/>
            <w:shd w:val="clear" w:color="auto" w:fill="auto"/>
            <w:noWrap w:val="0"/>
            <w:vAlign w:val="center"/>
          </w:tcPr>
          <w:p w14:paraId="28ACB7F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1.26 (0.96, 1.66)</w:t>
            </w:r>
          </w:p>
        </w:tc>
        <w:tc>
          <w:tcPr>
            <w:tcW w:w="526" w:type="pct"/>
            <w:shd w:val="clear" w:color="auto" w:fill="auto"/>
            <w:noWrap w:val="0"/>
            <w:vAlign w:val="center"/>
          </w:tcPr>
          <w:p w14:paraId="718EC209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0.102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006B1B70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1.24 (0.94, 1.63)</w:t>
            </w:r>
          </w:p>
        </w:tc>
        <w:tc>
          <w:tcPr>
            <w:tcW w:w="463" w:type="pct"/>
            <w:noWrap w:val="0"/>
            <w:vAlign w:val="center"/>
          </w:tcPr>
          <w:p w14:paraId="3A9E9F41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0.131</w:t>
            </w:r>
          </w:p>
        </w:tc>
      </w:tr>
      <w:tr w14:paraId="7FF3E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noWrap w:val="0"/>
            <w:vAlign w:val="center"/>
          </w:tcPr>
          <w:p w14:paraId="4C1602D8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3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11AFDDF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18.40</w:t>
            </w:r>
          </w:p>
        </w:tc>
        <w:tc>
          <w:tcPr>
            <w:tcW w:w="705" w:type="pct"/>
            <w:shd w:val="clear" w:color="auto" w:fill="auto"/>
            <w:noWrap w:val="0"/>
            <w:vAlign w:val="center"/>
          </w:tcPr>
          <w:p w14:paraId="766156E4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2.20 (1.77, 2.73)</w:t>
            </w:r>
          </w:p>
        </w:tc>
        <w:tc>
          <w:tcPr>
            <w:tcW w:w="513" w:type="pct"/>
            <w:noWrap w:val="0"/>
            <w:vAlign w:val="center"/>
          </w:tcPr>
          <w:p w14:paraId="1468152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shd w:val="clear" w:color="auto" w:fill="auto"/>
            <w:noWrap w:val="0"/>
            <w:vAlign w:val="center"/>
          </w:tcPr>
          <w:p w14:paraId="4FC6FAFF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2.19 (1.76, 2.72)</w:t>
            </w:r>
          </w:p>
        </w:tc>
        <w:tc>
          <w:tcPr>
            <w:tcW w:w="526" w:type="pct"/>
            <w:shd w:val="clear" w:color="auto" w:fill="auto"/>
            <w:noWrap w:val="0"/>
            <w:vAlign w:val="center"/>
          </w:tcPr>
          <w:p w14:paraId="5ADDF5F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222D598F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1.75 (1.38, 2.23)</w:t>
            </w:r>
          </w:p>
        </w:tc>
        <w:tc>
          <w:tcPr>
            <w:tcW w:w="463" w:type="pct"/>
            <w:noWrap w:val="0"/>
            <w:vAlign w:val="center"/>
          </w:tcPr>
          <w:p w14:paraId="21DCB711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45CBAC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noWrap w:val="0"/>
            <w:vAlign w:val="center"/>
          </w:tcPr>
          <w:p w14:paraId="439F1BF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4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2C3665B8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19.24</w:t>
            </w:r>
          </w:p>
        </w:tc>
        <w:tc>
          <w:tcPr>
            <w:tcW w:w="705" w:type="pct"/>
            <w:shd w:val="clear" w:color="auto" w:fill="auto"/>
            <w:noWrap w:val="0"/>
            <w:vAlign w:val="center"/>
          </w:tcPr>
          <w:p w14:paraId="0A27D85B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2.32 (1.99, 2.70)</w:t>
            </w:r>
          </w:p>
        </w:tc>
        <w:tc>
          <w:tcPr>
            <w:tcW w:w="513" w:type="pct"/>
            <w:noWrap w:val="0"/>
            <w:vAlign w:val="center"/>
          </w:tcPr>
          <w:p w14:paraId="0D366E49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shd w:val="clear" w:color="auto" w:fill="auto"/>
            <w:noWrap w:val="0"/>
            <w:vAlign w:val="center"/>
          </w:tcPr>
          <w:p w14:paraId="394C03C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2.62 (2.24, 3.06)</w:t>
            </w:r>
          </w:p>
        </w:tc>
        <w:tc>
          <w:tcPr>
            <w:tcW w:w="526" w:type="pct"/>
            <w:shd w:val="clear" w:color="auto" w:fill="auto"/>
            <w:noWrap w:val="0"/>
            <w:vAlign w:val="center"/>
          </w:tcPr>
          <w:p w14:paraId="7956A292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75D925AB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1.84 (1.53, 2.22)</w:t>
            </w:r>
          </w:p>
        </w:tc>
        <w:tc>
          <w:tcPr>
            <w:tcW w:w="463" w:type="pct"/>
            <w:noWrap w:val="0"/>
            <w:vAlign w:val="center"/>
          </w:tcPr>
          <w:p w14:paraId="1D00876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3BCC8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bottom w:val="single" w:color="auto" w:sz="12" w:space="0"/>
            </w:tcBorders>
            <w:noWrap/>
            <w:vAlign w:val="center"/>
          </w:tcPr>
          <w:p w14:paraId="16EC606D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bidi="ar"/>
              </w:rPr>
            </w:pPr>
            <w:r>
              <w:rPr>
                <w:rFonts w:hint="default" w:ascii="Arial" w:hAnsi="Arial" w:cs="Arial"/>
                <w:i/>
                <w:iCs/>
                <w:color w:val="000000"/>
                <w:kern w:val="0"/>
                <w:sz w:val="13"/>
                <w:szCs w:val="13"/>
                <w:lang w:bidi="ar"/>
              </w:rPr>
              <w:t>P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for trend</w:t>
            </w:r>
          </w:p>
        </w:tc>
        <w:tc>
          <w:tcPr>
            <w:tcW w:w="716" w:type="pct"/>
            <w:tcBorders>
              <w:bottom w:val="single" w:color="auto" w:sz="12" w:space="0"/>
            </w:tcBorders>
            <w:noWrap/>
            <w:vAlign w:val="center"/>
          </w:tcPr>
          <w:p w14:paraId="257E275C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705" w:type="pct"/>
            <w:tcBorders>
              <w:bottom w:val="single" w:color="auto" w:sz="12" w:space="0"/>
            </w:tcBorders>
            <w:noWrap/>
            <w:vAlign w:val="center"/>
          </w:tcPr>
          <w:p w14:paraId="4F7AC40C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513" w:type="pct"/>
            <w:tcBorders>
              <w:bottom w:val="single" w:color="auto" w:sz="12" w:space="0"/>
            </w:tcBorders>
            <w:noWrap/>
            <w:vAlign w:val="center"/>
          </w:tcPr>
          <w:p w14:paraId="0955F6E2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tcBorders>
              <w:bottom w:val="single" w:color="auto" w:sz="12" w:space="0"/>
            </w:tcBorders>
            <w:noWrap/>
            <w:vAlign w:val="center"/>
          </w:tcPr>
          <w:p w14:paraId="790B5D4D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526" w:type="pct"/>
            <w:tcBorders>
              <w:bottom w:val="single" w:color="auto" w:sz="12" w:space="0"/>
            </w:tcBorders>
            <w:noWrap/>
            <w:vAlign w:val="center"/>
          </w:tcPr>
          <w:p w14:paraId="198E71DB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79A7E772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463" w:type="pct"/>
            <w:tcBorders>
              <w:bottom w:val="single" w:color="auto" w:sz="12" w:space="0"/>
            </w:tcBorders>
            <w:noWrap/>
            <w:vAlign w:val="center"/>
          </w:tcPr>
          <w:p w14:paraId="719EE76F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</w:tbl>
    <w:p w14:paraId="54086CF2">
      <w:pP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Model I: non-adjusted</w:t>
      </w:r>
    </w:p>
    <w:p w14:paraId="5FAFAF04">
      <w:pP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Model II: adjusted for age, gender, smoking status, drinking status, education level, marital status, residence</w:t>
      </w:r>
    </w:p>
    <w:p w14:paraId="39B89A70">
      <w:pP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Model III: further adjusted for SBP, DBP,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TC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,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HDL-C, LDL-C, hs-CRP,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chronic diseases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 (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hypertension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,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dyslipidemia, depression,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and cancer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), and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medication use (antihyp</w:t>
      </w:r>
      <w:r>
        <w:rPr>
          <w:rFonts w:hint="default" w:ascii="Arial" w:hAnsi="Arial" w:eastAsia="Segoe UI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er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tensive, antidiabetic, antidyslipidemic,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and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cardiovascular medications)</w:t>
      </w:r>
    </w:p>
    <w:p w14:paraId="71D4A2E2">
      <w:pP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Group 1 refers to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low 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and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low BMR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; Group 2 refers to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low 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and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high BMR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; Group 3 refers to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high 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and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low BMR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; Group 4 refers to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 high 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and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high BMR.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insulin resistance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,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BMR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 basal metabolic rate,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TyG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triglyceride-glucose,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eGDR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e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stimate glucose disposal rate,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METS-IR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metabolic score for insulin resistance, </w:t>
      </w:r>
      <w:r>
        <w:rPr>
          <w:rFonts w:hint="default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HR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hazard ratio, </w:t>
      </w:r>
      <w:r>
        <w:rPr>
          <w:rFonts w:hint="default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CI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confidence interval</w:t>
      </w:r>
    </w:p>
    <w:p w14:paraId="3A37C01F">
      <w:pP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宋体" w:cs="Arial"/>
          <w:b/>
          <w:bCs/>
          <w:i w:val="0"/>
          <w:iCs w:val="0"/>
          <w:color w:val="000000" w:themeColor="text1"/>
          <w:spacing w:val="0"/>
          <w:sz w:val="12"/>
          <w:szCs w:val="12"/>
          <w:shd w:val="clear" w:fill="FDFDFE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a</w:t>
      </w:r>
      <w: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:lang w:val="en-US" w:eastAsia="zh-CN"/>
          <w14:textFill>
            <w14:solidFill>
              <w14:schemeClr w14:val="tx1"/>
            </w14:solidFill>
          </w14:textFill>
        </w:rPr>
        <w:t>Incident rate was presented as per 1000 person-years of follow-up</w:t>
      </w:r>
    </w:p>
    <w:p w14:paraId="45007494"/>
    <w:p w14:paraId="73CB9EB0"/>
    <w:p w14:paraId="7C24A205">
      <w:r>
        <w:rPr>
          <w:rFonts w:hint="default" w:ascii="Arial" w:hAnsi="Arial" w:cs="Arial"/>
          <w:b/>
          <w:bCs/>
          <w:i w:val="0"/>
          <w:iCs w:val="0"/>
          <w:color w:val="000000"/>
          <w:sz w:val="15"/>
          <w:szCs w:val="15"/>
          <w:u w:val="none"/>
          <w:lang w:val="en-US" w:eastAsia="zh-CN"/>
        </w:rPr>
        <w:t xml:space="preserve">Table </w:t>
      </w:r>
      <w:r>
        <w:rPr>
          <w:rFonts w:hint="eastAsia" w:ascii="Arial" w:hAnsi="Arial" w:cs="Arial"/>
          <w:b/>
          <w:bCs/>
          <w:i w:val="0"/>
          <w:iCs w:val="0"/>
          <w:color w:val="000000"/>
          <w:sz w:val="15"/>
          <w:szCs w:val="15"/>
          <w:u w:val="none"/>
          <w:lang w:val="en-US" w:eastAsia="zh-CN"/>
        </w:rPr>
        <w:t xml:space="preserve">S17  </w:t>
      </w:r>
      <w:r>
        <w:rPr>
          <w:rFonts w:hint="default" w:ascii="Arial" w:hAnsi="Arial" w:eastAsia="Segoe UI" w:cs="Arial"/>
          <w:b w:val="0"/>
          <w:bCs w:val="0"/>
          <w:i w:val="0"/>
          <w:iCs w:val="0"/>
          <w:caps w:val="0"/>
          <w:color w:val="0F1115"/>
          <w:spacing w:val="0"/>
          <w:sz w:val="15"/>
          <w:szCs w:val="15"/>
          <w:shd w:val="clear" w:fill="FFFFFF"/>
        </w:rPr>
        <w:t>Sensitivity analyses </w:t>
      </w:r>
      <w:r>
        <w:rPr>
          <w:rStyle w:val="4"/>
          <w:rFonts w:hint="default" w:ascii="Arial" w:hAnsi="Arial" w:eastAsia="Segoe UI" w:cs="Arial"/>
          <w:b w:val="0"/>
          <w:bCs w:val="0"/>
          <w:i w:val="0"/>
          <w:iCs w:val="0"/>
          <w:caps w:val="0"/>
          <w:color w:val="0F1115"/>
          <w:spacing w:val="0"/>
          <w:sz w:val="15"/>
          <w:szCs w:val="15"/>
          <w:shd w:val="clear" w:fill="FFFFFF"/>
        </w:rPr>
        <w:t>regarding</w:t>
      </w:r>
      <w:r>
        <w:rPr>
          <w:rFonts w:hint="default" w:ascii="Arial" w:hAnsi="Arial" w:eastAsia="Segoe UI" w:cs="Arial"/>
          <w:b w:val="0"/>
          <w:bCs w:val="0"/>
          <w:i w:val="0"/>
          <w:iCs w:val="0"/>
          <w:caps w:val="0"/>
          <w:color w:val="0F1115"/>
          <w:spacing w:val="0"/>
          <w:sz w:val="15"/>
          <w:szCs w:val="15"/>
          <w:shd w:val="clear" w:fill="FFFFFF"/>
        </w:rPr>
        <w:t xml:space="preserve"> the joint effects of </w:t>
      </w:r>
      <w:r>
        <w:rPr>
          <w:rFonts w:hint="eastAsia" w:ascii="Arial" w:hAnsi="Arial" w:eastAsia="宋体" w:cs="Arial"/>
          <w:color w:val="000000" w:themeColor="text1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>i</w:t>
      </w:r>
      <w:r>
        <w:rPr>
          <w:rFonts w:hint="eastAsia" w:ascii="Arial" w:hAnsi="Arial" w:eastAsia="宋体" w:cs="Arial"/>
          <w:color w:val="000000" w:themeColor="text1"/>
          <w:sz w:val="15"/>
          <w:szCs w:val="15"/>
          <w:lang w:eastAsia="zh-CN"/>
          <w14:textFill>
            <w14:solidFill>
              <w14:schemeClr w14:val="tx1"/>
            </w14:solidFill>
          </w14:textFill>
        </w:rPr>
        <w:t>nsulin</w:t>
      </w:r>
      <w:r>
        <w:rPr>
          <w:rFonts w:hint="eastAsia" w:ascii="Arial" w:hAnsi="Arial" w:cs="Arial"/>
          <w:color w:val="000000" w:themeColor="text1"/>
          <w:sz w:val="15"/>
          <w:szCs w:val="15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eastAsia="Segoe UI" w:cs="Arial"/>
          <w:b w:val="0"/>
          <w:bCs w:val="0"/>
          <w:i w:val="0"/>
          <w:iCs w:val="0"/>
          <w:caps w:val="0"/>
          <w:color w:val="0F1115"/>
          <w:spacing w:val="0"/>
          <w:sz w:val="15"/>
          <w:szCs w:val="15"/>
          <w:shd w:val="clear" w:fill="FFFFFF"/>
        </w:rPr>
        <w:t>resistance surrogate indices and basal metabolic rate on the risks of developing CMM </w:t>
      </w:r>
      <w:r>
        <w:rPr>
          <w:rStyle w:val="4"/>
          <w:rFonts w:hint="default" w:ascii="Arial" w:hAnsi="Arial" w:eastAsia="Segoe UI" w:cs="Arial"/>
          <w:b w:val="0"/>
          <w:bCs w:val="0"/>
          <w:i w:val="0"/>
          <w:iCs w:val="0"/>
          <w:caps w:val="0"/>
          <w:color w:val="0F1115"/>
          <w:spacing w:val="0"/>
          <w:sz w:val="15"/>
          <w:szCs w:val="15"/>
          <w:shd w:val="clear" w:fill="FFFFFF"/>
        </w:rPr>
        <w:t>with respect to missing data</w:t>
      </w:r>
      <w:r>
        <w:rPr>
          <w:rFonts w:hint="default" w:ascii="Arial" w:hAnsi="Arial" w:eastAsia="Segoe UI" w:cs="Arial"/>
          <w:b w:val="0"/>
          <w:bCs w:val="0"/>
          <w:i w:val="0"/>
          <w:iCs w:val="0"/>
          <w:caps w:val="0"/>
          <w:color w:val="0F1115"/>
          <w:spacing w:val="0"/>
          <w:sz w:val="15"/>
          <w:szCs w:val="15"/>
          <w:shd w:val="clear" w:fill="FFFFFF"/>
        </w:rPr>
        <w:t>.</w:t>
      </w:r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4"/>
        <w:gridCol w:w="1293"/>
        <w:gridCol w:w="1571"/>
        <w:gridCol w:w="835"/>
        <w:gridCol w:w="1288"/>
        <w:gridCol w:w="1495"/>
        <w:gridCol w:w="723"/>
      </w:tblGrid>
      <w:tr w14:paraId="7D60B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1" w:type="pct"/>
            <w:vMerge w:val="restart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2EBEB404">
            <w:pPr>
              <w:jc w:val="left"/>
              <w:rPr>
                <w:rFonts w:hint="default" w:ascii="Arial" w:hAnsi="Arial" w:cs="Arial"/>
                <w:b/>
                <w:bCs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14"/>
                <w:szCs w:val="14"/>
                <w:shd w:val="clear" w:color="auto" w:fill="FDFDF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</w:t>
            </w:r>
            <w:r>
              <w:rPr>
                <w:rFonts w:hint="default" w:ascii="Arial" w:hAnsi="Arial" w:eastAsia="Segoe UI" w:cs="Arial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14"/>
                <w:szCs w:val="14"/>
                <w:shd w:val="clear" w:color="auto" w:fill="FDFDFE"/>
                <w14:textFill>
                  <w14:solidFill>
                    <w14:schemeClr w14:val="tx1"/>
                  </w14:solidFill>
                </w14:textFill>
              </w:rPr>
              <w:t>ubgroup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14"/>
                <w:szCs w:val="14"/>
                <w:shd w:val="clear" w:color="auto" w:fill="FDFDF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</w:t>
            </w:r>
          </w:p>
        </w:tc>
        <w:tc>
          <w:tcPr>
            <w:tcW w:w="758" w:type="pct"/>
            <w:vMerge w:val="restart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620EA368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 w:themeColor="text1"/>
                <w:kern w:val="0"/>
                <w:sz w:val="14"/>
                <w:szCs w:val="1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Incidence rate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 w:themeColor="text1"/>
                <w:kern w:val="0"/>
                <w:sz w:val="14"/>
                <w:szCs w:val="1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 w:themeColor="text1"/>
                <w:kern w:val="0"/>
                <w:sz w:val="14"/>
                <w:szCs w:val="14"/>
                <w:u w:val="none"/>
                <w:vertAlign w:val="superscript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1412" w:type="pct"/>
            <w:gridSpan w:val="2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3137D43A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color w:val="000000" w:themeColor="text1"/>
                <w:sz w:val="14"/>
                <w:szCs w:val="1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Segoe UI" w:cs="Arial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14"/>
                <w:szCs w:val="1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Sensitivity analysis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14"/>
                <w:szCs w:val="1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1</w:t>
            </w:r>
          </w:p>
        </w:tc>
        <w:tc>
          <w:tcPr>
            <w:tcW w:w="755" w:type="pct"/>
            <w:vMerge w:val="restart"/>
            <w:tcBorders>
              <w:top w:val="single" w:color="auto" w:sz="12" w:space="0"/>
            </w:tcBorders>
            <w:noWrap/>
            <w:vAlign w:val="center"/>
          </w:tcPr>
          <w:p w14:paraId="6626D9EA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 w:themeColor="text1"/>
                <w:kern w:val="0"/>
                <w:sz w:val="14"/>
                <w:szCs w:val="1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Incidence rate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olor w:val="000000" w:themeColor="text1"/>
                <w:kern w:val="0"/>
                <w:sz w:val="14"/>
                <w:szCs w:val="1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 w:themeColor="text1"/>
                <w:kern w:val="0"/>
                <w:sz w:val="14"/>
                <w:szCs w:val="14"/>
                <w:u w:val="none"/>
                <w:vertAlign w:val="superscript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1301" w:type="pct"/>
            <w:gridSpan w:val="2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658FFE9A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color w:val="000000" w:themeColor="text1"/>
                <w:sz w:val="14"/>
                <w:szCs w:val="1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Segoe UI" w:cs="Arial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14"/>
                <w:szCs w:val="1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Sensitivity analysis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 w:themeColor="text1"/>
                <w:spacing w:val="0"/>
                <w:sz w:val="14"/>
                <w:szCs w:val="1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2</w:t>
            </w:r>
          </w:p>
        </w:tc>
      </w:tr>
      <w:tr w14:paraId="21875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1" w:type="pct"/>
            <w:vMerge w:val="continue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039F73A7">
            <w:pPr>
              <w:jc w:val="left"/>
              <w:rPr>
                <w:rFonts w:hint="default" w:ascii="Arial" w:hAnsi="Arial" w:cs="Arial"/>
                <w:b/>
                <w:bCs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8" w:type="pct"/>
            <w:vMerge w:val="continue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1A246AB8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6C553D4F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bCs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hint="default" w:ascii="Arial" w:hAnsi="Arial" w:cs="Arial"/>
                <w:b/>
                <w:bCs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hint="default" w:ascii="Arial" w:hAnsi="Arial" w:cs="Arial"/>
                <w:b/>
                <w:bCs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  <w:t>(95%</w:t>
            </w:r>
            <w:r>
              <w:rPr>
                <w:rFonts w:hint="default" w:ascii="Arial" w:hAnsi="Arial" w:cs="Arial"/>
                <w:b/>
                <w:bCs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  <w:t>CI)</w:t>
            </w:r>
          </w:p>
        </w:tc>
        <w:tc>
          <w:tcPr>
            <w:tcW w:w="490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0A207826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i/>
                <w:iCs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bCs/>
                <w:i/>
                <w:iCs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P </w:t>
            </w:r>
            <w:r>
              <w:rPr>
                <w:rFonts w:hint="default" w:ascii="Arial" w:hAnsi="Arial" w:cs="Arial"/>
                <w:b/>
                <w:bCs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  <w:t>value</w:t>
            </w:r>
          </w:p>
        </w:tc>
        <w:tc>
          <w:tcPr>
            <w:tcW w:w="755" w:type="pct"/>
            <w:vMerge w:val="continue"/>
            <w:tcBorders>
              <w:bottom w:val="single" w:color="auto" w:sz="8" w:space="0"/>
            </w:tcBorders>
            <w:noWrap/>
            <w:vAlign w:val="center"/>
          </w:tcPr>
          <w:p w14:paraId="16A36C8B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7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41BB384C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bCs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H</w:t>
            </w:r>
            <w:r>
              <w:rPr>
                <w:rFonts w:hint="default" w:ascii="Arial" w:hAnsi="Arial" w:cs="Arial"/>
                <w:b/>
                <w:bCs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hint="default" w:ascii="Arial" w:hAnsi="Arial" w:cs="Arial"/>
                <w:b/>
                <w:bCs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  <w:t>(95%</w:t>
            </w:r>
            <w:r>
              <w:rPr>
                <w:rFonts w:hint="default" w:ascii="Arial" w:hAnsi="Arial" w:cs="Arial"/>
                <w:b/>
                <w:bCs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  <w:t>CI)</w:t>
            </w:r>
          </w:p>
        </w:tc>
        <w:tc>
          <w:tcPr>
            <w:tcW w:w="424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13958D19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i/>
                <w:iCs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/>
                <w:bCs/>
                <w:i/>
                <w:iCs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P </w:t>
            </w:r>
            <w:r>
              <w:rPr>
                <w:rFonts w:hint="default" w:ascii="Arial" w:hAnsi="Arial" w:cs="Arial"/>
                <w:b/>
                <w:bCs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  <w:t>value</w:t>
            </w:r>
          </w:p>
        </w:tc>
      </w:tr>
      <w:tr w14:paraId="3DE98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1" w:type="pct"/>
            <w:tcBorders>
              <w:top w:val="single" w:color="auto" w:sz="8" w:space="0"/>
              <w:tl2br w:val="nil"/>
              <w:tr2bl w:val="nil"/>
            </w:tcBorders>
            <w:noWrap/>
            <w:vAlign w:val="center"/>
          </w:tcPr>
          <w:p w14:paraId="717BAE9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 w:themeColor="text1"/>
                <w:sz w:val="14"/>
                <w:szCs w:val="1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TyG and BMR</w:t>
            </w:r>
          </w:p>
        </w:tc>
        <w:tc>
          <w:tcPr>
            <w:tcW w:w="4228" w:type="pct"/>
            <w:gridSpan w:val="6"/>
            <w:tcBorders>
              <w:top w:val="single" w:color="auto" w:sz="8" w:space="0"/>
              <w:tl2br w:val="nil"/>
              <w:tr2bl w:val="nil"/>
            </w:tcBorders>
            <w:noWrap/>
            <w:vAlign w:val="center"/>
          </w:tcPr>
          <w:p w14:paraId="1C5A949F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749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225101A">
            <w:pPr>
              <w:keepNext w:val="0"/>
              <w:keepLines w:val="0"/>
              <w:widowControl/>
              <w:suppressLineNumbers w:val="0"/>
              <w:ind w:firstLine="140" w:firstLineChars="10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Group 1</w:t>
            </w:r>
          </w:p>
        </w:tc>
        <w:tc>
          <w:tcPr>
            <w:tcW w:w="75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C84FA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8.6</w:t>
            </w:r>
            <w:r>
              <w:rPr>
                <w:rFonts w:hint="eastAsia" w:ascii="Arial" w:hAnsi="Arial" w:cs="Arial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1</w:t>
            </w:r>
          </w:p>
        </w:tc>
        <w:tc>
          <w:tcPr>
            <w:tcW w:w="922" w:type="pct"/>
            <w:tcBorders>
              <w:tl2br w:val="nil"/>
              <w:tr2bl w:val="nil"/>
            </w:tcBorders>
            <w:noWrap/>
            <w:vAlign w:val="center"/>
          </w:tcPr>
          <w:p w14:paraId="2CFCED29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  <w:t>Reference</w:t>
            </w:r>
          </w:p>
        </w:tc>
        <w:tc>
          <w:tcPr>
            <w:tcW w:w="490" w:type="pct"/>
            <w:tcBorders>
              <w:tl2br w:val="nil"/>
              <w:tr2bl w:val="nil"/>
            </w:tcBorders>
            <w:noWrap/>
            <w:vAlign w:val="center"/>
          </w:tcPr>
          <w:p w14:paraId="18FFAD32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  <w:t>—</w:t>
            </w:r>
          </w:p>
        </w:tc>
        <w:tc>
          <w:tcPr>
            <w:tcW w:w="7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7EBC94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2"/>
                <w:sz w:val="14"/>
                <w:szCs w:val="1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000000" w:themeColor="text1"/>
                <w:kern w:val="2"/>
                <w:sz w:val="14"/>
                <w:szCs w:val="1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8.72</w:t>
            </w:r>
          </w:p>
        </w:tc>
        <w:tc>
          <w:tcPr>
            <w:tcW w:w="877" w:type="pct"/>
            <w:tcBorders>
              <w:tl2br w:val="nil"/>
              <w:tr2bl w:val="nil"/>
            </w:tcBorders>
            <w:noWrap/>
            <w:vAlign w:val="center"/>
          </w:tcPr>
          <w:p w14:paraId="7B4FCE92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  <w:t>Reference</w:t>
            </w:r>
          </w:p>
        </w:tc>
        <w:tc>
          <w:tcPr>
            <w:tcW w:w="424" w:type="pct"/>
            <w:tcBorders>
              <w:tl2br w:val="nil"/>
              <w:tr2bl w:val="nil"/>
            </w:tcBorders>
            <w:noWrap/>
            <w:vAlign w:val="center"/>
          </w:tcPr>
          <w:p w14:paraId="006B0102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  <w:t>—</w:t>
            </w:r>
          </w:p>
        </w:tc>
      </w:tr>
      <w:tr w14:paraId="0A532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75DC711">
            <w:pPr>
              <w:keepNext w:val="0"/>
              <w:keepLines w:val="0"/>
              <w:widowControl/>
              <w:suppressLineNumbers w:val="0"/>
              <w:ind w:firstLine="140" w:firstLineChars="10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Group 2</w:t>
            </w:r>
          </w:p>
        </w:tc>
        <w:tc>
          <w:tcPr>
            <w:tcW w:w="75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F24E9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13.1</w:t>
            </w:r>
            <w:r>
              <w:rPr>
                <w:rFonts w:hint="eastAsia" w:ascii="Arial" w:hAnsi="Arial" w:cs="Arial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5</w:t>
            </w:r>
          </w:p>
        </w:tc>
        <w:tc>
          <w:tcPr>
            <w:tcW w:w="92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1099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  <w:t>1.51 (1.22, 1.87)</w:t>
            </w:r>
          </w:p>
        </w:tc>
        <w:tc>
          <w:tcPr>
            <w:tcW w:w="4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3E76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&lt; 0.001</w:t>
            </w:r>
          </w:p>
        </w:tc>
        <w:tc>
          <w:tcPr>
            <w:tcW w:w="7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A0507E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2"/>
                <w:sz w:val="14"/>
                <w:szCs w:val="1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000000" w:themeColor="text1"/>
                <w:kern w:val="2"/>
                <w:sz w:val="14"/>
                <w:szCs w:val="1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13.03</w:t>
            </w:r>
          </w:p>
        </w:tc>
        <w:tc>
          <w:tcPr>
            <w:tcW w:w="8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D354F8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1.48 (1.20, 1.83)</w:t>
            </w:r>
          </w:p>
        </w:tc>
        <w:tc>
          <w:tcPr>
            <w:tcW w:w="42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DBC1C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&lt; </w:t>
            </w: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</w:tr>
      <w:tr w14:paraId="0770B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B23F71D">
            <w:pPr>
              <w:keepNext w:val="0"/>
              <w:keepLines w:val="0"/>
              <w:widowControl/>
              <w:suppressLineNumbers w:val="0"/>
              <w:ind w:firstLine="140" w:firstLineChars="10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Group 3</w:t>
            </w:r>
          </w:p>
        </w:tc>
        <w:tc>
          <w:tcPr>
            <w:tcW w:w="75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120DA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16.0</w:t>
            </w:r>
            <w:r>
              <w:rPr>
                <w:rFonts w:hint="eastAsia" w:ascii="Arial" w:hAnsi="Arial" w:cs="Arial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1</w:t>
            </w:r>
          </w:p>
        </w:tc>
        <w:tc>
          <w:tcPr>
            <w:tcW w:w="92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A5DC6B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  <w:t>1.61 (1.30, 1.99)</w:t>
            </w:r>
          </w:p>
        </w:tc>
        <w:tc>
          <w:tcPr>
            <w:tcW w:w="4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637F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&lt; 0.001</w:t>
            </w:r>
          </w:p>
        </w:tc>
        <w:tc>
          <w:tcPr>
            <w:tcW w:w="7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193D2D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2"/>
                <w:sz w:val="14"/>
                <w:szCs w:val="1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000000" w:themeColor="text1"/>
                <w:kern w:val="2"/>
                <w:sz w:val="14"/>
                <w:szCs w:val="1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16.38</w:t>
            </w:r>
          </w:p>
        </w:tc>
        <w:tc>
          <w:tcPr>
            <w:tcW w:w="8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238E7A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1.62 (1.32, 1.99)</w:t>
            </w:r>
          </w:p>
        </w:tc>
        <w:tc>
          <w:tcPr>
            <w:tcW w:w="42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524DC3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&lt; </w:t>
            </w: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</w:tr>
      <w:tr w14:paraId="0681E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EEC5FA5">
            <w:pPr>
              <w:keepNext w:val="0"/>
              <w:keepLines w:val="0"/>
              <w:widowControl/>
              <w:suppressLineNumbers w:val="0"/>
              <w:ind w:firstLine="140" w:firstLineChars="10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Group 4</w:t>
            </w:r>
          </w:p>
        </w:tc>
        <w:tc>
          <w:tcPr>
            <w:tcW w:w="75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E597F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22.7</w:t>
            </w:r>
            <w:r>
              <w:rPr>
                <w:rFonts w:hint="eastAsia" w:ascii="Arial" w:hAnsi="Arial" w:cs="Arial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1</w:t>
            </w:r>
          </w:p>
        </w:tc>
        <w:tc>
          <w:tcPr>
            <w:tcW w:w="92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8E115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  <w:t>2.13 (1.73, 2.63)</w:t>
            </w:r>
          </w:p>
        </w:tc>
        <w:tc>
          <w:tcPr>
            <w:tcW w:w="49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75AB0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&lt; 0.001</w:t>
            </w:r>
          </w:p>
        </w:tc>
        <w:tc>
          <w:tcPr>
            <w:tcW w:w="75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6635D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2"/>
                <w:sz w:val="14"/>
                <w:szCs w:val="1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000000" w:themeColor="text1"/>
                <w:kern w:val="2"/>
                <w:sz w:val="14"/>
                <w:szCs w:val="1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22.66</w:t>
            </w:r>
          </w:p>
        </w:tc>
        <w:tc>
          <w:tcPr>
            <w:tcW w:w="8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CC2D99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2.11 (1.72, 2.58)</w:t>
            </w:r>
          </w:p>
        </w:tc>
        <w:tc>
          <w:tcPr>
            <w:tcW w:w="42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68123D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&lt; </w:t>
            </w: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</w:tr>
      <w:tr w14:paraId="2389F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1" w:type="pct"/>
            <w:tcBorders>
              <w:tl2br w:val="nil"/>
              <w:tr2bl w:val="nil"/>
            </w:tcBorders>
            <w:noWrap/>
            <w:vAlign w:val="center"/>
          </w:tcPr>
          <w:p w14:paraId="43EF4F16">
            <w:pPr>
              <w:widowControl/>
              <w:ind w:firstLine="140" w:firstLineChars="100"/>
              <w:jc w:val="left"/>
              <w:textAlignment w:val="center"/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val="en-U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i/>
                <w:iCs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for trend</w:t>
            </w:r>
          </w:p>
        </w:tc>
        <w:tc>
          <w:tcPr>
            <w:tcW w:w="758" w:type="pct"/>
            <w:tcBorders>
              <w:tl2br w:val="nil"/>
              <w:tr2bl w:val="nil"/>
            </w:tcBorders>
            <w:noWrap/>
            <w:vAlign w:val="center"/>
          </w:tcPr>
          <w:p w14:paraId="7E66050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7E0BD7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2"/>
                <w:sz w:val="14"/>
                <w:szCs w:val="1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4C106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2"/>
                <w:sz w:val="14"/>
                <w:szCs w:val="1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14"/>
                <w:szCs w:val="1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&lt; </w:t>
            </w: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14"/>
                <w:szCs w:val="1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  <w:tc>
          <w:tcPr>
            <w:tcW w:w="75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86646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2"/>
                <w:sz w:val="14"/>
                <w:szCs w:val="1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4E9A2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2632CC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&lt; </w:t>
            </w: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</w:tr>
      <w:tr w14:paraId="4F579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30" w:type="pct"/>
            <w:gridSpan w:val="2"/>
            <w:tcBorders>
              <w:right w:val="nil"/>
            </w:tcBorders>
            <w:noWrap/>
            <w:vAlign w:val="center"/>
          </w:tcPr>
          <w:p w14:paraId="39C4ABCD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eGDR and BMR</w:t>
            </w:r>
          </w:p>
        </w:tc>
        <w:tc>
          <w:tcPr>
            <w:tcW w:w="3469" w:type="pct"/>
            <w:gridSpan w:val="5"/>
            <w:tcBorders>
              <w:left w:val="nil"/>
              <w:right w:val="nil"/>
            </w:tcBorders>
            <w:noWrap/>
            <w:vAlign w:val="center"/>
          </w:tcPr>
          <w:p w14:paraId="243E5710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3FB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1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9904901">
            <w:pPr>
              <w:keepNext w:val="0"/>
              <w:keepLines w:val="0"/>
              <w:widowControl/>
              <w:suppressLineNumbers w:val="0"/>
              <w:ind w:firstLine="140" w:firstLineChars="10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Group 1</w:t>
            </w:r>
          </w:p>
        </w:tc>
        <w:tc>
          <w:tcPr>
            <w:tcW w:w="75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1E41E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  <w:t>7.8</w:t>
            </w:r>
            <w:r>
              <w:rPr>
                <w:rFonts w:hint="eastAsia" w:ascii="Arial" w:hAnsi="Arial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  <w:t>1</w:t>
            </w:r>
          </w:p>
        </w:tc>
        <w:tc>
          <w:tcPr>
            <w:tcW w:w="922" w:type="pct"/>
            <w:tcBorders>
              <w:tl2br w:val="nil"/>
              <w:tr2bl w:val="nil"/>
            </w:tcBorders>
            <w:noWrap/>
            <w:vAlign w:val="center"/>
          </w:tcPr>
          <w:p w14:paraId="186F4ED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 w:themeColor="text1"/>
                <w:kern w:val="2"/>
                <w:sz w:val="14"/>
                <w:szCs w:val="1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  <w:t>Reference</w:t>
            </w:r>
          </w:p>
        </w:tc>
        <w:tc>
          <w:tcPr>
            <w:tcW w:w="490" w:type="pct"/>
            <w:tcBorders>
              <w:tl2br w:val="nil"/>
              <w:tr2bl w:val="nil"/>
            </w:tcBorders>
            <w:noWrap/>
            <w:vAlign w:val="center"/>
          </w:tcPr>
          <w:p w14:paraId="52F5AE4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 w:themeColor="text1"/>
                <w:kern w:val="2"/>
                <w:sz w:val="14"/>
                <w:szCs w:val="1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  <w:t>—</w:t>
            </w:r>
          </w:p>
        </w:tc>
        <w:tc>
          <w:tcPr>
            <w:tcW w:w="75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F1E9FF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2"/>
                <w:sz w:val="14"/>
                <w:szCs w:val="1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000000" w:themeColor="text1"/>
                <w:kern w:val="2"/>
                <w:sz w:val="14"/>
                <w:szCs w:val="1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8.04</w:t>
            </w:r>
          </w:p>
        </w:tc>
        <w:tc>
          <w:tcPr>
            <w:tcW w:w="877" w:type="pct"/>
            <w:tcBorders>
              <w:tl2br w:val="nil"/>
              <w:tr2bl w:val="nil"/>
            </w:tcBorders>
            <w:noWrap/>
            <w:vAlign w:val="center"/>
          </w:tcPr>
          <w:p w14:paraId="41CC569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 w:themeColor="text1"/>
                <w:kern w:val="2"/>
                <w:sz w:val="14"/>
                <w:szCs w:val="1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  <w:t>Reference</w:t>
            </w:r>
          </w:p>
        </w:tc>
        <w:tc>
          <w:tcPr>
            <w:tcW w:w="424" w:type="pct"/>
            <w:tcBorders>
              <w:tl2br w:val="nil"/>
              <w:tr2bl w:val="nil"/>
            </w:tcBorders>
            <w:noWrap/>
            <w:vAlign w:val="center"/>
          </w:tcPr>
          <w:p w14:paraId="7144708B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 w:themeColor="text1"/>
                <w:kern w:val="2"/>
                <w:sz w:val="14"/>
                <w:szCs w:val="1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  <w:t>—</w:t>
            </w:r>
          </w:p>
        </w:tc>
      </w:tr>
      <w:tr w14:paraId="680F8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71" w:type="pct"/>
            <w:shd w:val="clear" w:color="auto" w:fill="auto"/>
            <w:noWrap w:val="0"/>
            <w:vAlign w:val="bottom"/>
          </w:tcPr>
          <w:p w14:paraId="048319B2">
            <w:pPr>
              <w:keepNext w:val="0"/>
              <w:keepLines w:val="0"/>
              <w:widowControl/>
              <w:suppressLineNumbers w:val="0"/>
              <w:ind w:firstLine="140" w:firstLineChars="10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Group 2</w:t>
            </w:r>
          </w:p>
        </w:tc>
        <w:tc>
          <w:tcPr>
            <w:tcW w:w="758" w:type="pct"/>
            <w:shd w:val="clear" w:color="auto" w:fill="auto"/>
            <w:noWrap w:val="0"/>
            <w:vAlign w:val="bottom"/>
          </w:tcPr>
          <w:p w14:paraId="6D3D10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  <w:t>8.</w:t>
            </w:r>
            <w:r>
              <w:rPr>
                <w:rFonts w:hint="eastAsia" w:ascii="Arial" w:hAnsi="Arial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  <w:t>46</w:t>
            </w:r>
          </w:p>
        </w:tc>
        <w:tc>
          <w:tcPr>
            <w:tcW w:w="922" w:type="pct"/>
            <w:shd w:val="clear" w:color="auto" w:fill="auto"/>
            <w:noWrap w:val="0"/>
            <w:vAlign w:val="bottom"/>
          </w:tcPr>
          <w:p w14:paraId="48C2DD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  <w:t>1.17 (0.90, 1.51)</w:t>
            </w:r>
          </w:p>
        </w:tc>
        <w:tc>
          <w:tcPr>
            <w:tcW w:w="490" w:type="pct"/>
            <w:shd w:val="clear" w:color="auto" w:fill="auto"/>
            <w:noWrap w:val="0"/>
            <w:vAlign w:val="center"/>
          </w:tcPr>
          <w:p w14:paraId="05F8FE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0.236</w:t>
            </w:r>
          </w:p>
        </w:tc>
        <w:tc>
          <w:tcPr>
            <w:tcW w:w="755" w:type="pct"/>
            <w:shd w:val="clear" w:color="auto" w:fill="auto"/>
            <w:noWrap w:val="0"/>
            <w:vAlign w:val="center"/>
          </w:tcPr>
          <w:p w14:paraId="1C2CED8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2"/>
                <w:sz w:val="14"/>
                <w:szCs w:val="1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000000" w:themeColor="text1"/>
                <w:kern w:val="2"/>
                <w:sz w:val="14"/>
                <w:szCs w:val="1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8.37</w:t>
            </w:r>
          </w:p>
        </w:tc>
        <w:tc>
          <w:tcPr>
            <w:tcW w:w="877" w:type="pct"/>
            <w:shd w:val="clear" w:color="auto" w:fill="auto"/>
            <w:noWrap w:val="0"/>
            <w:vAlign w:val="center"/>
          </w:tcPr>
          <w:p w14:paraId="4BBD5CE4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1.12 (0.87, 1.45)</w:t>
            </w:r>
          </w:p>
        </w:tc>
        <w:tc>
          <w:tcPr>
            <w:tcW w:w="424" w:type="pct"/>
            <w:shd w:val="clear" w:color="auto" w:fill="auto"/>
            <w:noWrap w:val="0"/>
            <w:vAlign w:val="center"/>
          </w:tcPr>
          <w:p w14:paraId="6E92618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0.369</w:t>
            </w:r>
          </w:p>
        </w:tc>
      </w:tr>
      <w:tr w14:paraId="451B1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1" w:type="pct"/>
            <w:shd w:val="clear" w:color="auto" w:fill="auto"/>
            <w:noWrap w:val="0"/>
            <w:vAlign w:val="bottom"/>
          </w:tcPr>
          <w:p w14:paraId="27231D1C">
            <w:pPr>
              <w:keepNext w:val="0"/>
              <w:keepLines w:val="0"/>
              <w:widowControl/>
              <w:suppressLineNumbers w:val="0"/>
              <w:ind w:firstLine="140" w:firstLineChars="10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Group 3</w:t>
            </w:r>
          </w:p>
        </w:tc>
        <w:tc>
          <w:tcPr>
            <w:tcW w:w="758" w:type="pct"/>
            <w:shd w:val="clear" w:color="auto" w:fill="auto"/>
            <w:noWrap w:val="0"/>
            <w:vAlign w:val="bottom"/>
          </w:tcPr>
          <w:p w14:paraId="0CEF9C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  <w:t>20.</w:t>
            </w:r>
            <w:r>
              <w:rPr>
                <w:rFonts w:hint="eastAsia" w:ascii="Arial" w:hAnsi="Arial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  <w:t>88</w:t>
            </w:r>
          </w:p>
        </w:tc>
        <w:tc>
          <w:tcPr>
            <w:tcW w:w="922" w:type="pct"/>
            <w:shd w:val="clear" w:color="auto" w:fill="auto"/>
            <w:noWrap w:val="0"/>
            <w:vAlign w:val="bottom"/>
          </w:tcPr>
          <w:p w14:paraId="02672F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  <w:t>1.47 (1.16, 1.86)</w:t>
            </w:r>
          </w:p>
        </w:tc>
        <w:tc>
          <w:tcPr>
            <w:tcW w:w="490" w:type="pct"/>
            <w:shd w:val="clear" w:color="auto" w:fill="auto"/>
            <w:noWrap w:val="0"/>
            <w:vAlign w:val="center"/>
          </w:tcPr>
          <w:p w14:paraId="51868F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sz w:val="14"/>
                <w:szCs w:val="14"/>
                <w:u w:val="none"/>
                <w:lang w:val="en-US" w:eastAsia="zh-CN"/>
              </w:rPr>
              <w:t>0.002</w:t>
            </w:r>
          </w:p>
        </w:tc>
        <w:tc>
          <w:tcPr>
            <w:tcW w:w="755" w:type="pct"/>
            <w:shd w:val="clear" w:color="auto" w:fill="auto"/>
            <w:noWrap w:val="0"/>
            <w:vAlign w:val="center"/>
          </w:tcPr>
          <w:p w14:paraId="483137A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2"/>
                <w:sz w:val="14"/>
                <w:szCs w:val="1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000000" w:themeColor="text1"/>
                <w:kern w:val="2"/>
                <w:sz w:val="14"/>
                <w:szCs w:val="1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21.11</w:t>
            </w:r>
          </w:p>
        </w:tc>
        <w:tc>
          <w:tcPr>
            <w:tcW w:w="877" w:type="pct"/>
            <w:shd w:val="clear" w:color="auto" w:fill="auto"/>
            <w:noWrap w:val="0"/>
            <w:vAlign w:val="center"/>
          </w:tcPr>
          <w:p w14:paraId="2F84D9DE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1.43 (1.13, 1.81)</w:t>
            </w:r>
          </w:p>
        </w:tc>
        <w:tc>
          <w:tcPr>
            <w:tcW w:w="424" w:type="pct"/>
            <w:shd w:val="clear" w:color="auto" w:fill="auto"/>
            <w:noWrap w:val="0"/>
            <w:vAlign w:val="center"/>
          </w:tcPr>
          <w:p w14:paraId="0CCB9F69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0.002</w:t>
            </w:r>
          </w:p>
        </w:tc>
      </w:tr>
      <w:tr w14:paraId="58206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1" w:type="pct"/>
            <w:shd w:val="clear" w:color="auto" w:fill="auto"/>
            <w:noWrap w:val="0"/>
            <w:vAlign w:val="bottom"/>
          </w:tcPr>
          <w:p w14:paraId="40EE9D11">
            <w:pPr>
              <w:keepNext w:val="0"/>
              <w:keepLines w:val="0"/>
              <w:widowControl/>
              <w:suppressLineNumbers w:val="0"/>
              <w:ind w:firstLine="140" w:firstLineChars="10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Group 4</w:t>
            </w:r>
          </w:p>
        </w:tc>
        <w:tc>
          <w:tcPr>
            <w:tcW w:w="758" w:type="pct"/>
            <w:shd w:val="clear" w:color="auto" w:fill="auto"/>
            <w:noWrap w:val="0"/>
            <w:vAlign w:val="bottom"/>
          </w:tcPr>
          <w:p w14:paraId="6CED8D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  <w:t>23.1</w:t>
            </w:r>
            <w:r>
              <w:rPr>
                <w:rFonts w:hint="eastAsia" w:ascii="Arial" w:hAnsi="Arial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  <w:t>2</w:t>
            </w:r>
          </w:p>
        </w:tc>
        <w:tc>
          <w:tcPr>
            <w:tcW w:w="922" w:type="pct"/>
            <w:shd w:val="clear" w:color="auto" w:fill="auto"/>
            <w:noWrap w:val="0"/>
            <w:vAlign w:val="bottom"/>
          </w:tcPr>
          <w:p w14:paraId="0F5C57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  <w:t>1.93 (1.57, 2.36)</w:t>
            </w:r>
          </w:p>
        </w:tc>
        <w:tc>
          <w:tcPr>
            <w:tcW w:w="490" w:type="pct"/>
            <w:shd w:val="clear" w:color="auto" w:fill="auto"/>
            <w:noWrap w:val="0"/>
            <w:vAlign w:val="bottom"/>
          </w:tcPr>
          <w:p w14:paraId="65172B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0.001</w:t>
            </w:r>
          </w:p>
        </w:tc>
        <w:tc>
          <w:tcPr>
            <w:tcW w:w="755" w:type="pct"/>
            <w:shd w:val="clear" w:color="auto" w:fill="auto"/>
            <w:noWrap w:val="0"/>
            <w:vAlign w:val="center"/>
          </w:tcPr>
          <w:p w14:paraId="06A33DA0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2"/>
                <w:sz w:val="14"/>
                <w:szCs w:val="1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000000" w:themeColor="text1"/>
                <w:kern w:val="2"/>
                <w:sz w:val="14"/>
                <w:szCs w:val="1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23.04</w:t>
            </w:r>
          </w:p>
        </w:tc>
        <w:tc>
          <w:tcPr>
            <w:tcW w:w="877" w:type="pct"/>
            <w:shd w:val="clear" w:color="auto" w:fill="auto"/>
            <w:noWrap w:val="0"/>
            <w:vAlign w:val="center"/>
          </w:tcPr>
          <w:p w14:paraId="4EB1335B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1.87 (1.54, 2.28)</w:t>
            </w:r>
          </w:p>
        </w:tc>
        <w:tc>
          <w:tcPr>
            <w:tcW w:w="424" w:type="pct"/>
            <w:shd w:val="clear" w:color="auto" w:fill="auto"/>
            <w:noWrap w:val="0"/>
            <w:vAlign w:val="center"/>
          </w:tcPr>
          <w:p w14:paraId="373590E3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&lt; </w:t>
            </w: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</w:tr>
      <w:tr w14:paraId="5BE02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1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0E900F">
            <w:pPr>
              <w:widowControl/>
              <w:ind w:firstLine="140" w:firstLineChars="100"/>
              <w:jc w:val="left"/>
              <w:textAlignment w:val="center"/>
              <w:rPr>
                <w:rFonts w:hint="default" w:ascii="Arial" w:hAnsi="Arial" w:eastAsia="宋体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i/>
                <w:iCs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for trend</w:t>
            </w:r>
          </w:p>
        </w:tc>
        <w:tc>
          <w:tcPr>
            <w:tcW w:w="75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B0E37E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EEB7D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2"/>
                <w:sz w:val="14"/>
                <w:szCs w:val="1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E7C5C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2"/>
                <w:sz w:val="14"/>
                <w:szCs w:val="1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14"/>
                <w:szCs w:val="1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&lt; </w:t>
            </w: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14"/>
                <w:szCs w:val="1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  <w:tc>
          <w:tcPr>
            <w:tcW w:w="755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39CDE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2"/>
                <w:sz w:val="14"/>
                <w:szCs w:val="1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7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37072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4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AC2E12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&lt; </w:t>
            </w: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</w:tr>
      <w:tr w14:paraId="4CE90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7"/>
            <w:noWrap w:val="0"/>
            <w:vAlign w:val="center"/>
          </w:tcPr>
          <w:p w14:paraId="35069183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METS-IR and BMR</w:t>
            </w:r>
          </w:p>
        </w:tc>
      </w:tr>
      <w:tr w14:paraId="0F916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1" w:type="pct"/>
            <w:shd w:val="clear" w:color="auto" w:fill="auto"/>
            <w:noWrap w:val="0"/>
            <w:vAlign w:val="bottom"/>
          </w:tcPr>
          <w:p w14:paraId="2B4C89BB">
            <w:pPr>
              <w:keepNext w:val="0"/>
              <w:keepLines w:val="0"/>
              <w:widowControl/>
              <w:suppressLineNumbers w:val="0"/>
              <w:ind w:firstLine="140" w:firstLineChars="10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Group 1</w:t>
            </w:r>
          </w:p>
        </w:tc>
        <w:tc>
          <w:tcPr>
            <w:tcW w:w="758" w:type="pct"/>
            <w:shd w:val="clear" w:color="auto" w:fill="auto"/>
            <w:noWrap w:val="0"/>
            <w:vAlign w:val="bottom"/>
          </w:tcPr>
          <w:p w14:paraId="0F01EF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  <w:t>9.50</w:t>
            </w:r>
          </w:p>
        </w:tc>
        <w:tc>
          <w:tcPr>
            <w:tcW w:w="922" w:type="pct"/>
            <w:noWrap w:val="0"/>
            <w:vAlign w:val="center"/>
          </w:tcPr>
          <w:p w14:paraId="787A2E7C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 w:themeColor="text1"/>
                <w:kern w:val="2"/>
                <w:sz w:val="14"/>
                <w:szCs w:val="1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  <w:t>Reference</w:t>
            </w:r>
          </w:p>
        </w:tc>
        <w:tc>
          <w:tcPr>
            <w:tcW w:w="490" w:type="pct"/>
            <w:noWrap w:val="0"/>
            <w:vAlign w:val="center"/>
          </w:tcPr>
          <w:p w14:paraId="3EE6599E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 w:themeColor="text1"/>
                <w:kern w:val="2"/>
                <w:sz w:val="14"/>
                <w:szCs w:val="1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  <w:t>—</w:t>
            </w:r>
          </w:p>
        </w:tc>
        <w:tc>
          <w:tcPr>
            <w:tcW w:w="755" w:type="pct"/>
            <w:shd w:val="clear" w:color="auto" w:fill="auto"/>
            <w:noWrap w:val="0"/>
            <w:vAlign w:val="center"/>
          </w:tcPr>
          <w:p w14:paraId="15AFAE8A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2"/>
                <w:sz w:val="14"/>
                <w:szCs w:val="1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000000" w:themeColor="text1"/>
                <w:kern w:val="2"/>
                <w:sz w:val="14"/>
                <w:szCs w:val="1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9.74</w:t>
            </w:r>
          </w:p>
        </w:tc>
        <w:tc>
          <w:tcPr>
            <w:tcW w:w="877" w:type="pct"/>
            <w:noWrap w:val="0"/>
            <w:vAlign w:val="center"/>
          </w:tcPr>
          <w:p w14:paraId="75AADB93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 w:themeColor="text1"/>
                <w:kern w:val="2"/>
                <w:sz w:val="14"/>
                <w:szCs w:val="1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  <w:t>Reference</w:t>
            </w:r>
          </w:p>
        </w:tc>
        <w:tc>
          <w:tcPr>
            <w:tcW w:w="424" w:type="pct"/>
            <w:noWrap w:val="0"/>
            <w:vAlign w:val="center"/>
          </w:tcPr>
          <w:p w14:paraId="3A8137AE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 w:themeColor="text1"/>
                <w:kern w:val="2"/>
                <w:sz w:val="14"/>
                <w:szCs w:val="1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  <w:t>—</w:t>
            </w:r>
          </w:p>
        </w:tc>
      </w:tr>
      <w:tr w14:paraId="36A2D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1" w:type="pct"/>
            <w:shd w:val="clear" w:color="auto" w:fill="auto"/>
            <w:noWrap w:val="0"/>
            <w:vAlign w:val="bottom"/>
          </w:tcPr>
          <w:p w14:paraId="0395EE6D">
            <w:pPr>
              <w:keepNext w:val="0"/>
              <w:keepLines w:val="0"/>
              <w:widowControl/>
              <w:suppressLineNumbers w:val="0"/>
              <w:ind w:firstLine="140" w:firstLineChars="10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Group 2</w:t>
            </w:r>
          </w:p>
        </w:tc>
        <w:tc>
          <w:tcPr>
            <w:tcW w:w="758" w:type="pct"/>
            <w:shd w:val="clear" w:color="auto" w:fill="auto"/>
            <w:noWrap w:val="0"/>
            <w:vAlign w:val="bottom"/>
          </w:tcPr>
          <w:p w14:paraId="4EB06C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  <w:t>9.90</w:t>
            </w:r>
          </w:p>
        </w:tc>
        <w:tc>
          <w:tcPr>
            <w:tcW w:w="922" w:type="pct"/>
            <w:shd w:val="clear" w:color="auto" w:fill="auto"/>
            <w:noWrap w:val="0"/>
            <w:vAlign w:val="bottom"/>
          </w:tcPr>
          <w:p w14:paraId="798952A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  <w:t>1.22 (0.94, 1.60)</w:t>
            </w:r>
          </w:p>
        </w:tc>
        <w:tc>
          <w:tcPr>
            <w:tcW w:w="490" w:type="pct"/>
            <w:shd w:val="clear" w:color="auto" w:fill="auto"/>
            <w:noWrap w:val="0"/>
            <w:vAlign w:val="bottom"/>
          </w:tcPr>
          <w:p w14:paraId="40475D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  <w:t>0.140</w:t>
            </w:r>
          </w:p>
        </w:tc>
        <w:tc>
          <w:tcPr>
            <w:tcW w:w="755" w:type="pct"/>
            <w:shd w:val="clear" w:color="auto" w:fill="auto"/>
            <w:noWrap w:val="0"/>
            <w:vAlign w:val="center"/>
          </w:tcPr>
          <w:p w14:paraId="3077D52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2"/>
                <w:sz w:val="14"/>
                <w:szCs w:val="1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000000" w:themeColor="text1"/>
                <w:kern w:val="2"/>
                <w:sz w:val="14"/>
                <w:szCs w:val="1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10.04</w:t>
            </w:r>
          </w:p>
        </w:tc>
        <w:tc>
          <w:tcPr>
            <w:tcW w:w="877" w:type="pct"/>
            <w:shd w:val="clear" w:color="auto" w:fill="auto"/>
            <w:noWrap w:val="0"/>
            <w:vAlign w:val="center"/>
          </w:tcPr>
          <w:p w14:paraId="31FDB362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1.21 (0.93, 1.57)</w:t>
            </w:r>
          </w:p>
        </w:tc>
        <w:tc>
          <w:tcPr>
            <w:tcW w:w="424" w:type="pct"/>
            <w:shd w:val="clear" w:color="auto" w:fill="auto"/>
            <w:noWrap w:val="0"/>
            <w:vAlign w:val="center"/>
          </w:tcPr>
          <w:p w14:paraId="1D94E45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0.152</w:t>
            </w:r>
          </w:p>
        </w:tc>
      </w:tr>
      <w:tr w14:paraId="6D395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1" w:type="pct"/>
            <w:shd w:val="clear" w:color="auto" w:fill="auto"/>
            <w:noWrap w:val="0"/>
            <w:vAlign w:val="bottom"/>
          </w:tcPr>
          <w:p w14:paraId="2931167B">
            <w:pPr>
              <w:keepNext w:val="0"/>
              <w:keepLines w:val="0"/>
              <w:widowControl/>
              <w:suppressLineNumbers w:val="0"/>
              <w:ind w:firstLine="140" w:firstLineChars="10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Group 3</w:t>
            </w:r>
          </w:p>
        </w:tc>
        <w:tc>
          <w:tcPr>
            <w:tcW w:w="758" w:type="pct"/>
            <w:shd w:val="clear" w:color="auto" w:fill="auto"/>
            <w:noWrap w:val="0"/>
            <w:vAlign w:val="bottom"/>
          </w:tcPr>
          <w:p w14:paraId="31E37F5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  <w:t>19.9</w:t>
            </w:r>
            <w:r>
              <w:rPr>
                <w:rFonts w:hint="eastAsia" w:ascii="Arial" w:hAnsi="Arial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  <w:t>4</w:t>
            </w:r>
          </w:p>
        </w:tc>
        <w:tc>
          <w:tcPr>
            <w:tcW w:w="922" w:type="pct"/>
            <w:shd w:val="clear" w:color="auto" w:fill="auto"/>
            <w:noWrap w:val="0"/>
            <w:vAlign w:val="bottom"/>
          </w:tcPr>
          <w:p w14:paraId="1D43D1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  <w:t>1.81 (1.44, 2.28)</w:t>
            </w:r>
          </w:p>
        </w:tc>
        <w:tc>
          <w:tcPr>
            <w:tcW w:w="490" w:type="pct"/>
            <w:shd w:val="clear" w:color="auto" w:fill="auto"/>
            <w:noWrap w:val="0"/>
            <w:vAlign w:val="bottom"/>
          </w:tcPr>
          <w:p w14:paraId="5DA3FF0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&lt; 0.001</w:t>
            </w:r>
          </w:p>
        </w:tc>
        <w:tc>
          <w:tcPr>
            <w:tcW w:w="755" w:type="pct"/>
            <w:shd w:val="clear" w:color="auto" w:fill="auto"/>
            <w:noWrap w:val="0"/>
            <w:vAlign w:val="center"/>
          </w:tcPr>
          <w:p w14:paraId="2402CF2C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2"/>
                <w:sz w:val="14"/>
                <w:szCs w:val="1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000000" w:themeColor="text1"/>
                <w:kern w:val="2"/>
                <w:sz w:val="14"/>
                <w:szCs w:val="1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20.03</w:t>
            </w:r>
          </w:p>
        </w:tc>
        <w:tc>
          <w:tcPr>
            <w:tcW w:w="877" w:type="pct"/>
            <w:shd w:val="clear" w:color="auto" w:fill="auto"/>
            <w:noWrap w:val="0"/>
            <w:vAlign w:val="center"/>
          </w:tcPr>
          <w:p w14:paraId="2205716D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1.76 (1.40, 2.20)</w:t>
            </w:r>
          </w:p>
        </w:tc>
        <w:tc>
          <w:tcPr>
            <w:tcW w:w="424" w:type="pct"/>
            <w:shd w:val="clear" w:color="auto" w:fill="auto"/>
            <w:noWrap w:val="0"/>
            <w:vAlign w:val="center"/>
          </w:tcPr>
          <w:p w14:paraId="24493C90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&lt; </w:t>
            </w: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</w:tr>
      <w:tr w14:paraId="57779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1" w:type="pct"/>
            <w:shd w:val="clear" w:color="auto" w:fill="auto"/>
            <w:noWrap w:val="0"/>
            <w:vAlign w:val="bottom"/>
          </w:tcPr>
          <w:p w14:paraId="01C28381">
            <w:pPr>
              <w:keepNext w:val="0"/>
              <w:keepLines w:val="0"/>
              <w:widowControl/>
              <w:suppressLineNumbers w:val="0"/>
              <w:ind w:firstLine="140" w:firstLineChars="10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Group 4</w:t>
            </w:r>
          </w:p>
        </w:tc>
        <w:tc>
          <w:tcPr>
            <w:tcW w:w="758" w:type="pct"/>
            <w:shd w:val="clear" w:color="auto" w:fill="auto"/>
            <w:noWrap w:val="0"/>
            <w:vAlign w:val="bottom"/>
          </w:tcPr>
          <w:p w14:paraId="01C132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  <w:t>21.1</w:t>
            </w:r>
            <w:r>
              <w:rPr>
                <w:rFonts w:hint="eastAsia" w:ascii="Arial" w:hAnsi="Arial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  <w:t>4</w:t>
            </w:r>
          </w:p>
        </w:tc>
        <w:tc>
          <w:tcPr>
            <w:tcW w:w="922" w:type="pct"/>
            <w:shd w:val="clear" w:color="auto" w:fill="auto"/>
            <w:noWrap w:val="0"/>
            <w:vAlign w:val="bottom"/>
          </w:tcPr>
          <w:p w14:paraId="18CEAE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  <w:t>1.92 (1.61, 2.29)</w:t>
            </w:r>
          </w:p>
        </w:tc>
        <w:tc>
          <w:tcPr>
            <w:tcW w:w="490" w:type="pct"/>
            <w:shd w:val="clear" w:color="auto" w:fill="auto"/>
            <w:noWrap w:val="0"/>
            <w:vAlign w:val="bottom"/>
          </w:tcPr>
          <w:p w14:paraId="484D54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2"/>
                <w:sz w:val="14"/>
                <w:szCs w:val="14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&lt; 0.001</w:t>
            </w:r>
          </w:p>
        </w:tc>
        <w:tc>
          <w:tcPr>
            <w:tcW w:w="755" w:type="pct"/>
            <w:shd w:val="clear" w:color="auto" w:fill="auto"/>
            <w:noWrap w:val="0"/>
            <w:vAlign w:val="center"/>
          </w:tcPr>
          <w:p w14:paraId="5687ACA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2"/>
                <w:sz w:val="14"/>
                <w:szCs w:val="1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000000" w:themeColor="text1"/>
                <w:kern w:val="2"/>
                <w:sz w:val="14"/>
                <w:szCs w:val="1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21.02</w:t>
            </w:r>
          </w:p>
        </w:tc>
        <w:tc>
          <w:tcPr>
            <w:tcW w:w="877" w:type="pct"/>
            <w:shd w:val="clear" w:color="auto" w:fill="auto"/>
            <w:noWrap w:val="0"/>
            <w:vAlign w:val="center"/>
          </w:tcPr>
          <w:p w14:paraId="7E350DBA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1.85 (1.56, 2.20)</w:t>
            </w:r>
          </w:p>
        </w:tc>
        <w:tc>
          <w:tcPr>
            <w:tcW w:w="424" w:type="pct"/>
            <w:shd w:val="clear" w:color="auto" w:fill="auto"/>
            <w:noWrap w:val="0"/>
            <w:vAlign w:val="center"/>
          </w:tcPr>
          <w:p w14:paraId="4060F3C3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&lt; </w:t>
            </w: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</w:tr>
      <w:tr w14:paraId="22D39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1" w:type="pct"/>
            <w:tcBorders>
              <w:bottom w:val="single" w:color="auto" w:sz="12" w:space="0"/>
            </w:tcBorders>
            <w:noWrap/>
            <w:vAlign w:val="center"/>
          </w:tcPr>
          <w:p w14:paraId="0A905D8C">
            <w:pPr>
              <w:widowControl/>
              <w:ind w:firstLine="140" w:firstLineChars="100"/>
              <w:jc w:val="left"/>
              <w:textAlignment w:val="center"/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val="en-U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i/>
                <w:iCs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 for trend</w:t>
            </w:r>
          </w:p>
        </w:tc>
        <w:tc>
          <w:tcPr>
            <w:tcW w:w="758" w:type="pct"/>
            <w:tcBorders>
              <w:bottom w:val="single" w:color="auto" w:sz="12" w:space="0"/>
            </w:tcBorders>
            <w:noWrap/>
            <w:vAlign w:val="center"/>
          </w:tcPr>
          <w:p w14:paraId="0D2345C8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pct"/>
            <w:tcBorders>
              <w:bottom w:val="single" w:color="auto" w:sz="12" w:space="0"/>
            </w:tcBorders>
            <w:shd w:val="clear" w:color="auto" w:fill="auto"/>
            <w:noWrap/>
            <w:vAlign w:val="bottom"/>
          </w:tcPr>
          <w:p w14:paraId="1E87F8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2"/>
                <w:sz w:val="14"/>
                <w:szCs w:val="1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Borders>
              <w:bottom w:val="single" w:color="auto" w:sz="12" w:space="0"/>
            </w:tcBorders>
            <w:shd w:val="clear" w:color="auto" w:fill="auto"/>
            <w:noWrap/>
            <w:vAlign w:val="bottom"/>
          </w:tcPr>
          <w:p w14:paraId="363F6E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2"/>
                <w:sz w:val="14"/>
                <w:szCs w:val="1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14"/>
                <w:szCs w:val="1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&lt; </w:t>
            </w: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0"/>
                <w:sz w:val="14"/>
                <w:szCs w:val="1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  <w:tc>
          <w:tcPr>
            <w:tcW w:w="755" w:type="pct"/>
            <w:tcBorders>
              <w:bottom w:val="single" w:color="auto" w:sz="12" w:space="0"/>
            </w:tcBorders>
            <w:shd w:val="clear" w:color="auto" w:fill="auto"/>
            <w:noWrap/>
            <w:vAlign w:val="bottom"/>
          </w:tcPr>
          <w:p w14:paraId="5FB691A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 w:themeColor="text1"/>
                <w:kern w:val="2"/>
                <w:sz w:val="14"/>
                <w:szCs w:val="14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77" w:type="pct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2BFACEB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24" w:type="pct"/>
            <w:tcBorders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1715132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 w:themeColor="text1"/>
                <w:kern w:val="0"/>
                <w:sz w:val="14"/>
                <w:szCs w:val="1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&lt; </w:t>
            </w:r>
            <w:r>
              <w:rPr>
                <w:rFonts w:hint="default" w:ascii="Arial" w:hAnsi="Arial" w:cs="Arial"/>
                <w:color w:val="000000" w:themeColor="text1"/>
                <w:kern w:val="0"/>
                <w:sz w:val="14"/>
                <w:szCs w:val="14"/>
                <w:lang w:bidi="ar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</w:tr>
    </w:tbl>
    <w:p w14:paraId="73E41115">
      <w:pPr>
        <w:rPr>
          <w:rFonts w:hint="default" w:ascii="Arial" w:hAnsi="Arial" w:cs="Arial"/>
          <w:b w:val="0"/>
          <w:bCs w:val="0"/>
          <w:color w:val="000000" w:themeColor="text1"/>
          <w:sz w:val="12"/>
          <w:szCs w:val="1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A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nalyses were adjusted for age, gender, smoking status, drinking status, education level, marital status, residence, SBP, DBP,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TC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,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HDL-C, LDL-C, hs-CRP,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chronic diseases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 (including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hypertension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,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dyslipidemia, depression,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and cancer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), as well as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medication use (antihypertensive, antidiabetic, antidyslipidemic,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and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cardiovascular medications)</w:t>
      </w:r>
    </w:p>
    <w:p w14:paraId="65BABE60">
      <w:pP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Group 1 refers to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low 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and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low BMR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; Group 2 refers to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low 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and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high BMR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; Group 3 refers to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high 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and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low BMR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; Group 4 refers to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 high 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and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high BMR.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insulin resistance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,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BMR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 basal metabolic rate,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TyG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triglyceride-glucose,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eGDR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e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stimate glucose disposal rate,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METS-IR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metabolic score for insulin resistance, </w:t>
      </w:r>
      <w:r>
        <w:rPr>
          <w:rFonts w:hint="default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HR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hazard ratio, </w:t>
      </w:r>
      <w:r>
        <w:rPr>
          <w:rFonts w:hint="default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CI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confidence interval</w:t>
      </w:r>
    </w:p>
    <w:p w14:paraId="1456AF31">
      <w:pPr>
        <w:numPr>
          <w:ilvl w:val="0"/>
          <w:numId w:val="0"/>
        </w:numP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color="auto" w:fill="FDFDF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宋体" w:cs="Arial"/>
          <w:b/>
          <w:bCs/>
          <w:i w:val="0"/>
          <w:iCs w:val="0"/>
          <w:color w:val="000000" w:themeColor="text1"/>
          <w:spacing w:val="0"/>
          <w:sz w:val="12"/>
          <w:szCs w:val="12"/>
          <w:shd w:val="clear" w:color="auto" w:fill="FDFDFE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a</w:t>
      </w:r>
      <w: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color="auto" w:fill="FDFDFE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color="auto" w:fill="FDFDFE"/>
          <w:lang w:val="en-US" w:eastAsia="zh-CN"/>
          <w14:textFill>
            <w14:solidFill>
              <w14:schemeClr w14:val="tx1"/>
            </w14:solidFill>
          </w14:textFill>
        </w:rPr>
        <w:t>Incident rate was presented as per 1000 person-years of follow-up</w:t>
      </w:r>
    </w:p>
    <w:p w14:paraId="2D78C87A">
      <w:pPr>
        <w:rPr>
          <w:rFonts w:hint="default" w:ascii="Arial" w:hAnsi="Arial" w:eastAsia="Segoe UI" w:cs="Arial"/>
          <w:i w:val="0"/>
          <w:iCs w:val="0"/>
          <w:caps w:val="0"/>
          <w:spacing w:val="0"/>
          <w:sz w:val="12"/>
          <w:szCs w:val="12"/>
          <w:shd w:val="clear" w:color="auto" w:fill="FFFFFF"/>
          <w:lang w:val="en-US" w:eastAsia="zh-CN"/>
        </w:rPr>
      </w:pPr>
      <w:r>
        <w:rPr>
          <w:rFonts w:hint="default" w:ascii="Arial" w:hAnsi="Arial" w:eastAsia="Segoe UI" w:cs="Arial"/>
          <w:i w:val="0"/>
          <w:iCs w:val="0"/>
          <w:caps w:val="0"/>
          <w:spacing w:val="0"/>
          <w:sz w:val="12"/>
          <w:szCs w:val="12"/>
          <w:shd w:val="clear" w:color="auto" w:fill="FFFFFF"/>
          <w:lang w:val="en-US" w:eastAsia="zh-CN"/>
        </w:rPr>
        <w:t xml:space="preserve">Sensitivity analysis 1 was performed among </w:t>
      </w:r>
      <w:r>
        <w:rPr>
          <w:rFonts w:hint="eastAsia" w:ascii="Arial" w:hAnsi="Arial" w:eastAsia="Segoe UI" w:cs="Arial"/>
          <w:i w:val="0"/>
          <w:iCs w:val="0"/>
          <w:caps w:val="0"/>
          <w:spacing w:val="0"/>
          <w:sz w:val="12"/>
          <w:szCs w:val="12"/>
          <w:shd w:val="clear" w:color="auto" w:fill="FFFFFF"/>
          <w:lang w:val="en-US" w:eastAsia="zh-CN"/>
        </w:rPr>
        <w:t>6,974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12"/>
          <w:szCs w:val="12"/>
          <w:shd w:val="clear" w:color="auto" w:fill="FFFFFF"/>
          <w:lang w:val="en-US" w:eastAsia="zh-CN"/>
        </w:rPr>
        <w:t xml:space="preserve"> participants without any missing data; sensitivity analysis 2 w</w:t>
      </w:r>
      <w:r>
        <w:rPr>
          <w:rFonts w:hint="eastAsia" w:ascii="Arial" w:hAnsi="Arial" w:eastAsia="Segoe UI" w:cs="Arial"/>
          <w:i w:val="0"/>
          <w:iCs w:val="0"/>
          <w:caps w:val="0"/>
          <w:spacing w:val="0"/>
          <w:sz w:val="12"/>
          <w:szCs w:val="12"/>
          <w:shd w:val="clear" w:color="auto" w:fill="FFFFFF"/>
          <w:lang w:val="en-US" w:eastAsia="zh-CN"/>
        </w:rPr>
        <w:t>as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12"/>
          <w:szCs w:val="12"/>
          <w:shd w:val="clear" w:color="auto" w:fill="FFFFFF"/>
          <w:lang w:val="en-US" w:eastAsia="zh-CN"/>
        </w:rPr>
        <w:t xml:space="preserve"> performed using multiple imputed analyses (5 iterations) by Markov chain Monte Carlo method</w:t>
      </w:r>
    </w:p>
    <w:p w14:paraId="3AC670FE">
      <w:pPr>
        <w:rPr>
          <w:rFonts w:hint="default" w:ascii="Arial" w:hAnsi="Arial" w:eastAsia="Segoe UI" w:cs="Arial"/>
          <w:i w:val="0"/>
          <w:iCs w:val="0"/>
          <w:caps w:val="0"/>
          <w:spacing w:val="0"/>
          <w:sz w:val="12"/>
          <w:szCs w:val="12"/>
          <w:shd w:val="clear" w:color="auto" w:fill="FFFFFF"/>
          <w:lang w:val="en-US" w:eastAsia="zh-CN"/>
        </w:rPr>
      </w:pPr>
    </w:p>
    <w:p w14:paraId="6A21F41A">
      <w:pPr>
        <w:rPr>
          <w:rFonts w:hint="default" w:ascii="Arial" w:hAnsi="Arial" w:eastAsia="Segoe UI" w:cs="Arial"/>
          <w:i w:val="0"/>
          <w:iCs w:val="0"/>
          <w:caps w:val="0"/>
          <w:spacing w:val="0"/>
          <w:sz w:val="12"/>
          <w:szCs w:val="12"/>
          <w:shd w:val="clear" w:color="auto" w:fill="FFFFFF"/>
          <w:lang w:val="en-US" w:eastAsia="zh-CN"/>
        </w:rPr>
      </w:pPr>
    </w:p>
    <w:p w14:paraId="7107111A">
      <w:r>
        <w:rPr>
          <w:rFonts w:hint="default" w:ascii="Arial" w:hAnsi="Arial" w:cs="Arial"/>
          <w:b/>
          <w:bCs/>
          <w:i w:val="0"/>
          <w:iCs w:val="0"/>
          <w:color w:val="000000"/>
          <w:sz w:val="14"/>
          <w:szCs w:val="14"/>
          <w:u w:val="none"/>
          <w:lang w:val="en-US" w:eastAsia="zh-CN"/>
        </w:rPr>
        <w:t xml:space="preserve">Table </w:t>
      </w:r>
      <w:r>
        <w:rPr>
          <w:rFonts w:hint="eastAsia" w:ascii="Arial" w:hAnsi="Arial" w:cs="Arial"/>
          <w:b/>
          <w:bCs/>
          <w:i w:val="0"/>
          <w:iCs w:val="0"/>
          <w:color w:val="000000"/>
          <w:sz w:val="14"/>
          <w:szCs w:val="14"/>
          <w:u w:val="none"/>
          <w:lang w:val="en-US" w:eastAsia="zh-CN"/>
        </w:rPr>
        <w:t xml:space="preserve">S18  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14"/>
          <w:szCs w:val="14"/>
          <w:shd w:val="clear" w:fill="FFFFFF"/>
        </w:rPr>
        <w:t>Sensitivity analys</w:t>
      </w:r>
      <w:r>
        <w:rPr>
          <w:rFonts w:hint="eastAsia" w:ascii="Arial" w:hAnsi="Arial" w:cs="Arial"/>
          <w:i w:val="0"/>
          <w:iCs w:val="0"/>
          <w:caps w:val="0"/>
          <w:spacing w:val="0"/>
          <w:sz w:val="14"/>
          <w:szCs w:val="14"/>
          <w:shd w:val="clear" w:fill="FFFFFF"/>
          <w:lang w:val="en-US" w:eastAsia="zh-CN"/>
        </w:rPr>
        <w:t>e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14"/>
          <w:szCs w:val="14"/>
          <w:shd w:val="clear" w:fill="FFFFFF"/>
        </w:rPr>
        <w:t xml:space="preserve">s of </w:t>
      </w:r>
      <w:r>
        <w:rPr>
          <w:rFonts w:hint="default" w:ascii="Arial" w:hAnsi="Arial" w:eastAsia="宋体" w:cs="Arial"/>
          <w:color w:val="000000" w:themeColor="text1"/>
          <w:sz w:val="14"/>
          <w:szCs w:val="14"/>
          <w14:textFill>
            <w14:solidFill>
              <w14:schemeClr w14:val="tx1"/>
            </w14:solidFill>
          </w14:textFill>
        </w:rPr>
        <w:t xml:space="preserve">the joint effects of </w:t>
      </w:r>
      <w:r>
        <w:rPr>
          <w:rFonts w:hint="eastAsia" w:ascii="Arial" w:hAnsi="Arial" w:eastAsia="宋体" w:cs="Arial"/>
          <w:color w:val="000000" w:themeColor="text1"/>
          <w:sz w:val="14"/>
          <w:szCs w:val="14"/>
          <w:lang w:val="en-US" w:eastAsia="zh-CN"/>
          <w14:textFill>
            <w14:solidFill>
              <w14:schemeClr w14:val="tx1"/>
            </w14:solidFill>
          </w14:textFill>
        </w:rPr>
        <w:t>i</w:t>
      </w:r>
      <w:r>
        <w:rPr>
          <w:rFonts w:hint="eastAsia" w:ascii="Arial" w:hAnsi="Arial" w:eastAsia="宋体" w:cs="Arial"/>
          <w:color w:val="000000" w:themeColor="text1"/>
          <w:sz w:val="14"/>
          <w:szCs w:val="14"/>
          <w:lang w:eastAsia="zh-CN"/>
          <w14:textFill>
            <w14:solidFill>
              <w14:schemeClr w14:val="tx1"/>
            </w14:solidFill>
          </w14:textFill>
        </w:rPr>
        <w:t>nsulin</w:t>
      </w:r>
      <w:r>
        <w:rPr>
          <w:rFonts w:hint="eastAsia" w:ascii="Arial" w:hAnsi="Arial" w:cs="Arial"/>
          <w:color w:val="000000" w:themeColor="text1"/>
          <w:sz w:val="14"/>
          <w:szCs w:val="1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eastAsia="Segoe UI" w:cs="Arial"/>
          <w:b w:val="0"/>
          <w:bCs w:val="0"/>
          <w:i w:val="0"/>
          <w:iCs w:val="0"/>
          <w:caps w:val="0"/>
          <w:color w:val="0F1115"/>
          <w:spacing w:val="0"/>
          <w:sz w:val="14"/>
          <w:szCs w:val="14"/>
          <w:shd w:val="clear" w:fill="FFFFFF"/>
        </w:rPr>
        <w:t>resistance surrogate indices and basal metabolic rate</w:t>
      </w:r>
      <w:r>
        <w:rPr>
          <w:rFonts w:hint="default" w:ascii="Arial" w:hAnsi="Arial" w:eastAsia="宋体" w:cs="Arial"/>
          <w:color w:val="000000" w:themeColor="text1"/>
          <w:sz w:val="14"/>
          <w:szCs w:val="14"/>
          <w14:textFill>
            <w14:solidFill>
              <w14:schemeClr w14:val="tx1"/>
            </w14:solidFill>
          </w14:textFill>
        </w:rPr>
        <w:t xml:space="preserve"> on the risk</w:t>
      </w:r>
      <w:r>
        <w:rPr>
          <w:rFonts w:hint="eastAsia" w:ascii="Arial" w:hAnsi="Arial" w:eastAsia="宋体" w:cs="Arial"/>
          <w:color w:val="000000" w:themeColor="text1"/>
          <w:sz w:val="14"/>
          <w:szCs w:val="1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Arial" w:hAnsi="Arial" w:eastAsia="宋体" w:cs="Arial"/>
          <w:color w:val="000000" w:themeColor="text1"/>
          <w:sz w:val="14"/>
          <w:szCs w:val="14"/>
          <w14:textFill>
            <w14:solidFill>
              <w14:schemeClr w14:val="tx1"/>
            </w14:solidFill>
          </w14:textFill>
        </w:rPr>
        <w:t xml:space="preserve"> of developing</w:t>
      </w:r>
      <w:r>
        <w:rPr>
          <w:rFonts w:hint="eastAsia" w:ascii="Arial" w:hAnsi="Arial" w:cs="Arial"/>
          <w:i w:val="0"/>
          <w:iCs w:val="0"/>
          <w:caps w:val="0"/>
          <w:color w:val="000000"/>
          <w:spacing w:val="0"/>
          <w:sz w:val="14"/>
          <w:szCs w:val="14"/>
          <w:shd w:val="clear" w:color="auto" w:fill="FDFDFE"/>
          <w:lang w:val="en-US" w:eastAsia="zh-CN"/>
        </w:rPr>
        <w:t xml:space="preserve"> </w:t>
      </w:r>
      <w:r>
        <w:rPr>
          <w:rFonts w:hint="default" w:ascii="Arial" w:hAnsi="Arial" w:eastAsia="Segoe UI" w:cs="Arial"/>
          <w:i w:val="0"/>
          <w:iCs w:val="0"/>
          <w:caps w:val="0"/>
          <w:color w:val="000000"/>
          <w:spacing w:val="0"/>
          <w:sz w:val="14"/>
          <w:szCs w:val="14"/>
          <w:shd w:val="clear" w:color="auto" w:fill="FDFDFE"/>
        </w:rPr>
        <w:t>CMM</w:t>
      </w:r>
      <w:r>
        <w:rPr>
          <w:rFonts w:hint="eastAsia" w:ascii="Arial" w:hAnsi="Arial" w:cs="Arial"/>
          <w:b w:val="0"/>
          <w:bCs w:val="0"/>
          <w:i w:val="0"/>
          <w:iCs w:val="0"/>
          <w:color w:val="000000"/>
          <w:sz w:val="14"/>
          <w:szCs w:val="14"/>
          <w:u w:val="none"/>
          <w:lang w:val="en-US" w:eastAsia="zh-CN"/>
        </w:rPr>
        <w:t xml:space="preserve"> in </w:t>
      </w:r>
      <w:r>
        <w:rPr>
          <w:rFonts w:hint="default" w:ascii="Arial" w:hAnsi="Arial" w:eastAsia="宋体" w:cs="Arial"/>
          <w:i w:val="0"/>
          <w:iCs w:val="0"/>
          <w:caps w:val="0"/>
          <w:color w:val="000000"/>
          <w:spacing w:val="0"/>
          <w:sz w:val="14"/>
          <w:szCs w:val="14"/>
          <w:shd w:val="clear" w:color="auto" w:fill="FDFDFE"/>
          <w:lang w:val="en-US" w:eastAsia="zh-CN"/>
        </w:rPr>
        <w:t xml:space="preserve">participants </w:t>
      </w:r>
      <w:r>
        <w:rPr>
          <w:rFonts w:hint="eastAsia" w:ascii="Arial" w:hAnsi="Arial" w:cs="Arial"/>
          <w:i w:val="0"/>
          <w:iCs w:val="0"/>
          <w:caps w:val="0"/>
          <w:color w:val="000000"/>
          <w:spacing w:val="0"/>
          <w:sz w:val="14"/>
          <w:szCs w:val="14"/>
          <w:shd w:val="clear" w:color="auto" w:fill="FFFFFF"/>
          <w:lang w:val="en-US" w:eastAsia="zh-CN"/>
        </w:rPr>
        <w:t>who were not receiving treatment for diabetes, hypertension, dyslipidemia, heart disease, or stroke at baseline</w:t>
      </w:r>
      <w:r>
        <w:rPr>
          <w:rFonts w:hint="eastAsia" w:ascii="Arial" w:hAnsi="Arial" w:cs="Arial"/>
          <w:i w:val="0"/>
          <w:iCs w:val="0"/>
          <w:caps w:val="0"/>
          <w:color w:val="000000"/>
          <w:spacing w:val="0"/>
          <w:sz w:val="14"/>
          <w:szCs w:val="14"/>
          <w:shd w:val="clear" w:color="auto" w:fill="FDFDFE"/>
          <w:lang w:val="en-US" w:eastAsia="zh-CN"/>
        </w:rPr>
        <w:t xml:space="preserve"> (</w:t>
      </w:r>
      <w:r>
        <w:rPr>
          <w:rFonts w:hint="eastAsia" w:ascii="Arial" w:hAnsi="Arial" w:eastAsia="宋体" w:cs="Arial"/>
          <w:i/>
          <w:iCs/>
          <w:color w:val="000000"/>
          <w:sz w:val="13"/>
          <w:szCs w:val="13"/>
          <w:lang w:val="en-US" w:eastAsia="zh-CN"/>
        </w:rPr>
        <w:t>N</w:t>
      </w:r>
      <w:r>
        <w:rPr>
          <w:rFonts w:hint="eastAsia" w:ascii="Arial" w:hAnsi="Arial" w:eastAsia="宋体" w:cs="Arial"/>
          <w:color w:val="000000"/>
          <w:sz w:val="13"/>
          <w:szCs w:val="13"/>
          <w:lang w:val="en-US" w:eastAsia="zh-CN"/>
        </w:rPr>
        <w:t>=</w:t>
      </w:r>
      <w:r>
        <w:rPr>
          <w:rFonts w:hint="eastAsia" w:ascii="Arial" w:hAnsi="Arial" w:cs="Arial"/>
          <w:color w:val="000000"/>
          <w:sz w:val="13"/>
          <w:szCs w:val="13"/>
          <w:lang w:val="en-US" w:eastAsia="zh-CN"/>
        </w:rPr>
        <w:t>5,439</w:t>
      </w:r>
      <w:r>
        <w:rPr>
          <w:rFonts w:hint="default" w:ascii="Arial" w:hAnsi="Arial" w:cs="Arial"/>
          <w:b w:val="0"/>
          <w:bCs w:val="0"/>
          <w:i w:val="0"/>
          <w:iCs w:val="0"/>
          <w:color w:val="000000"/>
          <w:sz w:val="14"/>
          <w:szCs w:val="14"/>
          <w:u w:val="none"/>
          <w:lang w:val="en-US" w:eastAsia="zh-CN"/>
        </w:rPr>
        <w:t>)</w:t>
      </w:r>
    </w:p>
    <w:tbl>
      <w:tblPr>
        <w:tblStyle w:val="2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9"/>
        <w:gridCol w:w="1220"/>
        <w:gridCol w:w="1201"/>
        <w:gridCol w:w="874"/>
        <w:gridCol w:w="1196"/>
        <w:gridCol w:w="896"/>
        <w:gridCol w:w="1221"/>
        <w:gridCol w:w="790"/>
      </w:tblGrid>
      <w:tr w14:paraId="3DCA4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56" w:type="pct"/>
            <w:vMerge w:val="restart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2E2D75A1">
            <w:pPr>
              <w:jc w:val="left"/>
              <w:rPr>
                <w:rFonts w:hint="default"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2"/>
                <w:szCs w:val="12"/>
                <w:shd w:val="clear" w:color="auto" w:fill="FDFDFE"/>
                <w:lang w:val="en-US" w:eastAsia="zh-CN"/>
              </w:rPr>
              <w:t>S</w:t>
            </w:r>
            <w:r>
              <w:rPr>
                <w:rFonts w:hint="default" w:ascii="Arial" w:hAnsi="Arial" w:eastAsia="Segoe UI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2"/>
                <w:szCs w:val="12"/>
                <w:shd w:val="clear" w:color="auto" w:fill="FDFDFE"/>
              </w:rPr>
              <w:t>ubgroup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2"/>
                <w:szCs w:val="12"/>
                <w:shd w:val="clear" w:color="auto" w:fill="FDFDFE"/>
                <w:lang w:val="en-US" w:eastAsia="zh-CN"/>
              </w:rPr>
              <w:t>s</w:t>
            </w:r>
          </w:p>
        </w:tc>
        <w:tc>
          <w:tcPr>
            <w:tcW w:w="716" w:type="pct"/>
            <w:vMerge w:val="restart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21315C48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Incidence rate</w:t>
            </w:r>
            <w:r>
              <w:rPr>
                <w:rFonts w:hint="eastAsia" w:ascii="Arial" w:hAnsi="Arial" w:cs="Arial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1218" w:type="pct"/>
            <w:gridSpan w:val="2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49FDA43F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color w:val="000000"/>
                <w:sz w:val="12"/>
                <w:szCs w:val="12"/>
                <w:lang w:eastAsia="zh-CN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 xml:space="preserve">Model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>I</w:t>
            </w:r>
          </w:p>
        </w:tc>
        <w:tc>
          <w:tcPr>
            <w:tcW w:w="1228" w:type="pct"/>
            <w:gridSpan w:val="2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1B879F7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color w:val="000000"/>
                <w:sz w:val="12"/>
                <w:szCs w:val="12"/>
                <w:lang w:val="en-US" w:eastAsia="zh-CN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 xml:space="preserve">Model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>II</w:t>
            </w:r>
          </w:p>
        </w:tc>
        <w:tc>
          <w:tcPr>
            <w:tcW w:w="1180" w:type="pct"/>
            <w:gridSpan w:val="2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7C38E7BB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color w:val="000000"/>
                <w:sz w:val="12"/>
                <w:szCs w:val="12"/>
                <w:lang w:val="en-US" w:eastAsia="zh-CN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 xml:space="preserve">Model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>III</w:t>
            </w:r>
          </w:p>
        </w:tc>
      </w:tr>
      <w:tr w14:paraId="6DA83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56" w:type="pct"/>
            <w:vMerge w:val="continue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71921AE2">
            <w:pPr>
              <w:jc w:val="left"/>
              <w:rPr>
                <w:rFonts w:hint="default" w:ascii="Arial" w:hAnsi="Arial"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716" w:type="pct"/>
            <w:vMerge w:val="continue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5B533DC8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</w:pPr>
          </w:p>
        </w:tc>
        <w:tc>
          <w:tcPr>
            <w:tcW w:w="705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1B12345A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>H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R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(95%</w:t>
            </w: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CI)</w:t>
            </w:r>
          </w:p>
        </w:tc>
        <w:tc>
          <w:tcPr>
            <w:tcW w:w="513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3CF3EE25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bidi="ar"/>
              </w:rPr>
            </w:pPr>
            <w:r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bidi="ar"/>
              </w:rPr>
              <w:t xml:space="preserve">P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value</w:t>
            </w:r>
          </w:p>
        </w:tc>
        <w:tc>
          <w:tcPr>
            <w:tcW w:w="702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736E9AD9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>H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R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(95%</w:t>
            </w: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CI)</w:t>
            </w:r>
          </w:p>
        </w:tc>
        <w:tc>
          <w:tcPr>
            <w:tcW w:w="526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7ECD56A8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bidi="ar"/>
              </w:rPr>
            </w:pPr>
            <w:r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bidi="ar"/>
              </w:rPr>
              <w:t xml:space="preserve">P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value</w:t>
            </w:r>
          </w:p>
        </w:tc>
        <w:tc>
          <w:tcPr>
            <w:tcW w:w="716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4833118F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>H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R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(95%</w:t>
            </w: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CI)</w:t>
            </w:r>
          </w:p>
        </w:tc>
        <w:tc>
          <w:tcPr>
            <w:tcW w:w="463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22F0DDCF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bidi="ar"/>
              </w:rPr>
            </w:pPr>
            <w:r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bidi="ar"/>
              </w:rPr>
              <w:t>P</w:t>
            </w:r>
            <w:r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value</w:t>
            </w:r>
          </w:p>
        </w:tc>
      </w:tr>
      <w:tr w14:paraId="78F3F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8"/>
            <w:tcBorders>
              <w:top w:val="single" w:color="auto" w:sz="8" w:space="0"/>
              <w:tl2br w:val="nil"/>
              <w:tr2bl w:val="nil"/>
            </w:tcBorders>
            <w:noWrap/>
            <w:vAlign w:val="center"/>
          </w:tcPr>
          <w:p w14:paraId="38DAF1CA">
            <w:pPr>
              <w:jc w:val="left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TyG and BMR</w:t>
            </w:r>
          </w:p>
        </w:tc>
      </w:tr>
      <w:tr w14:paraId="02171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0BF3FE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1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2903FAC3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6.63</w:t>
            </w:r>
          </w:p>
        </w:tc>
        <w:tc>
          <w:tcPr>
            <w:tcW w:w="705" w:type="pct"/>
            <w:tcBorders>
              <w:tl2br w:val="nil"/>
              <w:tr2bl w:val="nil"/>
            </w:tcBorders>
            <w:noWrap/>
            <w:vAlign w:val="center"/>
          </w:tcPr>
          <w:p w14:paraId="60CE7D6F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590E0250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  <w:tc>
          <w:tcPr>
            <w:tcW w:w="702" w:type="pct"/>
            <w:tcBorders>
              <w:tl2br w:val="nil"/>
              <w:tr2bl w:val="nil"/>
            </w:tcBorders>
            <w:noWrap/>
            <w:vAlign w:val="center"/>
          </w:tcPr>
          <w:p w14:paraId="25994CF3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26" w:type="pct"/>
            <w:tcBorders>
              <w:tl2br w:val="nil"/>
              <w:tr2bl w:val="nil"/>
            </w:tcBorders>
            <w:noWrap/>
            <w:vAlign w:val="center"/>
          </w:tcPr>
          <w:p w14:paraId="26BABD27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21043BAF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463" w:type="pct"/>
            <w:tcBorders>
              <w:tl2br w:val="nil"/>
              <w:tr2bl w:val="nil"/>
            </w:tcBorders>
            <w:noWrap/>
            <w:vAlign w:val="center"/>
          </w:tcPr>
          <w:p w14:paraId="1817A425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</w:tr>
      <w:tr w14:paraId="3CD0C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422095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2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4CFC72C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9.61</w:t>
            </w:r>
          </w:p>
        </w:tc>
        <w:tc>
          <w:tcPr>
            <w:tcW w:w="7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B3555A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1.47 (1.14, 1.91)</w:t>
            </w: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3482FE0E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0.004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01884E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1.73 (1.33, 2.26)</w:t>
            </w:r>
          </w:p>
        </w:tc>
        <w:tc>
          <w:tcPr>
            <w:tcW w:w="52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86C579">
            <w:pPr>
              <w:widowControl/>
              <w:jc w:val="left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D10887F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1.62 (1.23, 2.12)</w:t>
            </w:r>
          </w:p>
        </w:tc>
        <w:tc>
          <w:tcPr>
            <w:tcW w:w="4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37D0BE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3F3EC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EA8ADA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3</w:t>
            </w:r>
          </w:p>
        </w:tc>
        <w:tc>
          <w:tcPr>
            <w:tcW w:w="7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F88012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12.73</w:t>
            </w:r>
          </w:p>
        </w:tc>
        <w:tc>
          <w:tcPr>
            <w:tcW w:w="7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EB71EF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1.98 (1.56, 2.53)</w:t>
            </w: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132AEDD9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FFE42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1.97 (1.54, 2.51)</w:t>
            </w:r>
          </w:p>
        </w:tc>
        <w:tc>
          <w:tcPr>
            <w:tcW w:w="52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F7D32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649D62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1.70 (1.30, 2.22)</w:t>
            </w:r>
          </w:p>
        </w:tc>
        <w:tc>
          <w:tcPr>
            <w:tcW w:w="4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56369D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24462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AC0ECC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4</w:t>
            </w:r>
          </w:p>
        </w:tc>
        <w:tc>
          <w:tcPr>
            <w:tcW w:w="7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AADCBD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15.02</w:t>
            </w:r>
          </w:p>
        </w:tc>
        <w:tc>
          <w:tcPr>
            <w:tcW w:w="7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207E6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2.37 (1.90, 2.97)</w:t>
            </w: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370D9F46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DD6094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2.74 (2.18, 3.45)</w:t>
            </w:r>
          </w:p>
        </w:tc>
        <w:tc>
          <w:tcPr>
            <w:tcW w:w="52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5330F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B9D6F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2.22 (1.69, 2.90)</w:t>
            </w:r>
          </w:p>
        </w:tc>
        <w:tc>
          <w:tcPr>
            <w:tcW w:w="4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2376B4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61EA9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noWrap/>
            <w:vAlign w:val="center"/>
          </w:tcPr>
          <w:p w14:paraId="5E9EAEDC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bidi="ar"/>
              </w:rPr>
            </w:pPr>
            <w:r>
              <w:rPr>
                <w:rFonts w:hint="default" w:ascii="Arial" w:hAnsi="Arial" w:cs="Arial"/>
                <w:i/>
                <w:iCs/>
                <w:color w:val="000000"/>
                <w:kern w:val="0"/>
                <w:sz w:val="13"/>
                <w:szCs w:val="13"/>
                <w:lang w:bidi="ar"/>
              </w:rPr>
              <w:t>P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for trend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5FAC953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705" w:type="pct"/>
            <w:tcBorders>
              <w:tl2br w:val="nil"/>
              <w:tr2bl w:val="nil"/>
            </w:tcBorders>
            <w:noWrap/>
            <w:vAlign w:val="center"/>
          </w:tcPr>
          <w:p w14:paraId="0FDAB6D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1A53B6B0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tcBorders>
              <w:tl2br w:val="nil"/>
              <w:tr2bl w:val="nil"/>
            </w:tcBorders>
            <w:noWrap/>
            <w:vAlign w:val="center"/>
          </w:tcPr>
          <w:p w14:paraId="585F919A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526" w:type="pct"/>
            <w:tcBorders>
              <w:tl2br w:val="nil"/>
              <w:tr2bl w:val="nil"/>
            </w:tcBorders>
            <w:noWrap/>
            <w:vAlign w:val="center"/>
          </w:tcPr>
          <w:p w14:paraId="782B9725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22680B7D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463" w:type="pct"/>
            <w:tcBorders>
              <w:tl2br w:val="nil"/>
              <w:tr2bl w:val="nil"/>
            </w:tcBorders>
            <w:noWrap/>
            <w:vAlign w:val="center"/>
          </w:tcPr>
          <w:p w14:paraId="6A4CBBD5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6BBF9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8"/>
            <w:tcBorders>
              <w:tl2br w:val="nil"/>
              <w:tr2bl w:val="nil"/>
            </w:tcBorders>
            <w:noWrap/>
            <w:vAlign w:val="center"/>
          </w:tcPr>
          <w:p w14:paraId="3C64566C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eGDR and BMR</w:t>
            </w:r>
          </w:p>
        </w:tc>
      </w:tr>
      <w:tr w14:paraId="40E49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163DA1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1</w:t>
            </w:r>
          </w:p>
        </w:tc>
        <w:tc>
          <w:tcPr>
            <w:tcW w:w="7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4A21BF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7.17</w:t>
            </w:r>
          </w:p>
        </w:tc>
        <w:tc>
          <w:tcPr>
            <w:tcW w:w="705" w:type="pct"/>
            <w:tcBorders>
              <w:tl2br w:val="nil"/>
              <w:tr2bl w:val="nil"/>
            </w:tcBorders>
            <w:noWrap/>
            <w:vAlign w:val="center"/>
          </w:tcPr>
          <w:p w14:paraId="53DEE124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559020B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  <w:tc>
          <w:tcPr>
            <w:tcW w:w="702" w:type="pct"/>
            <w:tcBorders>
              <w:tl2br w:val="nil"/>
              <w:tr2bl w:val="nil"/>
            </w:tcBorders>
            <w:noWrap/>
            <w:vAlign w:val="center"/>
          </w:tcPr>
          <w:p w14:paraId="31D55112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26" w:type="pct"/>
            <w:tcBorders>
              <w:tl2br w:val="nil"/>
              <w:tr2bl w:val="nil"/>
            </w:tcBorders>
            <w:noWrap/>
            <w:vAlign w:val="center"/>
          </w:tcPr>
          <w:p w14:paraId="45FFA3C9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3408937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463" w:type="pct"/>
            <w:tcBorders>
              <w:tl2br w:val="nil"/>
              <w:tr2bl w:val="nil"/>
            </w:tcBorders>
            <w:noWrap/>
            <w:vAlign w:val="center"/>
          </w:tcPr>
          <w:p w14:paraId="154BE5BB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</w:tr>
      <w:tr w14:paraId="3D9C4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56" w:type="pct"/>
            <w:shd w:val="clear" w:color="auto" w:fill="auto"/>
            <w:noWrap w:val="0"/>
            <w:vAlign w:val="center"/>
          </w:tcPr>
          <w:p w14:paraId="46D83597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2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3E516BEA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7.43</w:t>
            </w:r>
          </w:p>
        </w:tc>
        <w:tc>
          <w:tcPr>
            <w:tcW w:w="705" w:type="pct"/>
            <w:shd w:val="clear" w:color="auto" w:fill="auto"/>
            <w:noWrap w:val="0"/>
            <w:vAlign w:val="center"/>
          </w:tcPr>
          <w:p w14:paraId="7DD57BDB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1.04 (0.79, 1.37)</w:t>
            </w:r>
          </w:p>
        </w:tc>
        <w:tc>
          <w:tcPr>
            <w:tcW w:w="513" w:type="pct"/>
            <w:noWrap w:val="0"/>
            <w:vAlign w:val="center"/>
          </w:tcPr>
          <w:p w14:paraId="2D1F7B0E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0.802</w:t>
            </w:r>
          </w:p>
        </w:tc>
        <w:tc>
          <w:tcPr>
            <w:tcW w:w="702" w:type="pct"/>
            <w:shd w:val="clear" w:color="auto" w:fill="auto"/>
            <w:noWrap w:val="0"/>
            <w:vAlign w:val="center"/>
          </w:tcPr>
          <w:p w14:paraId="4B4D18E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1.21 (0.91, 1.61)</w:t>
            </w:r>
          </w:p>
        </w:tc>
        <w:tc>
          <w:tcPr>
            <w:tcW w:w="526" w:type="pct"/>
            <w:noWrap w:val="0"/>
            <w:vAlign w:val="center"/>
          </w:tcPr>
          <w:p w14:paraId="2A7BAB6A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0.180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396C3963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1.19 (0.89, 1.58)</w:t>
            </w:r>
          </w:p>
        </w:tc>
        <w:tc>
          <w:tcPr>
            <w:tcW w:w="463" w:type="pct"/>
            <w:noWrap w:val="0"/>
            <w:vAlign w:val="center"/>
          </w:tcPr>
          <w:p w14:paraId="2C88A313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0.236</w:t>
            </w:r>
          </w:p>
        </w:tc>
      </w:tr>
      <w:tr w14:paraId="69917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shd w:val="clear" w:color="auto" w:fill="auto"/>
            <w:noWrap w:val="0"/>
            <w:vAlign w:val="center"/>
          </w:tcPr>
          <w:p w14:paraId="0E47530F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3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5CF2F15D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16.30</w:t>
            </w:r>
          </w:p>
        </w:tc>
        <w:tc>
          <w:tcPr>
            <w:tcW w:w="705" w:type="pct"/>
            <w:shd w:val="clear" w:color="auto" w:fill="auto"/>
            <w:noWrap w:val="0"/>
            <w:vAlign w:val="center"/>
          </w:tcPr>
          <w:p w14:paraId="579B5FF9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2.40 (1.86, 3.08)</w:t>
            </w:r>
          </w:p>
        </w:tc>
        <w:tc>
          <w:tcPr>
            <w:tcW w:w="513" w:type="pct"/>
            <w:noWrap w:val="0"/>
            <w:vAlign w:val="center"/>
          </w:tcPr>
          <w:p w14:paraId="64FE99D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shd w:val="clear" w:color="auto" w:fill="auto"/>
            <w:noWrap w:val="0"/>
            <w:vAlign w:val="center"/>
          </w:tcPr>
          <w:p w14:paraId="419FDA2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2.16 (1.68, 2.78)</w:t>
            </w:r>
          </w:p>
        </w:tc>
        <w:tc>
          <w:tcPr>
            <w:tcW w:w="526" w:type="pct"/>
            <w:noWrap w:val="0"/>
            <w:vAlign w:val="center"/>
          </w:tcPr>
          <w:p w14:paraId="7E3825CF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7D08C2CE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1.50 (1.11, 2.02)</w:t>
            </w:r>
          </w:p>
        </w:tc>
        <w:tc>
          <w:tcPr>
            <w:tcW w:w="463" w:type="pct"/>
            <w:noWrap w:val="0"/>
            <w:vAlign w:val="center"/>
          </w:tcPr>
          <w:p w14:paraId="66E5A2D0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0.008</w:t>
            </w:r>
          </w:p>
        </w:tc>
      </w:tr>
      <w:tr w14:paraId="16CE7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shd w:val="clear" w:color="auto" w:fill="auto"/>
            <w:noWrap w:val="0"/>
            <w:vAlign w:val="center"/>
          </w:tcPr>
          <w:p w14:paraId="1B861AF5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4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63CC74A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15.80</w:t>
            </w:r>
          </w:p>
        </w:tc>
        <w:tc>
          <w:tcPr>
            <w:tcW w:w="705" w:type="pct"/>
            <w:shd w:val="clear" w:color="auto" w:fill="auto"/>
            <w:noWrap w:val="0"/>
            <w:vAlign w:val="center"/>
          </w:tcPr>
          <w:p w14:paraId="5A3B941A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2.33 (1.91, 2.83)</w:t>
            </w:r>
          </w:p>
        </w:tc>
        <w:tc>
          <w:tcPr>
            <w:tcW w:w="513" w:type="pct"/>
            <w:noWrap w:val="0"/>
            <w:vAlign w:val="center"/>
          </w:tcPr>
          <w:p w14:paraId="5DBB1C8A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shd w:val="clear" w:color="auto" w:fill="auto"/>
            <w:noWrap w:val="0"/>
            <w:vAlign w:val="center"/>
          </w:tcPr>
          <w:p w14:paraId="37C9ED5E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2.54 (2.08, 3.10)</w:t>
            </w:r>
          </w:p>
        </w:tc>
        <w:tc>
          <w:tcPr>
            <w:tcW w:w="526" w:type="pct"/>
            <w:noWrap w:val="0"/>
            <w:vAlign w:val="center"/>
          </w:tcPr>
          <w:p w14:paraId="22C68BC8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4F72B23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1.93 (1.53, 2.43)</w:t>
            </w:r>
          </w:p>
        </w:tc>
        <w:tc>
          <w:tcPr>
            <w:tcW w:w="463" w:type="pct"/>
            <w:noWrap w:val="0"/>
            <w:vAlign w:val="center"/>
          </w:tcPr>
          <w:p w14:paraId="6D38FEDD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3A642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noWrap/>
            <w:vAlign w:val="center"/>
          </w:tcPr>
          <w:p w14:paraId="52E9BCD1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bidi="ar"/>
              </w:rPr>
            </w:pPr>
            <w:r>
              <w:rPr>
                <w:rFonts w:hint="default" w:ascii="Arial" w:hAnsi="Arial" w:cs="Arial"/>
                <w:i/>
                <w:iCs/>
                <w:color w:val="000000"/>
                <w:kern w:val="0"/>
                <w:sz w:val="13"/>
                <w:szCs w:val="13"/>
                <w:lang w:bidi="ar"/>
              </w:rPr>
              <w:t>P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for trend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3F013E8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705" w:type="pct"/>
            <w:tcBorders>
              <w:tl2br w:val="nil"/>
              <w:tr2bl w:val="nil"/>
            </w:tcBorders>
            <w:noWrap/>
            <w:vAlign w:val="center"/>
          </w:tcPr>
          <w:p w14:paraId="406C1FCD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6EDBCBB9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tcBorders>
              <w:tl2br w:val="nil"/>
              <w:tr2bl w:val="nil"/>
            </w:tcBorders>
            <w:noWrap/>
            <w:vAlign w:val="center"/>
          </w:tcPr>
          <w:p w14:paraId="2444C05E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526" w:type="pct"/>
            <w:tcBorders>
              <w:tl2br w:val="nil"/>
              <w:tr2bl w:val="nil"/>
            </w:tcBorders>
            <w:noWrap/>
            <w:vAlign w:val="center"/>
          </w:tcPr>
          <w:p w14:paraId="532C6960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2345848B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463" w:type="pct"/>
            <w:tcBorders>
              <w:tl2br w:val="nil"/>
              <w:tr2bl w:val="nil"/>
            </w:tcBorders>
            <w:noWrap/>
            <w:vAlign w:val="center"/>
          </w:tcPr>
          <w:p w14:paraId="376046DF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438A4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8"/>
            <w:noWrap w:val="0"/>
            <w:vAlign w:val="center"/>
          </w:tcPr>
          <w:p w14:paraId="713997F2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METS-IR and BMR</w:t>
            </w:r>
          </w:p>
        </w:tc>
      </w:tr>
      <w:tr w14:paraId="7E72E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noWrap w:val="0"/>
            <w:vAlign w:val="center"/>
          </w:tcPr>
          <w:p w14:paraId="3C5EB64B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1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15897CDC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7.79</w:t>
            </w:r>
          </w:p>
        </w:tc>
        <w:tc>
          <w:tcPr>
            <w:tcW w:w="705" w:type="pct"/>
            <w:noWrap w:val="0"/>
            <w:vAlign w:val="center"/>
          </w:tcPr>
          <w:p w14:paraId="3A97223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13" w:type="pct"/>
            <w:noWrap w:val="0"/>
            <w:vAlign w:val="center"/>
          </w:tcPr>
          <w:p w14:paraId="14170EF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  <w:tc>
          <w:tcPr>
            <w:tcW w:w="702" w:type="pct"/>
            <w:noWrap w:val="0"/>
            <w:vAlign w:val="center"/>
          </w:tcPr>
          <w:p w14:paraId="07744A83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26" w:type="pct"/>
            <w:noWrap w:val="0"/>
            <w:vAlign w:val="center"/>
          </w:tcPr>
          <w:p w14:paraId="1C61492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  <w:tc>
          <w:tcPr>
            <w:tcW w:w="716" w:type="pct"/>
            <w:noWrap w:val="0"/>
            <w:vAlign w:val="center"/>
          </w:tcPr>
          <w:p w14:paraId="3385C2E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463" w:type="pct"/>
            <w:noWrap w:val="0"/>
            <w:vAlign w:val="center"/>
          </w:tcPr>
          <w:p w14:paraId="5FA92776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</w:tr>
      <w:tr w14:paraId="69FF8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noWrap w:val="0"/>
            <w:vAlign w:val="center"/>
          </w:tcPr>
          <w:p w14:paraId="07D58FC7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2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1181081B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7.67</w:t>
            </w:r>
          </w:p>
        </w:tc>
        <w:tc>
          <w:tcPr>
            <w:tcW w:w="705" w:type="pct"/>
            <w:shd w:val="clear" w:color="auto" w:fill="auto"/>
            <w:noWrap w:val="0"/>
            <w:vAlign w:val="center"/>
          </w:tcPr>
          <w:p w14:paraId="45BDBBD3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0.98 (0.71, 1.36)</w:t>
            </w:r>
          </w:p>
        </w:tc>
        <w:tc>
          <w:tcPr>
            <w:tcW w:w="513" w:type="pct"/>
            <w:noWrap w:val="0"/>
            <w:vAlign w:val="center"/>
          </w:tcPr>
          <w:p w14:paraId="74268BF9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0.921</w:t>
            </w:r>
          </w:p>
        </w:tc>
        <w:tc>
          <w:tcPr>
            <w:tcW w:w="702" w:type="pct"/>
            <w:shd w:val="clear" w:color="auto" w:fill="auto"/>
            <w:noWrap w:val="0"/>
            <w:vAlign w:val="center"/>
          </w:tcPr>
          <w:p w14:paraId="2DDD5B9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1.17 (0.84, 1.62)</w:t>
            </w:r>
          </w:p>
        </w:tc>
        <w:tc>
          <w:tcPr>
            <w:tcW w:w="526" w:type="pct"/>
            <w:shd w:val="clear" w:color="auto" w:fill="auto"/>
            <w:noWrap w:val="0"/>
            <w:vAlign w:val="center"/>
          </w:tcPr>
          <w:p w14:paraId="3C4F7A6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0.349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37DF57FB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1.20 (0.86, 1.66)</w:t>
            </w:r>
          </w:p>
        </w:tc>
        <w:tc>
          <w:tcPr>
            <w:tcW w:w="463" w:type="pct"/>
            <w:noWrap w:val="0"/>
            <w:vAlign w:val="center"/>
          </w:tcPr>
          <w:p w14:paraId="36CB14BA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0.277</w:t>
            </w:r>
          </w:p>
        </w:tc>
      </w:tr>
      <w:tr w14:paraId="2852B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noWrap w:val="0"/>
            <w:vAlign w:val="center"/>
          </w:tcPr>
          <w:p w14:paraId="16C0533D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3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4EF04FAA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14.45</w:t>
            </w:r>
          </w:p>
        </w:tc>
        <w:tc>
          <w:tcPr>
            <w:tcW w:w="705" w:type="pct"/>
            <w:shd w:val="clear" w:color="auto" w:fill="auto"/>
            <w:noWrap w:val="0"/>
            <w:vAlign w:val="center"/>
          </w:tcPr>
          <w:p w14:paraId="02453D62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1.93 (1.48, 2.52)</w:t>
            </w:r>
          </w:p>
        </w:tc>
        <w:tc>
          <w:tcPr>
            <w:tcW w:w="513" w:type="pct"/>
            <w:noWrap w:val="0"/>
            <w:vAlign w:val="center"/>
          </w:tcPr>
          <w:p w14:paraId="795A87BE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shd w:val="clear" w:color="auto" w:fill="auto"/>
            <w:noWrap w:val="0"/>
            <w:vAlign w:val="center"/>
          </w:tcPr>
          <w:p w14:paraId="00022C0D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1.99 (1.53, 2.61)</w:t>
            </w:r>
          </w:p>
        </w:tc>
        <w:tc>
          <w:tcPr>
            <w:tcW w:w="526" w:type="pct"/>
            <w:shd w:val="clear" w:color="auto" w:fill="auto"/>
            <w:noWrap w:val="0"/>
            <w:vAlign w:val="center"/>
          </w:tcPr>
          <w:p w14:paraId="0A813DA3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18D38DC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1.67 (1.23, 2.26)</w:t>
            </w:r>
          </w:p>
        </w:tc>
        <w:tc>
          <w:tcPr>
            <w:tcW w:w="463" w:type="pct"/>
            <w:noWrap w:val="0"/>
            <w:vAlign w:val="center"/>
          </w:tcPr>
          <w:p w14:paraId="25C9EBA9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0.001</w:t>
            </w:r>
          </w:p>
        </w:tc>
      </w:tr>
      <w:tr w14:paraId="7D2A6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noWrap w:val="0"/>
            <w:vAlign w:val="center"/>
          </w:tcPr>
          <w:p w14:paraId="5FD0953D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4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13007A12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14.17</w:t>
            </w:r>
          </w:p>
        </w:tc>
        <w:tc>
          <w:tcPr>
            <w:tcW w:w="705" w:type="pct"/>
            <w:shd w:val="clear" w:color="auto" w:fill="auto"/>
            <w:noWrap w:val="0"/>
            <w:vAlign w:val="center"/>
          </w:tcPr>
          <w:p w14:paraId="059FD34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1.89 (1.57, 2.28)</w:t>
            </w:r>
          </w:p>
        </w:tc>
        <w:tc>
          <w:tcPr>
            <w:tcW w:w="513" w:type="pct"/>
            <w:noWrap w:val="0"/>
            <w:vAlign w:val="center"/>
          </w:tcPr>
          <w:p w14:paraId="4FDEE91F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shd w:val="clear" w:color="auto" w:fill="auto"/>
            <w:noWrap w:val="0"/>
            <w:vAlign w:val="center"/>
          </w:tcPr>
          <w:p w14:paraId="157F69E0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2.22 (1.83, 2.69)</w:t>
            </w:r>
          </w:p>
        </w:tc>
        <w:tc>
          <w:tcPr>
            <w:tcW w:w="526" w:type="pct"/>
            <w:shd w:val="clear" w:color="auto" w:fill="auto"/>
            <w:noWrap w:val="0"/>
            <w:vAlign w:val="center"/>
          </w:tcPr>
          <w:p w14:paraId="520F5FDD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7CF54A5F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1.89 (1.51, 2.36)</w:t>
            </w:r>
          </w:p>
        </w:tc>
        <w:tc>
          <w:tcPr>
            <w:tcW w:w="463" w:type="pct"/>
            <w:noWrap w:val="0"/>
            <w:vAlign w:val="center"/>
          </w:tcPr>
          <w:p w14:paraId="708739C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58A42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bottom w:val="single" w:color="auto" w:sz="12" w:space="0"/>
            </w:tcBorders>
            <w:noWrap/>
            <w:vAlign w:val="center"/>
          </w:tcPr>
          <w:p w14:paraId="51838C6D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bidi="ar"/>
              </w:rPr>
            </w:pPr>
            <w:r>
              <w:rPr>
                <w:rFonts w:hint="default" w:ascii="Arial" w:hAnsi="Arial" w:cs="Arial"/>
                <w:i/>
                <w:iCs/>
                <w:color w:val="000000"/>
                <w:kern w:val="0"/>
                <w:sz w:val="13"/>
                <w:szCs w:val="13"/>
                <w:lang w:bidi="ar"/>
              </w:rPr>
              <w:t>P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for trend</w:t>
            </w:r>
          </w:p>
        </w:tc>
        <w:tc>
          <w:tcPr>
            <w:tcW w:w="716" w:type="pct"/>
            <w:tcBorders>
              <w:bottom w:val="single" w:color="auto" w:sz="12" w:space="0"/>
            </w:tcBorders>
            <w:noWrap/>
            <w:vAlign w:val="center"/>
          </w:tcPr>
          <w:p w14:paraId="2EBF7FAF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705" w:type="pct"/>
            <w:tcBorders>
              <w:bottom w:val="single" w:color="auto" w:sz="12" w:space="0"/>
            </w:tcBorders>
            <w:noWrap/>
            <w:vAlign w:val="center"/>
          </w:tcPr>
          <w:p w14:paraId="0590BF7D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513" w:type="pct"/>
            <w:tcBorders>
              <w:bottom w:val="single" w:color="auto" w:sz="12" w:space="0"/>
            </w:tcBorders>
            <w:noWrap/>
            <w:vAlign w:val="center"/>
          </w:tcPr>
          <w:p w14:paraId="760D1E82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tcBorders>
              <w:bottom w:val="single" w:color="auto" w:sz="12" w:space="0"/>
            </w:tcBorders>
            <w:noWrap/>
            <w:vAlign w:val="center"/>
          </w:tcPr>
          <w:p w14:paraId="2825EA3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526" w:type="pct"/>
            <w:tcBorders>
              <w:bottom w:val="single" w:color="auto" w:sz="12" w:space="0"/>
            </w:tcBorders>
            <w:noWrap/>
            <w:vAlign w:val="center"/>
          </w:tcPr>
          <w:p w14:paraId="5AD80D4B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tcBorders>
              <w:bottom w:val="single" w:color="auto" w:sz="12" w:space="0"/>
            </w:tcBorders>
            <w:noWrap/>
            <w:vAlign w:val="center"/>
          </w:tcPr>
          <w:p w14:paraId="722C29F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463" w:type="pct"/>
            <w:tcBorders>
              <w:bottom w:val="single" w:color="auto" w:sz="12" w:space="0"/>
            </w:tcBorders>
            <w:noWrap/>
            <w:vAlign w:val="center"/>
          </w:tcPr>
          <w:p w14:paraId="736846E9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</w:tbl>
    <w:p w14:paraId="287A45E7">
      <w:pP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Model I: non-adjusted</w:t>
      </w:r>
    </w:p>
    <w:p w14:paraId="6B9D1FBA">
      <w:pP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Model II: adjusted for age, gender, smoking status, drinking status, education level, marital status, residence</w:t>
      </w:r>
    </w:p>
    <w:p w14:paraId="61F26003">
      <w:pP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Model III: further adjusted for SBP, DBP,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TC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,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HDL-C, LDL-C, hs-CRP,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chronic diseases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 (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hypertension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,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dyslipidemia, depression,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and cancer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)</w:t>
      </w:r>
    </w:p>
    <w:p w14:paraId="4EA977AE">
      <w:pP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Group 1 refers to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low 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and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low BMR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; Group 2 refers to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low 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and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high BMR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; Group 3 refers to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high 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and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low BMR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; Group 4 refers to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 high 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and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high BMR.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insulin resistance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,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BMR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 basal metabolic rate,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TyG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triglyceride-glucose,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eGDR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e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stimate glucose disposal rate,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METS-IR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metabolic score for insulin resistance, </w:t>
      </w:r>
      <w:r>
        <w:rPr>
          <w:rFonts w:hint="default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HR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hazard ratio, </w:t>
      </w:r>
      <w:r>
        <w:rPr>
          <w:rFonts w:hint="default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CI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confidence interval</w:t>
      </w:r>
    </w:p>
    <w:p w14:paraId="7EB2891A">
      <w:pP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宋体" w:cs="Arial"/>
          <w:b/>
          <w:bCs/>
          <w:i w:val="0"/>
          <w:iCs w:val="0"/>
          <w:color w:val="000000" w:themeColor="text1"/>
          <w:spacing w:val="0"/>
          <w:sz w:val="12"/>
          <w:szCs w:val="12"/>
          <w:shd w:val="clear" w:fill="FDFDFE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a</w:t>
      </w:r>
      <w: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:lang w:val="en-US" w:eastAsia="zh-CN"/>
          <w14:textFill>
            <w14:solidFill>
              <w14:schemeClr w14:val="tx1"/>
            </w14:solidFill>
          </w14:textFill>
        </w:rPr>
        <w:t>Incident rate was presented as per 1000 person-years of follow-up</w:t>
      </w:r>
    </w:p>
    <w:p w14:paraId="339E7238">
      <w:pP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:lang w:val="en-US" w:eastAsia="zh-CN"/>
          <w14:textFill>
            <w14:solidFill>
              <w14:schemeClr w14:val="tx1"/>
            </w14:solidFill>
          </w14:textFill>
        </w:rPr>
      </w:pPr>
    </w:p>
    <w:p w14:paraId="7A6E95C3">
      <w:pP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:lang w:val="en-US" w:eastAsia="zh-CN"/>
          <w14:textFill>
            <w14:solidFill>
              <w14:schemeClr w14:val="tx1"/>
            </w14:solidFill>
          </w14:textFill>
        </w:rPr>
      </w:pPr>
    </w:p>
    <w:p w14:paraId="2077FC01">
      <w:pPr>
        <w:rPr>
          <w:rFonts w:hint="default" w:ascii="Times New Roman" w:hAnsi="Times New Roman" w:cs="Times New Roman"/>
          <w:b/>
          <w:bCs/>
          <w:sz w:val="14"/>
          <w:szCs w:val="14"/>
          <w:lang w:val="en-US" w:eastAsia="zh-CN"/>
        </w:rPr>
      </w:pPr>
      <w:r>
        <w:rPr>
          <w:rFonts w:hint="default" w:ascii="Arial" w:hAnsi="Arial" w:cs="Arial"/>
          <w:b/>
          <w:bCs/>
          <w:i w:val="0"/>
          <w:iCs w:val="0"/>
          <w:color w:val="000000"/>
          <w:sz w:val="14"/>
          <w:szCs w:val="14"/>
          <w:u w:val="none"/>
          <w:lang w:val="en-US" w:eastAsia="zh-CN"/>
        </w:rPr>
        <w:t xml:space="preserve">Table </w:t>
      </w:r>
      <w:r>
        <w:rPr>
          <w:rFonts w:hint="eastAsia" w:ascii="Arial" w:hAnsi="Arial" w:cs="Arial"/>
          <w:b/>
          <w:bCs/>
          <w:i w:val="0"/>
          <w:iCs w:val="0"/>
          <w:color w:val="000000"/>
          <w:sz w:val="14"/>
          <w:szCs w:val="14"/>
          <w:u w:val="none"/>
          <w:lang w:val="en-US" w:eastAsia="zh-CN"/>
        </w:rPr>
        <w:t xml:space="preserve">S19  </w:t>
      </w:r>
      <w:r>
        <w:rPr>
          <w:rFonts w:hint="default" w:ascii="Arial" w:hAnsi="Arial" w:eastAsia="Segoe UI" w:cs="Arial"/>
          <w:i w:val="0"/>
          <w:iCs w:val="0"/>
          <w:caps w:val="0"/>
          <w:spacing w:val="0"/>
          <w:sz w:val="14"/>
          <w:szCs w:val="14"/>
          <w:shd w:val="clear" w:fill="FFFFFF"/>
        </w:rPr>
        <w:t xml:space="preserve">Sensitivity analysis of </w:t>
      </w:r>
      <w:r>
        <w:rPr>
          <w:rFonts w:hint="default" w:ascii="Arial" w:hAnsi="Arial" w:eastAsia="宋体" w:cs="Arial"/>
          <w:color w:val="000000" w:themeColor="text1"/>
          <w:sz w:val="14"/>
          <w:szCs w:val="14"/>
          <w14:textFill>
            <w14:solidFill>
              <w14:schemeClr w14:val="tx1"/>
            </w14:solidFill>
          </w14:textFill>
        </w:rPr>
        <w:t xml:space="preserve">the joint effects of </w:t>
      </w:r>
      <w:r>
        <w:rPr>
          <w:rFonts w:hint="eastAsia" w:ascii="Arial" w:hAnsi="Arial" w:eastAsia="宋体" w:cs="Arial"/>
          <w:color w:val="000000" w:themeColor="text1"/>
          <w:sz w:val="14"/>
          <w:szCs w:val="14"/>
          <w:lang w:val="en-US" w:eastAsia="zh-CN"/>
          <w14:textFill>
            <w14:solidFill>
              <w14:schemeClr w14:val="tx1"/>
            </w14:solidFill>
          </w14:textFill>
        </w:rPr>
        <w:t>i</w:t>
      </w:r>
      <w:r>
        <w:rPr>
          <w:rFonts w:hint="eastAsia" w:ascii="Arial" w:hAnsi="Arial" w:eastAsia="宋体" w:cs="Arial"/>
          <w:color w:val="000000" w:themeColor="text1"/>
          <w:sz w:val="14"/>
          <w:szCs w:val="14"/>
          <w:lang w:eastAsia="zh-CN"/>
          <w14:textFill>
            <w14:solidFill>
              <w14:schemeClr w14:val="tx1"/>
            </w14:solidFill>
          </w14:textFill>
        </w:rPr>
        <w:t>nsulin</w:t>
      </w:r>
      <w:r>
        <w:rPr>
          <w:rFonts w:hint="eastAsia" w:ascii="Arial" w:hAnsi="Arial" w:cs="Arial"/>
          <w:color w:val="000000" w:themeColor="text1"/>
          <w:sz w:val="14"/>
          <w:szCs w:val="1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eastAsia="Segoe UI" w:cs="Arial"/>
          <w:b w:val="0"/>
          <w:bCs w:val="0"/>
          <w:i w:val="0"/>
          <w:iCs w:val="0"/>
          <w:caps w:val="0"/>
          <w:color w:val="0F1115"/>
          <w:spacing w:val="0"/>
          <w:sz w:val="14"/>
          <w:szCs w:val="14"/>
          <w:shd w:val="clear" w:fill="FFFFFF"/>
        </w:rPr>
        <w:t>resistance surrogate indices and basal metabolic rate</w:t>
      </w:r>
      <w:r>
        <w:rPr>
          <w:rFonts w:hint="default" w:ascii="Arial" w:hAnsi="Arial" w:eastAsia="宋体" w:cs="Arial"/>
          <w:color w:val="000000" w:themeColor="text1"/>
          <w:sz w:val="14"/>
          <w:szCs w:val="14"/>
          <w14:textFill>
            <w14:solidFill>
              <w14:schemeClr w14:val="tx1"/>
            </w14:solidFill>
          </w14:textFill>
        </w:rPr>
        <w:t xml:space="preserve"> on the risk</w:t>
      </w:r>
      <w:r>
        <w:rPr>
          <w:rFonts w:hint="eastAsia" w:ascii="Arial" w:hAnsi="Arial" w:eastAsia="宋体" w:cs="Arial"/>
          <w:color w:val="000000" w:themeColor="text1"/>
          <w:sz w:val="14"/>
          <w:szCs w:val="1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Arial" w:hAnsi="Arial" w:eastAsia="宋体" w:cs="Arial"/>
          <w:color w:val="000000" w:themeColor="text1"/>
          <w:sz w:val="14"/>
          <w:szCs w:val="14"/>
          <w14:textFill>
            <w14:solidFill>
              <w14:schemeClr w14:val="tx1"/>
            </w14:solidFill>
          </w14:textFill>
        </w:rPr>
        <w:t xml:space="preserve"> of developing</w:t>
      </w:r>
      <w:r>
        <w:rPr>
          <w:rFonts w:hint="eastAsia" w:ascii="Arial" w:hAnsi="Arial" w:cs="Arial"/>
          <w:i w:val="0"/>
          <w:iCs w:val="0"/>
          <w:caps w:val="0"/>
          <w:color w:val="000000"/>
          <w:spacing w:val="0"/>
          <w:sz w:val="14"/>
          <w:szCs w:val="14"/>
          <w:shd w:val="clear" w:color="auto" w:fill="FDFDFE"/>
          <w:lang w:val="en-US" w:eastAsia="zh-CN"/>
        </w:rPr>
        <w:t xml:space="preserve"> </w:t>
      </w:r>
      <w:r>
        <w:rPr>
          <w:rFonts w:hint="default" w:ascii="Arial" w:hAnsi="Arial" w:eastAsia="Segoe UI" w:cs="Arial"/>
          <w:i w:val="0"/>
          <w:iCs w:val="0"/>
          <w:caps w:val="0"/>
          <w:color w:val="000000"/>
          <w:spacing w:val="0"/>
          <w:sz w:val="14"/>
          <w:szCs w:val="14"/>
          <w:shd w:val="clear" w:color="auto" w:fill="FDFDFE"/>
        </w:rPr>
        <w:t>CMM</w:t>
      </w:r>
      <w:r>
        <w:rPr>
          <w:rFonts w:hint="eastAsia" w:ascii="Arial" w:hAnsi="Arial" w:cs="Arial"/>
          <w:b w:val="0"/>
          <w:bCs w:val="0"/>
          <w:i w:val="0"/>
          <w:iCs w:val="0"/>
          <w:color w:val="000000"/>
          <w:sz w:val="14"/>
          <w:szCs w:val="14"/>
          <w:u w:val="none"/>
          <w:lang w:val="en-US" w:eastAsia="zh-CN"/>
        </w:rPr>
        <w:t xml:space="preserve"> in </w:t>
      </w:r>
      <w:r>
        <w:rPr>
          <w:rFonts w:hint="default" w:ascii="Arial" w:hAnsi="Arial" w:eastAsia="宋体" w:cs="Arial"/>
          <w:i w:val="0"/>
          <w:iCs w:val="0"/>
          <w:caps w:val="0"/>
          <w:color w:val="000000"/>
          <w:spacing w:val="0"/>
          <w:sz w:val="14"/>
          <w:szCs w:val="14"/>
          <w:shd w:val="clear" w:color="auto" w:fill="FDFDFE"/>
          <w:lang w:val="en-US" w:eastAsia="zh-CN"/>
        </w:rPr>
        <w:t xml:space="preserve">participants </w:t>
      </w:r>
      <w:r>
        <w:rPr>
          <w:rFonts w:hint="eastAsia" w:ascii="Arial" w:hAnsi="Arial" w:cs="Arial"/>
          <w:i w:val="0"/>
          <w:iCs w:val="0"/>
          <w:caps w:val="0"/>
          <w:color w:val="000000"/>
          <w:spacing w:val="0"/>
          <w:sz w:val="14"/>
          <w:szCs w:val="14"/>
          <w:shd w:val="clear" w:color="auto" w:fill="FFFFFF"/>
          <w:lang w:val="en-US" w:eastAsia="zh-CN"/>
        </w:rPr>
        <w:t>without</w:t>
      </w:r>
      <w:r>
        <w:rPr>
          <w:rFonts w:hint="default" w:ascii="Arial" w:hAnsi="Arial" w:eastAsia="宋体" w:cs="Arial"/>
          <w:i w:val="0"/>
          <w:iCs w:val="0"/>
          <w:caps w:val="0"/>
          <w:color w:val="000000"/>
          <w:spacing w:val="0"/>
          <w:sz w:val="14"/>
          <w:szCs w:val="14"/>
          <w:shd w:val="clear" w:color="auto" w:fill="FDFDFE"/>
          <w:lang w:val="en-US" w:eastAsia="zh-CN"/>
        </w:rPr>
        <w:t xml:space="preserve"> diabetes, heart disease or stroke at baseline</w:t>
      </w:r>
      <w:r>
        <w:rPr>
          <w:rFonts w:hint="eastAsia" w:ascii="Arial" w:hAnsi="Arial" w:cs="Arial"/>
          <w:i w:val="0"/>
          <w:iCs w:val="0"/>
          <w:caps w:val="0"/>
          <w:color w:val="000000"/>
          <w:spacing w:val="0"/>
          <w:sz w:val="14"/>
          <w:szCs w:val="14"/>
          <w:shd w:val="clear" w:color="auto" w:fill="FDFDFE"/>
          <w:lang w:val="en-US" w:eastAsia="zh-CN"/>
        </w:rPr>
        <w:t xml:space="preserve"> (</w:t>
      </w:r>
      <w:r>
        <w:rPr>
          <w:rFonts w:hint="eastAsia" w:ascii="Arial" w:hAnsi="Arial" w:eastAsia="宋体" w:cs="Arial"/>
          <w:i/>
          <w:iCs/>
          <w:color w:val="000000"/>
          <w:sz w:val="13"/>
          <w:szCs w:val="13"/>
          <w:lang w:val="en-US" w:eastAsia="zh-CN"/>
        </w:rPr>
        <w:t>N</w:t>
      </w:r>
      <w:r>
        <w:rPr>
          <w:rFonts w:hint="eastAsia" w:ascii="Arial" w:hAnsi="Arial" w:eastAsia="宋体" w:cs="Arial"/>
          <w:color w:val="000000"/>
          <w:sz w:val="13"/>
          <w:szCs w:val="13"/>
          <w:lang w:val="en-US" w:eastAsia="zh-CN"/>
        </w:rPr>
        <w:t>=</w:t>
      </w:r>
      <w:r>
        <w:rPr>
          <w:rFonts w:hint="eastAsia" w:ascii="Arial" w:hAnsi="Arial" w:cs="Arial"/>
          <w:color w:val="000000"/>
          <w:sz w:val="13"/>
          <w:szCs w:val="13"/>
          <w:lang w:val="en-US" w:eastAsia="zh-CN"/>
        </w:rPr>
        <w:t>5,237</w:t>
      </w:r>
      <w:r>
        <w:rPr>
          <w:rFonts w:hint="default" w:ascii="Arial" w:hAnsi="Arial" w:cs="Arial"/>
          <w:b w:val="0"/>
          <w:bCs w:val="0"/>
          <w:i w:val="0"/>
          <w:iCs w:val="0"/>
          <w:color w:val="000000"/>
          <w:sz w:val="14"/>
          <w:szCs w:val="14"/>
          <w:u w:val="none"/>
          <w:lang w:val="en-US" w:eastAsia="zh-CN"/>
        </w:rPr>
        <w:t>)</w:t>
      </w:r>
    </w:p>
    <w:tbl>
      <w:tblPr>
        <w:tblStyle w:val="2"/>
        <w:tblW w:w="4997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9"/>
        <w:gridCol w:w="1220"/>
        <w:gridCol w:w="1201"/>
        <w:gridCol w:w="874"/>
        <w:gridCol w:w="1196"/>
        <w:gridCol w:w="896"/>
        <w:gridCol w:w="1221"/>
        <w:gridCol w:w="790"/>
      </w:tblGrid>
      <w:tr w14:paraId="71E4C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56" w:type="pct"/>
            <w:vMerge w:val="restart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046A6498">
            <w:pPr>
              <w:jc w:val="left"/>
              <w:rPr>
                <w:rFonts w:hint="default"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2"/>
                <w:szCs w:val="12"/>
                <w:shd w:val="clear" w:color="auto" w:fill="FDFDFE"/>
                <w:lang w:val="en-US" w:eastAsia="zh-CN"/>
              </w:rPr>
              <w:t>S</w:t>
            </w:r>
            <w:r>
              <w:rPr>
                <w:rFonts w:hint="default" w:ascii="Arial" w:hAnsi="Arial" w:eastAsia="Segoe UI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2"/>
                <w:szCs w:val="12"/>
                <w:shd w:val="clear" w:color="auto" w:fill="FDFDFE"/>
              </w:rPr>
              <w:t>ubgroup</w:t>
            </w: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2"/>
                <w:szCs w:val="12"/>
                <w:shd w:val="clear" w:color="auto" w:fill="FDFDFE"/>
                <w:lang w:val="en-US" w:eastAsia="zh-CN"/>
              </w:rPr>
              <w:t>s</w:t>
            </w:r>
          </w:p>
        </w:tc>
        <w:tc>
          <w:tcPr>
            <w:tcW w:w="716" w:type="pct"/>
            <w:vMerge w:val="restart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7FF6641B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12"/>
                <w:szCs w:val="12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Incidence rate</w:t>
            </w:r>
            <w:r>
              <w:rPr>
                <w:rFonts w:hint="eastAsia" w:ascii="Arial" w:hAnsi="Arial" w:cs="Arial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12"/>
                <w:szCs w:val="12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1218" w:type="pct"/>
            <w:gridSpan w:val="2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0142B22C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color w:val="000000"/>
                <w:sz w:val="12"/>
                <w:szCs w:val="12"/>
                <w:lang w:eastAsia="zh-CN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 xml:space="preserve">Model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>I</w:t>
            </w:r>
          </w:p>
        </w:tc>
        <w:tc>
          <w:tcPr>
            <w:tcW w:w="1228" w:type="pct"/>
            <w:gridSpan w:val="2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2281CBD9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color w:val="000000"/>
                <w:sz w:val="12"/>
                <w:szCs w:val="12"/>
                <w:lang w:val="en-US" w:eastAsia="zh-CN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 xml:space="preserve">Model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>II</w:t>
            </w:r>
          </w:p>
        </w:tc>
        <w:tc>
          <w:tcPr>
            <w:tcW w:w="1180" w:type="pct"/>
            <w:gridSpan w:val="2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02B5E28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b/>
                <w:bCs/>
                <w:color w:val="000000"/>
                <w:sz w:val="12"/>
                <w:szCs w:val="12"/>
                <w:lang w:val="en-US" w:eastAsia="zh-CN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 xml:space="preserve">Model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>III</w:t>
            </w:r>
          </w:p>
        </w:tc>
      </w:tr>
      <w:tr w14:paraId="016FD7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56" w:type="pct"/>
            <w:vMerge w:val="continue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4EB3EDC2">
            <w:pPr>
              <w:jc w:val="left"/>
              <w:rPr>
                <w:rFonts w:hint="default" w:ascii="Arial" w:hAnsi="Arial" w:cs="Arial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716" w:type="pct"/>
            <w:vMerge w:val="continue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48EF9BB3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</w:pPr>
          </w:p>
        </w:tc>
        <w:tc>
          <w:tcPr>
            <w:tcW w:w="705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48CC6A67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>H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R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(95%</w:t>
            </w: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CI)</w:t>
            </w:r>
          </w:p>
        </w:tc>
        <w:tc>
          <w:tcPr>
            <w:tcW w:w="513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032B300A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bidi="ar"/>
              </w:rPr>
            </w:pPr>
            <w:r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bidi="ar"/>
              </w:rPr>
              <w:t xml:space="preserve">P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value</w:t>
            </w:r>
          </w:p>
        </w:tc>
        <w:tc>
          <w:tcPr>
            <w:tcW w:w="702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293739FA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>H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R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(95%</w:t>
            </w: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CI)</w:t>
            </w:r>
          </w:p>
        </w:tc>
        <w:tc>
          <w:tcPr>
            <w:tcW w:w="526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6CE6CC30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bidi="ar"/>
              </w:rPr>
            </w:pPr>
            <w:r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bidi="ar"/>
              </w:rPr>
              <w:t xml:space="preserve">P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value</w:t>
            </w:r>
          </w:p>
        </w:tc>
        <w:tc>
          <w:tcPr>
            <w:tcW w:w="716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750ACB7B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>H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R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(95%</w:t>
            </w: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CI)</w:t>
            </w:r>
          </w:p>
        </w:tc>
        <w:tc>
          <w:tcPr>
            <w:tcW w:w="463" w:type="pct"/>
            <w:tcBorders>
              <w:top w:val="single" w:color="auto" w:sz="8" w:space="0"/>
              <w:bottom w:val="single" w:color="auto" w:sz="8" w:space="0"/>
            </w:tcBorders>
            <w:noWrap/>
            <w:vAlign w:val="center"/>
          </w:tcPr>
          <w:p w14:paraId="796B872C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bidi="ar"/>
              </w:rPr>
            </w:pPr>
            <w:r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bidi="ar"/>
              </w:rPr>
              <w:t>P</w:t>
            </w:r>
            <w:r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2"/>
                <w:szCs w:val="12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2"/>
                <w:szCs w:val="12"/>
                <w:lang w:bidi="ar"/>
              </w:rPr>
              <w:t>value</w:t>
            </w:r>
          </w:p>
        </w:tc>
      </w:tr>
      <w:tr w14:paraId="2A532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8"/>
            <w:tcBorders>
              <w:top w:val="single" w:color="auto" w:sz="8" w:space="0"/>
              <w:tl2br w:val="nil"/>
              <w:tr2bl w:val="nil"/>
            </w:tcBorders>
            <w:noWrap/>
            <w:vAlign w:val="center"/>
          </w:tcPr>
          <w:p w14:paraId="34DC2444">
            <w:pPr>
              <w:jc w:val="left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TyG and BMR</w:t>
            </w:r>
          </w:p>
        </w:tc>
      </w:tr>
      <w:tr w14:paraId="1F298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noWrap/>
            <w:vAlign w:val="center"/>
          </w:tcPr>
          <w:p w14:paraId="51812C1D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sz w:val="13"/>
                <w:szCs w:val="13"/>
                <w:lang w:val="en-US" w:eastAsia="zh-CN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1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5C71B934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5.35</w:t>
            </w:r>
          </w:p>
        </w:tc>
        <w:tc>
          <w:tcPr>
            <w:tcW w:w="705" w:type="pct"/>
            <w:tcBorders>
              <w:tl2br w:val="nil"/>
              <w:tr2bl w:val="nil"/>
            </w:tcBorders>
            <w:noWrap/>
            <w:vAlign w:val="center"/>
          </w:tcPr>
          <w:p w14:paraId="64AE91B4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1F1D392D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  <w:tc>
          <w:tcPr>
            <w:tcW w:w="702" w:type="pct"/>
            <w:tcBorders>
              <w:tl2br w:val="nil"/>
              <w:tr2bl w:val="nil"/>
            </w:tcBorders>
            <w:noWrap/>
            <w:vAlign w:val="center"/>
          </w:tcPr>
          <w:p w14:paraId="576F707F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26" w:type="pct"/>
            <w:tcBorders>
              <w:tl2br w:val="nil"/>
              <w:tr2bl w:val="nil"/>
            </w:tcBorders>
            <w:noWrap/>
            <w:vAlign w:val="center"/>
          </w:tcPr>
          <w:p w14:paraId="0AB5D0E3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2DF2828A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463" w:type="pct"/>
            <w:tcBorders>
              <w:tl2br w:val="nil"/>
              <w:tr2bl w:val="nil"/>
            </w:tcBorders>
            <w:noWrap/>
            <w:vAlign w:val="center"/>
          </w:tcPr>
          <w:p w14:paraId="71475C0E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sz w:val="13"/>
                <w:szCs w:val="13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</w:tr>
      <w:tr w14:paraId="505F0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noWrap/>
            <w:vAlign w:val="center"/>
          </w:tcPr>
          <w:p w14:paraId="5956165E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2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4E6D16BC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8.14</w:t>
            </w:r>
          </w:p>
        </w:tc>
        <w:tc>
          <w:tcPr>
            <w:tcW w:w="7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D2628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1.54 (1.14, 2.08)</w:t>
            </w: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640AE0FA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0.005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9E3344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1.80 (1.32, 2.44)</w:t>
            </w:r>
          </w:p>
        </w:tc>
        <w:tc>
          <w:tcPr>
            <w:tcW w:w="52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6B0664">
            <w:pPr>
              <w:widowControl/>
              <w:jc w:val="left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94A5DA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1.58 (1.16, 2.16)</w:t>
            </w:r>
          </w:p>
        </w:tc>
        <w:tc>
          <w:tcPr>
            <w:tcW w:w="4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4225CB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0.004</w:t>
            </w:r>
          </w:p>
        </w:tc>
      </w:tr>
      <w:tr w14:paraId="76AB1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noWrap/>
            <w:vAlign w:val="center"/>
          </w:tcPr>
          <w:p w14:paraId="2FEEB758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3</w:t>
            </w:r>
          </w:p>
        </w:tc>
        <w:tc>
          <w:tcPr>
            <w:tcW w:w="7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5C0A2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8.41</w:t>
            </w:r>
          </w:p>
        </w:tc>
        <w:tc>
          <w:tcPr>
            <w:tcW w:w="7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9A359BD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1.59 (1.18, 2.14)</w:t>
            </w: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6F155A62">
            <w:pPr>
              <w:widowControl/>
              <w:jc w:val="left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</w:t>
            </w: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27A1FD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1.57 (1.17, 2.12)</w:t>
            </w:r>
          </w:p>
        </w:tc>
        <w:tc>
          <w:tcPr>
            <w:tcW w:w="52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D84F9C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0.003</w:t>
            </w:r>
          </w:p>
        </w:tc>
        <w:tc>
          <w:tcPr>
            <w:tcW w:w="7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1AEB1F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1.32 (0.95, 1.82)</w:t>
            </w:r>
          </w:p>
        </w:tc>
        <w:tc>
          <w:tcPr>
            <w:tcW w:w="4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D598AD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0.098</w:t>
            </w:r>
          </w:p>
        </w:tc>
      </w:tr>
      <w:tr w14:paraId="0F218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noWrap/>
            <w:vAlign w:val="center"/>
          </w:tcPr>
          <w:p w14:paraId="1B9AEC52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4</w:t>
            </w:r>
          </w:p>
        </w:tc>
        <w:tc>
          <w:tcPr>
            <w:tcW w:w="7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A5CA00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11.63</w:t>
            </w:r>
          </w:p>
        </w:tc>
        <w:tc>
          <w:tcPr>
            <w:tcW w:w="70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1CECA9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2.24 (1.73, 2.91)</w:t>
            </w: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491DCE04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F32054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2.63 (2.01, 3.43)</w:t>
            </w:r>
          </w:p>
        </w:tc>
        <w:tc>
          <w:tcPr>
            <w:tcW w:w="52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CAEB79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F06CCB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1.87 (1.36, 2.57)</w:t>
            </w:r>
          </w:p>
        </w:tc>
        <w:tc>
          <w:tcPr>
            <w:tcW w:w="46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E1051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2C27D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noWrap/>
            <w:vAlign w:val="center"/>
          </w:tcPr>
          <w:p w14:paraId="41ADA180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bidi="ar"/>
              </w:rPr>
            </w:pPr>
            <w:r>
              <w:rPr>
                <w:rFonts w:hint="default" w:ascii="Arial" w:hAnsi="Arial" w:cs="Arial"/>
                <w:i/>
                <w:iCs/>
                <w:color w:val="000000"/>
                <w:kern w:val="0"/>
                <w:sz w:val="13"/>
                <w:szCs w:val="13"/>
                <w:lang w:bidi="ar"/>
              </w:rPr>
              <w:t>P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for trend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73FE344D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705" w:type="pct"/>
            <w:tcBorders>
              <w:tl2br w:val="nil"/>
              <w:tr2bl w:val="nil"/>
            </w:tcBorders>
            <w:noWrap/>
            <w:vAlign w:val="center"/>
          </w:tcPr>
          <w:p w14:paraId="5B96ED52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1587080F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tcBorders>
              <w:tl2br w:val="nil"/>
              <w:tr2bl w:val="nil"/>
            </w:tcBorders>
            <w:noWrap/>
            <w:vAlign w:val="center"/>
          </w:tcPr>
          <w:p w14:paraId="1748945E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526" w:type="pct"/>
            <w:tcBorders>
              <w:tl2br w:val="nil"/>
              <w:tr2bl w:val="nil"/>
            </w:tcBorders>
            <w:noWrap/>
            <w:vAlign w:val="center"/>
          </w:tcPr>
          <w:p w14:paraId="5ABCFE70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5832E6A2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463" w:type="pct"/>
            <w:tcBorders>
              <w:tl2br w:val="nil"/>
              <w:tr2bl w:val="nil"/>
            </w:tcBorders>
            <w:noWrap/>
            <w:vAlign w:val="center"/>
          </w:tcPr>
          <w:p w14:paraId="41F37AC7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0E571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8"/>
            <w:tcBorders>
              <w:tl2br w:val="nil"/>
              <w:tr2bl w:val="nil"/>
            </w:tcBorders>
            <w:noWrap/>
            <w:vAlign w:val="center"/>
          </w:tcPr>
          <w:p w14:paraId="0BCCD217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eGDR and BMR</w:t>
            </w:r>
          </w:p>
        </w:tc>
      </w:tr>
      <w:tr w14:paraId="41C20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899761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1</w:t>
            </w:r>
          </w:p>
        </w:tc>
        <w:tc>
          <w:tcPr>
            <w:tcW w:w="71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F61A6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5.37</w:t>
            </w:r>
          </w:p>
        </w:tc>
        <w:tc>
          <w:tcPr>
            <w:tcW w:w="705" w:type="pct"/>
            <w:tcBorders>
              <w:tl2br w:val="nil"/>
              <w:tr2bl w:val="nil"/>
            </w:tcBorders>
            <w:noWrap/>
            <w:vAlign w:val="center"/>
          </w:tcPr>
          <w:p w14:paraId="5D938140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578784A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  <w:tc>
          <w:tcPr>
            <w:tcW w:w="702" w:type="pct"/>
            <w:tcBorders>
              <w:tl2br w:val="nil"/>
              <w:tr2bl w:val="nil"/>
            </w:tcBorders>
            <w:noWrap/>
            <w:vAlign w:val="center"/>
          </w:tcPr>
          <w:p w14:paraId="2C44192E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26" w:type="pct"/>
            <w:tcBorders>
              <w:tl2br w:val="nil"/>
              <w:tr2bl w:val="nil"/>
            </w:tcBorders>
            <w:noWrap/>
            <w:vAlign w:val="center"/>
          </w:tcPr>
          <w:p w14:paraId="3C282558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31EDB412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463" w:type="pct"/>
            <w:tcBorders>
              <w:tl2br w:val="nil"/>
              <w:tr2bl w:val="nil"/>
            </w:tcBorders>
            <w:noWrap/>
            <w:vAlign w:val="center"/>
          </w:tcPr>
          <w:p w14:paraId="72B7BF69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</w:tr>
      <w:tr w14:paraId="3562F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56" w:type="pct"/>
            <w:shd w:val="clear" w:color="auto" w:fill="auto"/>
            <w:noWrap w:val="0"/>
            <w:vAlign w:val="center"/>
          </w:tcPr>
          <w:p w14:paraId="263065D8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2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7B8C4018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5.15</w:t>
            </w:r>
          </w:p>
        </w:tc>
        <w:tc>
          <w:tcPr>
            <w:tcW w:w="705" w:type="pct"/>
            <w:shd w:val="clear" w:color="auto" w:fill="auto"/>
            <w:noWrap w:val="0"/>
            <w:vAlign w:val="center"/>
          </w:tcPr>
          <w:p w14:paraId="67730BD8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0.96 (0.65, 1.40)</w:t>
            </w:r>
          </w:p>
        </w:tc>
        <w:tc>
          <w:tcPr>
            <w:tcW w:w="513" w:type="pct"/>
            <w:noWrap w:val="0"/>
            <w:vAlign w:val="center"/>
          </w:tcPr>
          <w:p w14:paraId="1F0F5209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0.813</w:t>
            </w:r>
          </w:p>
        </w:tc>
        <w:tc>
          <w:tcPr>
            <w:tcW w:w="702" w:type="pct"/>
            <w:shd w:val="clear" w:color="auto" w:fill="auto"/>
            <w:noWrap w:val="0"/>
            <w:vAlign w:val="center"/>
          </w:tcPr>
          <w:p w14:paraId="5700E9D8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1.13 (0.77, 1.65)</w:t>
            </w:r>
          </w:p>
        </w:tc>
        <w:tc>
          <w:tcPr>
            <w:tcW w:w="526" w:type="pct"/>
            <w:noWrap w:val="0"/>
            <w:vAlign w:val="center"/>
          </w:tcPr>
          <w:p w14:paraId="5AFBA07B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0.546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63C87FD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1.06 (0.72, 1.56)</w:t>
            </w:r>
          </w:p>
        </w:tc>
        <w:tc>
          <w:tcPr>
            <w:tcW w:w="463" w:type="pct"/>
            <w:noWrap w:val="0"/>
            <w:vAlign w:val="center"/>
          </w:tcPr>
          <w:p w14:paraId="57ED776F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0.768</w:t>
            </w:r>
          </w:p>
        </w:tc>
      </w:tr>
      <w:tr w14:paraId="3A100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shd w:val="clear" w:color="auto" w:fill="auto"/>
            <w:noWrap w:val="0"/>
            <w:vAlign w:val="center"/>
          </w:tcPr>
          <w:p w14:paraId="365EC170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3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196C17A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9.98</w:t>
            </w:r>
          </w:p>
        </w:tc>
        <w:tc>
          <w:tcPr>
            <w:tcW w:w="705" w:type="pct"/>
            <w:shd w:val="clear" w:color="auto" w:fill="auto"/>
            <w:noWrap w:val="0"/>
            <w:vAlign w:val="center"/>
          </w:tcPr>
          <w:p w14:paraId="27C49ED4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1.91 (1.41, 2.59)</w:t>
            </w:r>
          </w:p>
        </w:tc>
        <w:tc>
          <w:tcPr>
            <w:tcW w:w="513" w:type="pct"/>
            <w:noWrap w:val="0"/>
            <w:vAlign w:val="center"/>
          </w:tcPr>
          <w:p w14:paraId="47AEF2B2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shd w:val="clear" w:color="auto" w:fill="auto"/>
            <w:noWrap w:val="0"/>
            <w:vAlign w:val="center"/>
          </w:tcPr>
          <w:p w14:paraId="39A54D04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1.66 (1.22, 2.26)</w:t>
            </w:r>
          </w:p>
        </w:tc>
        <w:tc>
          <w:tcPr>
            <w:tcW w:w="526" w:type="pct"/>
            <w:noWrap w:val="0"/>
            <w:vAlign w:val="center"/>
          </w:tcPr>
          <w:p w14:paraId="1CDA5414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0.001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18CE2A5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1.06 (0.74, 1.52)</w:t>
            </w:r>
          </w:p>
        </w:tc>
        <w:tc>
          <w:tcPr>
            <w:tcW w:w="463" w:type="pct"/>
            <w:noWrap w:val="0"/>
            <w:vAlign w:val="center"/>
          </w:tcPr>
          <w:p w14:paraId="2A3E998B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0.744</w:t>
            </w:r>
          </w:p>
        </w:tc>
      </w:tr>
      <w:tr w14:paraId="5E30A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shd w:val="clear" w:color="auto" w:fill="auto"/>
            <w:noWrap w:val="0"/>
            <w:vAlign w:val="center"/>
          </w:tcPr>
          <w:p w14:paraId="7EAF9C2E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4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7B733DD4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12.04</w:t>
            </w:r>
          </w:p>
        </w:tc>
        <w:tc>
          <w:tcPr>
            <w:tcW w:w="705" w:type="pct"/>
            <w:shd w:val="clear" w:color="auto" w:fill="auto"/>
            <w:noWrap w:val="0"/>
            <w:vAlign w:val="center"/>
          </w:tcPr>
          <w:p w14:paraId="73E973FD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2.33 (1.85, 2.94)</w:t>
            </w:r>
          </w:p>
        </w:tc>
        <w:tc>
          <w:tcPr>
            <w:tcW w:w="513" w:type="pct"/>
            <w:noWrap w:val="0"/>
            <w:vAlign w:val="center"/>
          </w:tcPr>
          <w:p w14:paraId="663689FB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shd w:val="clear" w:color="auto" w:fill="auto"/>
            <w:noWrap w:val="0"/>
            <w:vAlign w:val="center"/>
          </w:tcPr>
          <w:p w14:paraId="71DFE040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2.53 (2.00, 3.20)</w:t>
            </w:r>
          </w:p>
        </w:tc>
        <w:tc>
          <w:tcPr>
            <w:tcW w:w="526" w:type="pct"/>
            <w:noWrap w:val="0"/>
            <w:vAlign w:val="center"/>
          </w:tcPr>
          <w:p w14:paraId="7F34A0E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4D46B22E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1.70 (1.28, 2.25)</w:t>
            </w:r>
          </w:p>
        </w:tc>
        <w:tc>
          <w:tcPr>
            <w:tcW w:w="463" w:type="pct"/>
            <w:noWrap w:val="0"/>
            <w:vAlign w:val="center"/>
          </w:tcPr>
          <w:p w14:paraId="4646FF5C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58D71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tl2br w:val="nil"/>
              <w:tr2bl w:val="nil"/>
            </w:tcBorders>
            <w:noWrap/>
            <w:vAlign w:val="center"/>
          </w:tcPr>
          <w:p w14:paraId="11071203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bidi="ar"/>
              </w:rPr>
            </w:pPr>
            <w:r>
              <w:rPr>
                <w:rFonts w:hint="default" w:ascii="Arial" w:hAnsi="Arial" w:cs="Arial"/>
                <w:i/>
                <w:iCs/>
                <w:color w:val="000000"/>
                <w:kern w:val="0"/>
                <w:sz w:val="13"/>
                <w:szCs w:val="13"/>
                <w:lang w:bidi="ar"/>
              </w:rPr>
              <w:t>P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for trend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46EAF77E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705" w:type="pct"/>
            <w:tcBorders>
              <w:tl2br w:val="nil"/>
              <w:tr2bl w:val="nil"/>
            </w:tcBorders>
            <w:noWrap/>
            <w:vAlign w:val="center"/>
          </w:tcPr>
          <w:p w14:paraId="332E4562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513" w:type="pct"/>
            <w:tcBorders>
              <w:tl2br w:val="nil"/>
              <w:tr2bl w:val="nil"/>
            </w:tcBorders>
            <w:noWrap/>
            <w:vAlign w:val="center"/>
          </w:tcPr>
          <w:p w14:paraId="77FC8255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tcBorders>
              <w:tl2br w:val="nil"/>
              <w:tr2bl w:val="nil"/>
            </w:tcBorders>
            <w:noWrap/>
            <w:vAlign w:val="center"/>
          </w:tcPr>
          <w:p w14:paraId="1FF33DDC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526" w:type="pct"/>
            <w:tcBorders>
              <w:tl2br w:val="nil"/>
              <w:tr2bl w:val="nil"/>
            </w:tcBorders>
            <w:noWrap/>
            <w:vAlign w:val="center"/>
          </w:tcPr>
          <w:p w14:paraId="30FE265A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tcBorders>
              <w:tl2br w:val="nil"/>
              <w:tr2bl w:val="nil"/>
            </w:tcBorders>
            <w:noWrap/>
            <w:vAlign w:val="center"/>
          </w:tcPr>
          <w:p w14:paraId="47EF4660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463" w:type="pct"/>
            <w:tcBorders>
              <w:tl2br w:val="nil"/>
              <w:tr2bl w:val="nil"/>
            </w:tcBorders>
            <w:noWrap/>
            <w:vAlign w:val="center"/>
          </w:tcPr>
          <w:p w14:paraId="5BB28657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13CD8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8"/>
            <w:noWrap w:val="0"/>
            <w:vAlign w:val="center"/>
          </w:tcPr>
          <w:p w14:paraId="07102224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/>
                <w:bCs/>
                <w:i w:val="0"/>
                <w:iCs w:val="0"/>
                <w:color w:val="000000"/>
                <w:kern w:val="0"/>
                <w:sz w:val="14"/>
                <w:szCs w:val="14"/>
                <w:u w:val="none"/>
                <w:lang w:val="en-US" w:eastAsia="zh-CN" w:bidi="ar"/>
              </w:rPr>
              <w:t>METS-IR and BMR</w:t>
            </w:r>
          </w:p>
        </w:tc>
      </w:tr>
      <w:tr w14:paraId="2FCDB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shd w:val="clear" w:color="auto" w:fill="auto"/>
            <w:noWrap w:val="0"/>
            <w:vAlign w:val="center"/>
          </w:tcPr>
          <w:p w14:paraId="6BA1F1F1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1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6DBE98D4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6.12</w:t>
            </w:r>
          </w:p>
        </w:tc>
        <w:tc>
          <w:tcPr>
            <w:tcW w:w="705" w:type="pct"/>
            <w:noWrap w:val="0"/>
            <w:vAlign w:val="center"/>
          </w:tcPr>
          <w:p w14:paraId="77492830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13" w:type="pct"/>
            <w:noWrap w:val="0"/>
            <w:vAlign w:val="center"/>
          </w:tcPr>
          <w:p w14:paraId="2340F63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  <w:tc>
          <w:tcPr>
            <w:tcW w:w="702" w:type="pct"/>
            <w:noWrap w:val="0"/>
            <w:vAlign w:val="center"/>
          </w:tcPr>
          <w:p w14:paraId="2B2A50C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526" w:type="pct"/>
            <w:noWrap w:val="0"/>
            <w:vAlign w:val="center"/>
          </w:tcPr>
          <w:p w14:paraId="584A0FDC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  <w:tc>
          <w:tcPr>
            <w:tcW w:w="716" w:type="pct"/>
            <w:noWrap w:val="0"/>
            <w:vAlign w:val="center"/>
          </w:tcPr>
          <w:p w14:paraId="1A6CC6A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2"/>
                <w:sz w:val="13"/>
                <w:szCs w:val="13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Reference</w:t>
            </w:r>
          </w:p>
        </w:tc>
        <w:tc>
          <w:tcPr>
            <w:tcW w:w="463" w:type="pct"/>
            <w:noWrap w:val="0"/>
            <w:vAlign w:val="center"/>
          </w:tcPr>
          <w:p w14:paraId="3826C081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—</w:t>
            </w:r>
          </w:p>
        </w:tc>
      </w:tr>
      <w:tr w14:paraId="33BFD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shd w:val="clear" w:color="auto" w:fill="auto"/>
            <w:noWrap w:val="0"/>
            <w:vAlign w:val="center"/>
          </w:tcPr>
          <w:p w14:paraId="21111D5A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2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7C098AB0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5.87</w:t>
            </w:r>
          </w:p>
        </w:tc>
        <w:tc>
          <w:tcPr>
            <w:tcW w:w="705" w:type="pct"/>
            <w:shd w:val="clear" w:color="auto" w:fill="auto"/>
            <w:noWrap w:val="0"/>
            <w:vAlign w:val="center"/>
          </w:tcPr>
          <w:p w14:paraId="20FD1FD9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0.95 (0.64, 1.41)</w:t>
            </w:r>
          </w:p>
        </w:tc>
        <w:tc>
          <w:tcPr>
            <w:tcW w:w="513" w:type="pct"/>
            <w:noWrap w:val="0"/>
            <w:vAlign w:val="center"/>
          </w:tcPr>
          <w:p w14:paraId="0B0EE7D3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0.806</w:t>
            </w:r>
          </w:p>
        </w:tc>
        <w:tc>
          <w:tcPr>
            <w:tcW w:w="702" w:type="pct"/>
            <w:shd w:val="clear" w:color="auto" w:fill="auto"/>
            <w:noWrap w:val="0"/>
            <w:vAlign w:val="center"/>
          </w:tcPr>
          <w:p w14:paraId="25BCB4C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1.14 (0.77, 1.70)</w:t>
            </w:r>
          </w:p>
        </w:tc>
        <w:tc>
          <w:tcPr>
            <w:tcW w:w="526" w:type="pct"/>
            <w:shd w:val="clear" w:color="auto" w:fill="auto"/>
            <w:noWrap w:val="0"/>
            <w:vAlign w:val="center"/>
          </w:tcPr>
          <w:p w14:paraId="169C316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0.505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7685FF9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1.13 (0.76, 1.68)</w:t>
            </w:r>
          </w:p>
        </w:tc>
        <w:tc>
          <w:tcPr>
            <w:tcW w:w="463" w:type="pct"/>
            <w:noWrap w:val="0"/>
            <w:vAlign w:val="center"/>
          </w:tcPr>
          <w:p w14:paraId="4FCDACA5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0.553</w:t>
            </w:r>
          </w:p>
        </w:tc>
      </w:tr>
      <w:tr w14:paraId="184E7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shd w:val="clear" w:color="auto" w:fill="auto"/>
            <w:noWrap w:val="0"/>
            <w:vAlign w:val="center"/>
          </w:tcPr>
          <w:p w14:paraId="7F3CC4BF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3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41111604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8.49</w:t>
            </w:r>
          </w:p>
        </w:tc>
        <w:tc>
          <w:tcPr>
            <w:tcW w:w="705" w:type="pct"/>
            <w:shd w:val="clear" w:color="auto" w:fill="auto"/>
            <w:noWrap w:val="0"/>
            <w:vAlign w:val="center"/>
          </w:tcPr>
          <w:p w14:paraId="16D730D3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1.40 (1.00, 1.97)</w:t>
            </w:r>
          </w:p>
        </w:tc>
        <w:tc>
          <w:tcPr>
            <w:tcW w:w="513" w:type="pct"/>
            <w:noWrap w:val="0"/>
            <w:vAlign w:val="center"/>
          </w:tcPr>
          <w:p w14:paraId="19CD25B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0.051</w:t>
            </w:r>
          </w:p>
        </w:tc>
        <w:tc>
          <w:tcPr>
            <w:tcW w:w="702" w:type="pct"/>
            <w:shd w:val="clear" w:color="auto" w:fill="auto"/>
            <w:noWrap w:val="0"/>
            <w:vAlign w:val="center"/>
          </w:tcPr>
          <w:p w14:paraId="6139A1B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1.45 (1.03, 2.05)</w:t>
            </w:r>
          </w:p>
        </w:tc>
        <w:tc>
          <w:tcPr>
            <w:tcW w:w="526" w:type="pct"/>
            <w:shd w:val="clear" w:color="auto" w:fill="auto"/>
            <w:noWrap w:val="0"/>
            <w:vAlign w:val="center"/>
          </w:tcPr>
          <w:p w14:paraId="33EC35CB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0.031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6AFFCB3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1.20 (0.82, 1.74)</w:t>
            </w:r>
          </w:p>
        </w:tc>
        <w:tc>
          <w:tcPr>
            <w:tcW w:w="463" w:type="pct"/>
            <w:noWrap w:val="0"/>
            <w:vAlign w:val="center"/>
          </w:tcPr>
          <w:p w14:paraId="5506CE1E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0.347</w:t>
            </w:r>
          </w:p>
        </w:tc>
      </w:tr>
      <w:tr w14:paraId="56EFB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shd w:val="clear" w:color="auto" w:fill="auto"/>
            <w:noWrap w:val="0"/>
            <w:vAlign w:val="center"/>
          </w:tcPr>
          <w:p w14:paraId="2D88061E">
            <w:pPr>
              <w:widowControl/>
              <w:ind w:firstLine="130" w:firstLineChars="100"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Group 4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38E2BA43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11.30</w:t>
            </w:r>
          </w:p>
        </w:tc>
        <w:tc>
          <w:tcPr>
            <w:tcW w:w="705" w:type="pct"/>
            <w:shd w:val="clear" w:color="auto" w:fill="auto"/>
            <w:noWrap w:val="0"/>
            <w:vAlign w:val="center"/>
          </w:tcPr>
          <w:p w14:paraId="5C9B1113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1.90 (1.53, 2.35)</w:t>
            </w:r>
          </w:p>
        </w:tc>
        <w:tc>
          <w:tcPr>
            <w:tcW w:w="513" w:type="pct"/>
            <w:noWrap w:val="0"/>
            <w:vAlign w:val="center"/>
          </w:tcPr>
          <w:p w14:paraId="263063F3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shd w:val="clear" w:color="auto" w:fill="auto"/>
            <w:noWrap w:val="0"/>
            <w:vAlign w:val="center"/>
          </w:tcPr>
          <w:p w14:paraId="1E0CA01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2.24 (1.80, 2.80)</w:t>
            </w:r>
          </w:p>
        </w:tc>
        <w:tc>
          <w:tcPr>
            <w:tcW w:w="526" w:type="pct"/>
            <w:shd w:val="clear" w:color="auto" w:fill="auto"/>
            <w:noWrap w:val="0"/>
            <w:vAlign w:val="center"/>
          </w:tcPr>
          <w:p w14:paraId="66DC4B51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shd w:val="clear" w:color="auto" w:fill="auto"/>
            <w:noWrap w:val="0"/>
            <w:vAlign w:val="center"/>
          </w:tcPr>
          <w:p w14:paraId="47D50055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val="en-US" w:eastAsia="zh-CN" w:bidi="ar"/>
              </w:rPr>
              <w:t>1.73 (1.33, 2.25)</w:t>
            </w:r>
          </w:p>
        </w:tc>
        <w:tc>
          <w:tcPr>
            <w:tcW w:w="463" w:type="pct"/>
            <w:noWrap w:val="0"/>
            <w:vAlign w:val="center"/>
          </w:tcPr>
          <w:p w14:paraId="635D63DB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  <w:tr w14:paraId="2BC29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56" w:type="pct"/>
            <w:tcBorders>
              <w:bottom w:val="single" w:color="auto" w:sz="12" w:space="0"/>
            </w:tcBorders>
            <w:noWrap/>
            <w:vAlign w:val="center"/>
          </w:tcPr>
          <w:p w14:paraId="6DADFE3E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val="en-US" w:bidi="ar"/>
              </w:rPr>
            </w:pPr>
            <w:r>
              <w:rPr>
                <w:rFonts w:hint="default" w:ascii="Arial" w:hAnsi="Arial" w:cs="Arial"/>
                <w:i/>
                <w:iCs/>
                <w:color w:val="000000"/>
                <w:kern w:val="0"/>
                <w:sz w:val="13"/>
                <w:szCs w:val="13"/>
                <w:lang w:bidi="ar"/>
              </w:rPr>
              <w:t>P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 xml:space="preserve"> for trend</w:t>
            </w:r>
          </w:p>
        </w:tc>
        <w:tc>
          <w:tcPr>
            <w:tcW w:w="716" w:type="pct"/>
            <w:tcBorders>
              <w:bottom w:val="single" w:color="auto" w:sz="12" w:space="0"/>
            </w:tcBorders>
            <w:noWrap/>
            <w:vAlign w:val="center"/>
          </w:tcPr>
          <w:p w14:paraId="2B95790D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705" w:type="pct"/>
            <w:tcBorders>
              <w:bottom w:val="single" w:color="auto" w:sz="12" w:space="0"/>
            </w:tcBorders>
            <w:noWrap/>
            <w:vAlign w:val="center"/>
          </w:tcPr>
          <w:p w14:paraId="25C55946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513" w:type="pct"/>
            <w:tcBorders>
              <w:bottom w:val="single" w:color="auto" w:sz="12" w:space="0"/>
            </w:tcBorders>
            <w:noWrap/>
            <w:vAlign w:val="center"/>
          </w:tcPr>
          <w:p w14:paraId="317B20EF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02" w:type="pct"/>
            <w:tcBorders>
              <w:bottom w:val="single" w:color="auto" w:sz="12" w:space="0"/>
            </w:tcBorders>
            <w:noWrap/>
            <w:vAlign w:val="center"/>
          </w:tcPr>
          <w:p w14:paraId="00D45578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526" w:type="pct"/>
            <w:tcBorders>
              <w:bottom w:val="single" w:color="auto" w:sz="12" w:space="0"/>
            </w:tcBorders>
            <w:noWrap/>
            <w:vAlign w:val="center"/>
          </w:tcPr>
          <w:p w14:paraId="1B1AD8F9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  <w:tc>
          <w:tcPr>
            <w:tcW w:w="716" w:type="pct"/>
            <w:tcBorders>
              <w:bottom w:val="single" w:color="auto" w:sz="12" w:space="0"/>
            </w:tcBorders>
            <w:noWrap/>
            <w:vAlign w:val="center"/>
          </w:tcPr>
          <w:p w14:paraId="4021EAC7">
            <w:pPr>
              <w:widowControl/>
              <w:jc w:val="left"/>
              <w:textAlignment w:val="center"/>
              <w:rPr>
                <w:rFonts w:hint="default" w:ascii="Arial" w:hAnsi="Arial" w:eastAsia="宋体" w:cs="Arial"/>
                <w:color w:val="000000"/>
                <w:kern w:val="0"/>
                <w:sz w:val="13"/>
                <w:szCs w:val="13"/>
                <w:lang w:val="en-US" w:eastAsia="zh-CN" w:bidi="ar"/>
              </w:rPr>
            </w:pPr>
          </w:p>
        </w:tc>
        <w:tc>
          <w:tcPr>
            <w:tcW w:w="463" w:type="pct"/>
            <w:tcBorders>
              <w:bottom w:val="single" w:color="auto" w:sz="12" w:space="0"/>
            </w:tcBorders>
            <w:noWrap/>
            <w:vAlign w:val="center"/>
          </w:tcPr>
          <w:p w14:paraId="0857BEA7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3"/>
                <w:szCs w:val="13"/>
                <w:lang w:eastAsia="zh-CN" w:bidi="ar"/>
              </w:rPr>
              <w:t xml:space="preserve">&lt; </w:t>
            </w:r>
            <w:r>
              <w:rPr>
                <w:rFonts w:hint="default" w:ascii="Arial" w:hAnsi="Arial" w:cs="Arial"/>
                <w:color w:val="000000"/>
                <w:kern w:val="0"/>
                <w:sz w:val="13"/>
                <w:szCs w:val="13"/>
                <w:lang w:bidi="ar"/>
              </w:rPr>
              <w:t>0.001</w:t>
            </w:r>
          </w:p>
        </w:tc>
      </w:tr>
    </w:tbl>
    <w:p w14:paraId="492760F8">
      <w:pP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Model I: non-adjusted</w:t>
      </w:r>
    </w:p>
    <w:p w14:paraId="32B6D2E7">
      <w:pP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Model II: adjusted for age, gender, smoking status, drinking status, education level, marital status, residence</w:t>
      </w:r>
    </w:p>
    <w:p w14:paraId="31261FD9">
      <w:pP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Model III: further adjusted for SBP, DBP,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TC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,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HDL-C, LDL-C, hs-CRP,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chronic diseases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 (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hypertension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,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dyslipidemia, depression,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and cancer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), and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medication use (antihyp</w:t>
      </w:r>
      <w:r>
        <w:rPr>
          <w:rFonts w:hint="default" w:ascii="Arial" w:hAnsi="Arial" w:eastAsia="Segoe UI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er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tensive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 and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antidyslipidemic)</w:t>
      </w:r>
    </w:p>
    <w:p w14:paraId="47E1EC8F">
      <w:pP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Group 1 refers to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low 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and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low BMR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; Group 2 refers to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low 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and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high BMR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; Group 3 refers to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high 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and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low BMR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; Group 4 refers to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 high 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and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high BMR.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insulin resistance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,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BMR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 basal metabolic rate,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TyG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triglyceride-glucose,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eGDR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e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stimate glucose disposal rate,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METS-IR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metabolic score for insulin resistance, </w:t>
      </w:r>
      <w:r>
        <w:rPr>
          <w:rFonts w:hint="default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HR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hazard ratio, </w:t>
      </w:r>
      <w:r>
        <w:rPr>
          <w:rFonts w:hint="default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CI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confidence interval</w:t>
      </w:r>
    </w:p>
    <w:p w14:paraId="22F00B15">
      <w:pP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宋体" w:cs="Arial"/>
          <w:b/>
          <w:bCs/>
          <w:i w:val="0"/>
          <w:iCs w:val="0"/>
          <w:color w:val="000000" w:themeColor="text1"/>
          <w:spacing w:val="0"/>
          <w:sz w:val="12"/>
          <w:szCs w:val="12"/>
          <w:shd w:val="clear" w:fill="FDFDFE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a</w:t>
      </w:r>
      <w: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:lang w:val="en-US" w:eastAsia="zh-CN"/>
          <w14:textFill>
            <w14:solidFill>
              <w14:schemeClr w14:val="tx1"/>
            </w14:solidFill>
          </w14:textFill>
        </w:rPr>
        <w:t>Incident rate was presented as per 1000 person-years of follow-up</w:t>
      </w:r>
    </w:p>
    <w:p w14:paraId="56673EF5">
      <w:pPr>
        <w:rPr>
          <w:rFonts w:hint="default" w:ascii="Arial" w:hAnsi="Arial" w:cs="Arial"/>
          <w:sz w:val="11"/>
          <w:szCs w:val="11"/>
        </w:rPr>
      </w:pPr>
    </w:p>
    <w:p w14:paraId="7E85861F"/>
    <w:p w14:paraId="452A95DC">
      <w:pPr>
        <w:rPr>
          <w:rFonts w:hint="default" w:ascii="Arial" w:hAnsi="Arial" w:eastAsia="宋体" w:cs="Arial"/>
          <w:color w:val="000000" w:themeColor="text1"/>
          <w:sz w:val="16"/>
          <w:szCs w:val="1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bCs/>
          <w:i w:val="0"/>
          <w:iCs w:val="0"/>
          <w:color w:val="000000"/>
          <w:sz w:val="16"/>
          <w:szCs w:val="16"/>
          <w:u w:val="none"/>
          <w:lang w:val="en-US" w:eastAsia="zh-CN"/>
        </w:rPr>
        <w:t xml:space="preserve">Table </w:t>
      </w:r>
      <w:r>
        <w:rPr>
          <w:rFonts w:hint="eastAsia" w:ascii="Arial" w:hAnsi="Arial" w:cs="Arial"/>
          <w:b/>
          <w:bCs/>
          <w:i w:val="0"/>
          <w:iCs w:val="0"/>
          <w:color w:val="000000"/>
          <w:sz w:val="16"/>
          <w:szCs w:val="16"/>
          <w:u w:val="none"/>
          <w:lang w:val="en-US" w:eastAsia="zh-CN"/>
        </w:rPr>
        <w:t>S20</w:t>
      </w:r>
      <w:r>
        <w:rPr>
          <w:rFonts w:hint="default" w:ascii="Arial" w:hAnsi="Arial" w:cs="Arial"/>
          <w:b/>
          <w:bCs/>
          <w:i w:val="0"/>
          <w:iCs w:val="0"/>
          <w:color w:val="000000"/>
          <w:sz w:val="16"/>
          <w:szCs w:val="16"/>
          <w:u w:val="none"/>
          <w:lang w:val="en-US" w:eastAsia="zh-CN"/>
        </w:rPr>
        <w:t xml:space="preserve"> </w:t>
      </w:r>
      <w:r>
        <w:rPr>
          <w:rFonts w:hint="default" w:ascii="Arial" w:hAnsi="Arial" w:cs="Arial"/>
          <w:i w:val="0"/>
          <w:iCs w:val="0"/>
          <w:color w:val="000000"/>
          <w:sz w:val="16"/>
          <w:szCs w:val="16"/>
          <w:u w:val="none"/>
          <w:lang w:val="en-US" w:eastAsia="zh-CN"/>
        </w:rPr>
        <w:t xml:space="preserve"> </w:t>
      </w:r>
      <w:r>
        <w:rPr>
          <w:rFonts w:hint="default" w:ascii="Arial" w:hAnsi="Arial" w:eastAsia="宋体" w:cs="Arial"/>
          <w:color w:val="000000" w:themeColor="text1"/>
          <w:sz w:val="16"/>
          <w:szCs w:val="16"/>
          <w:lang w:val="en-US" w:eastAsia="zh-CN"/>
          <w14:textFill>
            <w14:solidFill>
              <w14:schemeClr w14:val="tx1"/>
            </w14:solidFill>
          </w14:textFill>
        </w:rPr>
        <w:t xml:space="preserve">Threshold effect analysis of the </w:t>
      </w:r>
      <w:r>
        <w:rPr>
          <w:rFonts w:hint="eastAsia" w:ascii="Arial" w:hAnsi="Arial" w:cs="Arial"/>
          <w:color w:val="000000" w:themeColor="text1"/>
          <w:sz w:val="16"/>
          <w:szCs w:val="16"/>
          <w:lang w:val="en-US" w:eastAsia="zh-CN"/>
          <w14:textFill>
            <w14:solidFill>
              <w14:schemeClr w14:val="tx1"/>
            </w14:solidFill>
          </w14:textFill>
        </w:rPr>
        <w:t>BM</w:t>
      </w:r>
      <w:r>
        <w:rPr>
          <w:rFonts w:hint="default" w:ascii="Arial" w:hAnsi="Arial" w:eastAsia="宋体" w:cs="Arial"/>
          <w:color w:val="000000" w:themeColor="text1"/>
          <w:sz w:val="16"/>
          <w:szCs w:val="16"/>
          <w:lang w:val="en-US" w:eastAsia="zh-CN"/>
          <w14:textFill>
            <w14:solidFill>
              <w14:schemeClr w14:val="tx1"/>
            </w14:solidFill>
          </w14:textFill>
        </w:rPr>
        <w:t xml:space="preserve">R on the risk of CMM among </w:t>
      </w:r>
      <w:r>
        <w:rPr>
          <w:rFonts w:hint="eastAsia" w:ascii="Arial" w:hAnsi="Arial" w:cs="Arial"/>
          <w:color w:val="000000" w:themeColor="text1"/>
          <w:sz w:val="16"/>
          <w:szCs w:val="16"/>
          <w:lang w:val="en-US" w:eastAsia="zh-CN"/>
          <w14:textFill>
            <w14:solidFill>
              <w14:schemeClr w14:val="tx1"/>
            </w14:solidFill>
          </w14:textFill>
        </w:rPr>
        <w:t>female</w:t>
      </w:r>
    </w:p>
    <w:tbl>
      <w:tblPr>
        <w:tblStyle w:val="2"/>
        <w:tblW w:w="4998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7"/>
        <w:gridCol w:w="2595"/>
        <w:gridCol w:w="1377"/>
      </w:tblGrid>
      <w:tr w14:paraId="3E32E67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68" w:type="pct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66CD6178">
            <w:pPr>
              <w:widowControl/>
              <w:jc w:val="left"/>
              <w:textAlignment w:val="center"/>
              <w:rPr>
                <w:rFonts w:hint="default" w:ascii="Arial" w:hAnsi="Arial" w:cs="Arial" w:eastAsiaTheme="minorEastAsia"/>
                <w:b/>
                <w:bCs/>
                <w:color w:val="000000"/>
                <w:sz w:val="15"/>
                <w:szCs w:val="15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bCs/>
                <w:color w:val="000000"/>
                <w:sz w:val="15"/>
                <w:szCs w:val="15"/>
                <w:lang w:val="en-US" w:eastAsia="zh-CN"/>
              </w:rPr>
              <w:t>Participants</w:t>
            </w:r>
            <w:r>
              <w:rPr>
                <w:rFonts w:hint="default" w:ascii="Arial" w:hAnsi="Arial" w:cs="Arial"/>
                <w:b/>
                <w:bCs/>
                <w:color w:val="000000"/>
                <w:sz w:val="15"/>
                <w:szCs w:val="15"/>
                <w:lang w:val="en-US" w:eastAsia="zh-CN"/>
              </w:rPr>
              <w:t xml:space="preserve"> with </w:t>
            </w:r>
            <w:r>
              <w:rPr>
                <w:rFonts w:hint="eastAsia" w:ascii="Arial" w:hAnsi="Arial" w:eastAsia="宋体" w:cs="Arial"/>
                <w:b/>
                <w:bCs/>
                <w:color w:val="000000" w:themeColor="text1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low BMR</w:t>
            </w:r>
          </w:p>
        </w:tc>
        <w:tc>
          <w:tcPr>
            <w:tcW w:w="1523" w:type="pct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23787A69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5"/>
                <w:szCs w:val="15"/>
                <w:lang w:val="en-US" w:eastAsia="zh-CN" w:bidi="ar"/>
              </w:rPr>
              <w:t>Adjusted H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R (95</w:t>
            </w:r>
            <w:r>
              <w:rPr>
                <w:rFonts w:hint="eastAsia" w:ascii="Arial" w:hAnsi="Arial" w:cs="Arial"/>
                <w:b/>
                <w:bCs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%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CI)</w:t>
            </w:r>
          </w:p>
        </w:tc>
        <w:tc>
          <w:tcPr>
            <w:tcW w:w="808" w:type="pct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4476CD86">
            <w:pPr>
              <w:widowControl/>
              <w:jc w:val="left"/>
              <w:textAlignment w:val="center"/>
              <w:rPr>
                <w:rFonts w:hint="default" w:ascii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5"/>
                <w:szCs w:val="15"/>
                <w:lang w:bidi="ar"/>
              </w:rPr>
              <w:t>P</w:t>
            </w:r>
            <w:r>
              <w:rPr>
                <w:rFonts w:hint="default" w:ascii="Arial" w:hAnsi="Arial" w:cs="Arial"/>
                <w:b/>
                <w:bCs/>
                <w:i/>
                <w:iCs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value</w:t>
            </w:r>
          </w:p>
        </w:tc>
      </w:tr>
      <w:tr w14:paraId="23A7014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66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DD21A4">
            <w:pPr>
              <w:widowControl/>
              <w:jc w:val="left"/>
              <w:textAlignment w:val="center"/>
              <w:rPr>
                <w:rFonts w:hint="default" w:ascii="Arial" w:hAnsi="Arial" w:cs="Arial" w:eastAsiaTheme="minorEastAsia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Arial" w:hAnsi="Arial" w:cs="Arial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lang w:val="en-US" w:eastAsia="zh-CN" w:bidi="ar"/>
              </w:rPr>
              <w:t>BMR</w:t>
            </w:r>
          </w:p>
        </w:tc>
        <w:tc>
          <w:tcPr>
            <w:tcW w:w="15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EDF9ED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80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F5BE25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</w:pPr>
          </w:p>
        </w:tc>
      </w:tr>
      <w:tr w14:paraId="7B2CBE6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66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49A0B6">
            <w:pPr>
              <w:widowControl/>
              <w:ind w:firstLine="150" w:firstLineChars="100"/>
              <w:jc w:val="left"/>
              <w:textAlignment w:val="center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Arial" w:hAnsi="Arial" w:cs="Arial"/>
                <w:i w:val="0"/>
                <w:iCs w:val="0"/>
                <w:color w:val="000000"/>
                <w:kern w:val="0"/>
                <w:sz w:val="15"/>
                <w:szCs w:val="15"/>
                <w:lang w:val="en-US" w:eastAsia="zh-CN" w:bidi="ar"/>
              </w:rPr>
              <w:t>Total</w:t>
            </w:r>
          </w:p>
        </w:tc>
        <w:tc>
          <w:tcPr>
            <w:tcW w:w="15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02D5D4">
            <w:pPr>
              <w:widowControl/>
              <w:jc w:val="left"/>
              <w:textAlignment w:val="center"/>
              <w:rPr>
                <w:rFonts w:hint="default" w:ascii="Arial" w:hAnsi="Arial" w:cs="Arial" w:eastAsiaTheme="minorEastAsia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>1.00</w:t>
            </w:r>
            <w:r>
              <w:rPr>
                <w:rFonts w:hint="eastAsia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>1</w:t>
            </w:r>
            <w:r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 (</w:t>
            </w:r>
            <w:r>
              <w:rPr>
                <w:rFonts w:hint="eastAsia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>1.000</w:t>
            </w:r>
            <w:r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>, 1.0</w:t>
            </w:r>
            <w:r>
              <w:rPr>
                <w:rFonts w:hint="eastAsia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>02</w:t>
            </w:r>
            <w:r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>)</w:t>
            </w:r>
          </w:p>
        </w:tc>
        <w:tc>
          <w:tcPr>
            <w:tcW w:w="80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323D64">
            <w:pPr>
              <w:widowControl/>
              <w:jc w:val="left"/>
              <w:textAlignment w:val="center"/>
              <w:rPr>
                <w:rFonts w:hint="default" w:ascii="Arial" w:hAnsi="Arial" w:cs="Arial" w:eastAsiaTheme="minorEastAsia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&lt;</w:t>
            </w:r>
            <w:r>
              <w:rPr>
                <w:rFonts w:hint="eastAsia" w:ascii="Arial" w:hAnsi="Arial" w:cs="Arial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0.001</w:t>
            </w:r>
          </w:p>
        </w:tc>
      </w:tr>
      <w:tr w14:paraId="5EBF788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66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48DC93">
            <w:pPr>
              <w:widowControl/>
              <w:ind w:firstLine="150" w:firstLineChars="100"/>
              <w:jc w:val="left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bidi="ar"/>
              </w:rPr>
              <w:t>Fitting by two-piecewise Cox proportional risk</w:t>
            </w:r>
            <w:r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bidi="ar"/>
              </w:rPr>
              <w:t>model</w:t>
            </w:r>
          </w:p>
        </w:tc>
        <w:tc>
          <w:tcPr>
            <w:tcW w:w="15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3CF214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80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2C7175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</w:pPr>
          </w:p>
        </w:tc>
      </w:tr>
      <w:tr w14:paraId="29926DF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66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C7048E">
            <w:pPr>
              <w:widowControl/>
              <w:ind w:firstLine="150" w:firstLineChars="100"/>
              <w:jc w:val="left"/>
              <w:textAlignment w:val="center"/>
              <w:rPr>
                <w:rFonts w:hint="default" w:ascii="Arial" w:hAnsi="Arial" w:cs="Arial" w:eastAsiaTheme="minorEastAsia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bidi="ar"/>
              </w:rPr>
              <w:t>Inflection point</w:t>
            </w:r>
          </w:p>
        </w:tc>
        <w:tc>
          <w:tcPr>
            <w:tcW w:w="15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31E0FC">
            <w:pPr>
              <w:widowControl/>
              <w:jc w:val="left"/>
              <w:textAlignment w:val="center"/>
              <w:rPr>
                <w:rFonts w:hint="default" w:ascii="Arial" w:hAnsi="Arial" w:cs="Arial" w:eastAsiaTheme="minorEastAsia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>1480.47</w:t>
            </w:r>
          </w:p>
        </w:tc>
        <w:tc>
          <w:tcPr>
            <w:tcW w:w="80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79AB067">
            <w:pPr>
              <w:widowControl/>
              <w:jc w:val="left"/>
              <w:textAlignment w:val="center"/>
              <w:rPr>
                <w:rFonts w:hint="default" w:ascii="Arial" w:hAnsi="Arial" w:cs="Arial" w:eastAsiaTheme="minorEastAsia"/>
                <w:color w:val="000000"/>
                <w:kern w:val="0"/>
                <w:sz w:val="15"/>
                <w:szCs w:val="15"/>
                <w:lang w:val="en-US" w:eastAsia="zh-CN" w:bidi="ar"/>
              </w:rPr>
            </w:pPr>
          </w:p>
        </w:tc>
      </w:tr>
      <w:tr w14:paraId="0172450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66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E862A3">
            <w:pPr>
              <w:widowControl/>
              <w:ind w:firstLine="150" w:firstLineChars="100"/>
              <w:jc w:val="left"/>
              <w:textAlignment w:val="center"/>
              <w:rPr>
                <w:rFonts w:hint="default" w:ascii="Arial" w:hAnsi="Arial" w:cs="Arial" w:eastAsiaTheme="minorEastAsia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>BMR</w:t>
            </w:r>
            <w:r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bidi="ar"/>
              </w:rPr>
              <w:t>&lt;</w:t>
            </w:r>
            <w:r>
              <w:rPr>
                <w:rFonts w:hint="eastAsia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 1480.47</w:t>
            </w:r>
          </w:p>
        </w:tc>
        <w:tc>
          <w:tcPr>
            <w:tcW w:w="15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A18FC3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>1.002 (1.001, 1.003)</w:t>
            </w:r>
          </w:p>
        </w:tc>
        <w:tc>
          <w:tcPr>
            <w:tcW w:w="80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BE5FCC3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&lt;</w:t>
            </w:r>
            <w:r>
              <w:rPr>
                <w:rFonts w:hint="eastAsia" w:ascii="Arial" w:hAnsi="Arial" w:cs="Arial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0.001</w:t>
            </w:r>
          </w:p>
        </w:tc>
      </w:tr>
      <w:tr w14:paraId="408A2F1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66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326CA5">
            <w:pPr>
              <w:widowControl/>
              <w:ind w:firstLine="150" w:firstLineChars="100"/>
              <w:jc w:val="left"/>
              <w:textAlignment w:val="center"/>
              <w:rPr>
                <w:rFonts w:hint="default" w:ascii="Arial" w:hAnsi="Arial" w:cs="Arial" w:eastAsiaTheme="minorEastAsia"/>
                <w:color w:val="000000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>BMR</w:t>
            </w:r>
            <w:r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 </w:t>
            </w:r>
            <w:r>
              <w:rPr>
                <w:rFonts w:hint="default" w:ascii="Arial" w:hAnsi="Arial" w:eastAsia="Times New Roman" w:cs="Arial"/>
                <w:b w:val="0"/>
                <w:i w:val="0"/>
                <w:color w:val="000000"/>
                <w:sz w:val="15"/>
                <w:szCs w:val="15"/>
                <w:u w:val="none"/>
                <w:lang w:val="en-US" w:eastAsia="zh-CN"/>
              </w:rPr>
              <w:t>≥</w:t>
            </w:r>
            <w:r>
              <w:rPr>
                <w:rFonts w:hint="eastAsia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 xml:space="preserve"> 1480.47</w:t>
            </w:r>
          </w:p>
        </w:tc>
        <w:tc>
          <w:tcPr>
            <w:tcW w:w="15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084B70D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>0.979 (0.963, 0.996)</w:t>
            </w:r>
          </w:p>
        </w:tc>
        <w:tc>
          <w:tcPr>
            <w:tcW w:w="80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F4E8EC">
            <w:pPr>
              <w:widowControl/>
              <w:jc w:val="left"/>
              <w:textAlignment w:val="center"/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>0.</w:t>
            </w:r>
            <w:r>
              <w:rPr>
                <w:rFonts w:hint="eastAsia" w:ascii="Arial" w:hAnsi="Arial" w:cs="Arial"/>
                <w:color w:val="000000"/>
                <w:kern w:val="0"/>
                <w:sz w:val="15"/>
                <w:szCs w:val="15"/>
                <w:lang w:val="en-US" w:eastAsia="zh-CN" w:bidi="ar"/>
              </w:rPr>
              <w:t>017</w:t>
            </w:r>
          </w:p>
        </w:tc>
      </w:tr>
      <w:tr w14:paraId="305AF8A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266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277FEA">
            <w:pPr>
              <w:widowControl/>
              <w:ind w:firstLine="150" w:firstLineChars="100"/>
              <w:jc w:val="left"/>
              <w:textAlignment w:val="center"/>
              <w:rPr>
                <w:rFonts w:hint="default" w:ascii="Arial" w:hAnsi="Arial" w:cs="Arial" w:eastAsiaTheme="minorEastAsia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Arial" w:hAnsi="Arial" w:cs="Arial"/>
                <w:i/>
                <w:iCs/>
                <w:color w:val="000000"/>
                <w:kern w:val="0"/>
                <w:sz w:val="15"/>
                <w:szCs w:val="15"/>
                <w:lang w:bidi="ar"/>
              </w:rPr>
              <w:t>P</w:t>
            </w:r>
            <w:r>
              <w:rPr>
                <w:rFonts w:hint="default" w:ascii="Arial" w:hAnsi="Arial" w:cs="Arial"/>
                <w:color w:val="000000"/>
                <w:kern w:val="0"/>
                <w:sz w:val="15"/>
                <w:szCs w:val="15"/>
                <w:lang w:bidi="ar"/>
              </w:rPr>
              <w:t xml:space="preserve"> for log-likelihood ratio</w:t>
            </w:r>
          </w:p>
        </w:tc>
        <w:tc>
          <w:tcPr>
            <w:tcW w:w="1523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FD4D0C">
            <w:pPr>
              <w:widowControl/>
              <w:jc w:val="left"/>
              <w:textAlignment w:val="center"/>
              <w:rPr>
                <w:rFonts w:hint="default" w:ascii="Arial" w:hAnsi="Arial" w:cs="Arial" w:eastAsiaTheme="minorEastAsia"/>
                <w:color w:val="000000"/>
                <w:kern w:val="0"/>
                <w:sz w:val="15"/>
                <w:szCs w:val="15"/>
                <w:lang w:val="en-US" w:eastAsia="zh-CN" w:bidi="ar"/>
              </w:rPr>
            </w:pPr>
          </w:p>
        </w:tc>
        <w:tc>
          <w:tcPr>
            <w:tcW w:w="80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5BB72C">
            <w:pPr>
              <w:widowControl/>
              <w:jc w:val="left"/>
              <w:textAlignment w:val="center"/>
              <w:rPr>
                <w:rFonts w:hint="default" w:ascii="Arial" w:hAnsi="Arial" w:cs="Arial" w:eastAsiaTheme="minorEastAsia"/>
                <w:color w:val="000000"/>
                <w:kern w:val="0"/>
                <w:sz w:val="15"/>
                <w:szCs w:val="15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0.001</w:t>
            </w:r>
          </w:p>
        </w:tc>
      </w:tr>
    </w:tbl>
    <w:p w14:paraId="6653F888">
      <w:pP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Cox proportional hazards models were employed to estimate HR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s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and 95% CI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s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.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The m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ultivariate models were adjusted for age, smoking status, drinking status, education level, marital status, residence, SBP, DBP,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TC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,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HDL-C, LDL-C, hs-CRP,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chronic diseases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 (including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hypertension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,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dyslipidemia, depression,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and cancer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), as well as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medication use (antihypertensive, antidiabetic, antidyslipidemic,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and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cardiovascular medications)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.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BMR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basal metabolic rate,</w:t>
      </w:r>
      <w:r>
        <w:rPr>
          <w:rFonts w:hint="default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 xml:space="preserve"> HR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s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hazard ratio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s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, </w:t>
      </w:r>
      <w:r>
        <w:rPr>
          <w:rFonts w:hint="default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CI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s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confidence interval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s</w:t>
      </w:r>
    </w:p>
    <w:p w14:paraId="4C6D70A9"/>
    <w:p w14:paraId="1F4A0B21"/>
    <w:p w14:paraId="20BC5A22"/>
    <w:p w14:paraId="192C4F38"/>
    <w:p w14:paraId="3F47A15E"/>
    <w:p w14:paraId="12A6B804"/>
    <w:p w14:paraId="00FA173C"/>
    <w:p w14:paraId="2AD8D323"/>
    <w:p w14:paraId="2741189F"/>
    <w:p w14:paraId="31A7ED4B"/>
    <w:p w14:paraId="19765135"/>
    <w:p w14:paraId="58A5C362"/>
    <w:p w14:paraId="0120AF4A"/>
    <w:p w14:paraId="15DE23C7"/>
    <w:p w14:paraId="41CF36DB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6055" cy="1366520"/>
            <wp:effectExtent l="0" t="0" r="1270" b="5080"/>
            <wp:docPr id="3" name="图片 3" descr="Fig.S1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.S111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36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03DBB">
      <w:pPr>
        <w:rPr>
          <w:rFonts w:hint="default"/>
          <w:lang w:val="en-US"/>
        </w:rPr>
      </w:pPr>
      <w:r>
        <w:rPr>
          <w:rFonts w:hint="default" w:ascii="Arial" w:hAnsi="Arial" w:cs="Arial"/>
          <w:b/>
          <w:bCs/>
          <w:sz w:val="12"/>
          <w:szCs w:val="12"/>
        </w:rPr>
        <w:t>Fig</w:t>
      </w:r>
      <w:r>
        <w:rPr>
          <w:rFonts w:hint="default" w:ascii="Arial" w:hAnsi="Arial" w:cs="Arial"/>
          <w:b/>
          <w:bCs/>
          <w:sz w:val="12"/>
          <w:szCs w:val="12"/>
          <w:lang w:val="en-US" w:eastAsia="zh-CN"/>
        </w:rPr>
        <w:t xml:space="preserve">. </w:t>
      </w:r>
      <w:r>
        <w:rPr>
          <w:rFonts w:hint="eastAsia" w:ascii="Arial" w:hAnsi="Arial" w:cs="Arial"/>
          <w:b/>
          <w:bCs/>
          <w:sz w:val="12"/>
          <w:szCs w:val="12"/>
          <w:lang w:val="en-US" w:eastAsia="zh-CN"/>
        </w:rPr>
        <w:t xml:space="preserve">S1  </w:t>
      </w:r>
      <w: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:lang w:val="en-US" w:eastAsia="zh-CN"/>
          <w14:textFill>
            <w14:solidFill>
              <w14:schemeClr w14:val="tx1"/>
            </w14:solidFill>
          </w14:textFill>
        </w:rPr>
        <w:t xml:space="preserve">Kaplan–Meier curves for the cumulative incidence of CMM, stratified by levels of </w:t>
      </w:r>
      <w:r>
        <w:rPr>
          <w:rFonts w:hint="eastAsia" w:ascii="Arial" w:hAnsi="Arial" w:eastAsia="宋体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:lang w:val="en-US" w:eastAsia="zh-CN"/>
          <w14:textFill>
            <w14:solidFill>
              <w14:schemeClr w14:val="tx1"/>
            </w14:solidFill>
          </w14:textFill>
        </w:rPr>
        <w:t>IR</w:t>
      </w:r>
      <w: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:lang w:val="en-US" w:eastAsia="zh-CN"/>
          <w14:textFill>
            <w14:solidFill>
              <w14:schemeClr w14:val="tx1"/>
            </w14:solidFill>
          </w14:textFill>
        </w:rPr>
        <w:t xml:space="preserve"> surrogate indices and </w:t>
      </w:r>
      <w:r>
        <w:rPr>
          <w:rFonts w:hint="eastAsia" w:ascii="Arial" w:hAnsi="Arial" w:eastAsia="宋体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:lang w:val="en-US" w:eastAsia="zh-CN"/>
          <w14:textFill>
            <w14:solidFill>
              <w14:schemeClr w14:val="tx1"/>
            </w14:solidFill>
          </w14:textFill>
        </w:rPr>
        <w:t>BMR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(A-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C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). Group 1 refers to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low 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and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low BMR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; Group 2 refers to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low 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and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high BMR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; Group 3 refers to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high 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and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low BMR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; Group 4 refers to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 high 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and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high BMR.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insulin resistance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,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BMR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 basal metabolic rate,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TyG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triglyceride-glucose,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eGDR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e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stimate glucose disposal rate,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METS-IR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metabolic score for insulin resistance</w:t>
      </w:r>
    </w:p>
    <w:p w14:paraId="76C478E5"/>
    <w:p w14:paraId="25E7B698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2880" cy="2394585"/>
            <wp:effectExtent l="0" t="0" r="4445" b="5715"/>
            <wp:docPr id="4" name="图片 4" descr="Fig.S2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.S222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39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AEE8D3">
      <w:pP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</w:pPr>
      <w:r>
        <w:rPr>
          <w:rFonts w:hint="default" w:ascii="Arial" w:hAnsi="Arial" w:cs="Arial"/>
          <w:b/>
          <w:bCs/>
          <w:sz w:val="12"/>
          <w:szCs w:val="12"/>
        </w:rPr>
        <w:t>Fig</w:t>
      </w:r>
      <w:r>
        <w:rPr>
          <w:rFonts w:hint="default" w:ascii="Arial" w:hAnsi="Arial" w:cs="Arial"/>
          <w:b/>
          <w:bCs/>
          <w:sz w:val="12"/>
          <w:szCs w:val="12"/>
          <w:lang w:val="en-US" w:eastAsia="zh-CN"/>
        </w:rPr>
        <w:t xml:space="preserve">. </w:t>
      </w:r>
      <w:r>
        <w:rPr>
          <w:rFonts w:hint="eastAsia" w:ascii="Arial" w:hAnsi="Arial" w:cs="Arial"/>
          <w:b/>
          <w:bCs/>
          <w:sz w:val="12"/>
          <w:szCs w:val="12"/>
          <w:lang w:val="en-US" w:eastAsia="zh-CN"/>
        </w:rPr>
        <w:t xml:space="preserve">S2 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ROC curves for CMM prediction, stratified by BMR assessment method. The curves evaluate insulin resistance surrogates (TyG, eGDR, METS-IR) alone and combined with BMR. Panels A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18"/>
          <w:szCs w:val="18"/>
          <w:shd w:val="clear" w:fill="FFFFFF"/>
          <w:lang w:val="en-US" w:eastAsia="zh-CN"/>
        </w:rPr>
        <w:t>-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C show the corresponding results for the Harris-Benedict equation, respectively. The basic model was adjusted for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age, gender, smoking status, drinking status, education level, marital status, residence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,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SBP, DBP,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TC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,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HDL-C, LDL-C, hs-CRP,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chronic diseases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 (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hypertension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,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dyslipidemia, depression,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and cancer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), and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medication use (antihyp</w:t>
      </w:r>
      <w:r>
        <w:rPr>
          <w:rFonts w:hint="default" w:ascii="Arial" w:hAnsi="Arial" w:eastAsia="Segoe UI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er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tensive, antidiabetic, antidyslipidemic,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and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cardiovascular medications)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. * indicates significantly improved predictive performance versus the basic model by DeLong's test (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P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/>
          <w:bCs/>
          <w:sz w:val="12"/>
          <w:szCs w:val="12"/>
          <w:lang w:val="en-US" w:eastAsia="zh-CN"/>
        </w:rPr>
        <w:t>&lt;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 0.05)</w:t>
      </w:r>
    </w:p>
    <w:p w14:paraId="560EA0ED">
      <w:pP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</w:pPr>
    </w:p>
    <w:p w14:paraId="3D455133">
      <w:pP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</w:pPr>
    </w:p>
    <w:p w14:paraId="39AD9852">
      <w:pP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</w:pPr>
    </w:p>
    <w:p w14:paraId="1B4FE465">
      <w:pP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</w:pPr>
    </w:p>
    <w:p w14:paraId="0B40B29C">
      <w:pP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</w:pPr>
    </w:p>
    <w:p w14:paraId="2CD8EC0A">
      <w:pP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</w:pPr>
    </w:p>
    <w:p w14:paraId="73B69E65">
      <w:pP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</w:pPr>
    </w:p>
    <w:p w14:paraId="01C45A96">
      <w:pP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</w:pPr>
    </w:p>
    <w:p w14:paraId="13D11184">
      <w:pP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</w:pPr>
    </w:p>
    <w:p w14:paraId="2BBCB2A4">
      <w:pP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</w:pPr>
    </w:p>
    <w:p w14:paraId="53283833">
      <w:pP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</w:pPr>
    </w:p>
    <w:p w14:paraId="3141F694">
      <w:pP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</w:pPr>
    </w:p>
    <w:p w14:paraId="53AC6055">
      <w:pP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</w:pPr>
    </w:p>
    <w:p w14:paraId="7B4E4592">
      <w:pP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</w:pPr>
    </w:p>
    <w:p w14:paraId="0324C70F">
      <w:pP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</w:pPr>
    </w:p>
    <w:p w14:paraId="16AB1454">
      <w:pP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</w:pPr>
    </w:p>
    <w:p w14:paraId="3B3286D6">
      <w:pPr>
        <w:jc w:val="both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3675" cy="3582035"/>
            <wp:effectExtent l="0" t="0" r="3175" b="8890"/>
            <wp:docPr id="5" name="图片 5" descr="TyG_BMR最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TyG_BMR最新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582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CACC1">
      <w:pPr>
        <w:rPr>
          <w:rFonts w:hint="default"/>
          <w:lang w:val="en-US"/>
        </w:rPr>
      </w:pPr>
      <w:r>
        <w:rPr>
          <w:rFonts w:hint="default" w:ascii="Arial" w:hAnsi="Arial" w:cs="Arial"/>
          <w:b/>
          <w:bCs/>
          <w:sz w:val="12"/>
          <w:szCs w:val="12"/>
        </w:rPr>
        <w:t>Fig</w:t>
      </w:r>
      <w:r>
        <w:rPr>
          <w:rFonts w:hint="default" w:ascii="Arial" w:hAnsi="Arial" w:cs="Arial"/>
          <w:b/>
          <w:bCs/>
          <w:sz w:val="12"/>
          <w:szCs w:val="12"/>
          <w:lang w:val="en-US" w:eastAsia="zh-CN"/>
        </w:rPr>
        <w:t xml:space="preserve">. </w:t>
      </w:r>
      <w:r>
        <w:rPr>
          <w:rFonts w:hint="eastAsia" w:ascii="Arial" w:hAnsi="Arial" w:cs="Arial"/>
          <w:b/>
          <w:bCs/>
          <w:sz w:val="12"/>
          <w:szCs w:val="12"/>
          <w:lang w:val="en-US" w:eastAsia="zh-CN"/>
        </w:rPr>
        <w:t xml:space="preserve">S3  </w:t>
      </w:r>
      <w:r>
        <w:rPr>
          <w:rFonts w:hint="default" w:ascii="Arial" w:hAnsi="Arial" w:eastAsia="Segoe UI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14:textFill>
            <w14:solidFill>
              <w14:schemeClr w14:val="tx1"/>
            </w14:solidFill>
          </w14:textFill>
        </w:rPr>
        <w:t>Forest plot of multivariable-adjusted Cox regression analys</w:t>
      </w:r>
      <w:r>
        <w:rPr>
          <w:rFonts w:hint="eastAsia" w:ascii="Arial" w:hAnsi="Arial" w:eastAsia="宋体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:lang w:val="en-US" w:eastAsia="zh-CN"/>
          <w14:textFill>
            <w14:solidFill>
              <w14:schemeClr w14:val="tx1"/>
            </w14:solidFill>
          </w14:textFill>
        </w:rPr>
        <w:t>e</w:t>
      </w:r>
      <w:r>
        <w:rPr>
          <w:rFonts w:hint="default" w:ascii="Arial" w:hAnsi="Arial" w:eastAsia="Segoe UI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14:textFill>
            <w14:solidFill>
              <w14:schemeClr w14:val="tx1"/>
            </w14:solidFill>
          </w14:textFill>
        </w:rPr>
        <w:t xml:space="preserve">s </w:t>
      </w:r>
      <w: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:lang w:val="en-US" w:eastAsia="zh-CN"/>
          <w14:textFill>
            <w14:solidFill>
              <w14:schemeClr w14:val="tx1"/>
            </w14:solidFill>
          </w14:textFill>
        </w:rPr>
        <w:t xml:space="preserve">in the subgroup of participants with both high </w:t>
      </w:r>
      <w:r>
        <w:rPr>
          <w:rFonts w:hint="eastAsia" w:ascii="Arial" w:hAnsi="Arial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:lang w:val="en-US" w:eastAsia="zh-CN"/>
          <w14:textFill>
            <w14:solidFill>
              <w14:schemeClr w14:val="tx1"/>
            </w14:solidFill>
          </w14:textFill>
        </w:rPr>
        <w:t>TyG</w:t>
      </w:r>
      <w: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:lang w:val="en-US" w:eastAsia="zh-CN"/>
          <w14:textFill>
            <w14:solidFill>
              <w14:schemeClr w14:val="tx1"/>
            </w14:solidFill>
          </w14:textFill>
        </w:rPr>
        <w:t xml:space="preserve"> and high BMR. </w:t>
      </w:r>
      <w:r>
        <w:rPr>
          <w:rFonts w:hint="default" w:ascii="Arial" w:hAnsi="Arial" w:eastAsia="宋体" w:cs="Arial"/>
          <w:i w:val="0"/>
          <w:iCs w:val="0"/>
          <w:caps w:val="0"/>
          <w:color w:val="111111"/>
          <w:spacing w:val="0"/>
          <w:sz w:val="12"/>
          <w:szCs w:val="12"/>
          <w:shd w:val="clear" w:fill="FFFFFF"/>
          <w:lang w:val="en-US" w:eastAsia="zh-CN"/>
        </w:rPr>
        <w:t>Multivariate models were</w:t>
      </w:r>
      <w:r>
        <w:rPr>
          <w:rFonts w:hint="default" w:ascii="Arial" w:hAnsi="Arial" w:cs="Arial"/>
          <w:sz w:val="12"/>
          <w:szCs w:val="12"/>
          <w:lang w:val="en-US" w:eastAsia="zh-CN"/>
        </w:rPr>
        <w:t xml:space="preserve">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adjusted for age, gender, smoking status, drinking status, education level, marital status, residence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,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SBP, DBP,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TC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,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HDL-C, LDL-C, hs-CRP,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chronic diseases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 (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hypertension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,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dyslipidemia, depression,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and cancer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), and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medication use (antihyp</w:t>
      </w:r>
      <w:r>
        <w:rPr>
          <w:rFonts w:hint="default" w:ascii="Arial" w:hAnsi="Arial" w:eastAsia="Segoe UI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er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tensive, antidiabetic, antidyslipidemic,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and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cardiovascular medications)</w:t>
      </w:r>
      <w:r>
        <w:rPr>
          <w:rFonts w:hint="default" w:ascii="Arial" w:hAnsi="Arial" w:cs="Arial"/>
          <w:b w:val="0"/>
          <w:bCs w:val="0"/>
          <w:color w:val="000000" w:themeColor="text1"/>
          <w:sz w:val="12"/>
          <w:szCs w:val="12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Arial" w:hAnsi="Arial" w:eastAsia="Segoe UI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14:textFill>
            <w14:solidFill>
              <w14:schemeClr w14:val="tx1"/>
            </w14:solidFill>
          </w14:textFill>
        </w:rPr>
        <w:t>with the exception of the stratification variable</w:t>
      </w:r>
      <w:r>
        <w:rPr>
          <w:rFonts w:hint="default" w:ascii="Arial" w:hAnsi="Arial" w:cs="Arial"/>
          <w:b w:val="0"/>
          <w:bCs w:val="0"/>
          <w:color w:val="000000" w:themeColor="text1"/>
          <w:sz w:val="12"/>
          <w:szCs w:val="12"/>
          <w:lang w:val="en-US" w:eastAsia="zh-CN"/>
          <w14:textFill>
            <w14:solidFill>
              <w14:schemeClr w14:val="tx1"/>
            </w14:solidFill>
          </w14:textFill>
        </w:rPr>
        <w:t>.</w:t>
      </w:r>
    </w:p>
    <w:p w14:paraId="66AFA9F7"/>
    <w:p w14:paraId="7910B167"/>
    <w:p w14:paraId="4F2F1F0D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4150" cy="3565525"/>
            <wp:effectExtent l="0" t="0" r="3175" b="6350"/>
            <wp:docPr id="6" name="图片 6" descr="eGDR_BM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eGDR_BMR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56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F1373">
      <w:pPr>
        <w:rPr>
          <w:rFonts w:hint="default"/>
          <w:lang w:val="en-US"/>
        </w:rPr>
      </w:pPr>
      <w:r>
        <w:rPr>
          <w:rFonts w:hint="default" w:ascii="Arial" w:hAnsi="Arial" w:cs="Arial"/>
          <w:b/>
          <w:bCs/>
          <w:sz w:val="12"/>
          <w:szCs w:val="12"/>
        </w:rPr>
        <w:t>Fig</w:t>
      </w:r>
      <w:r>
        <w:rPr>
          <w:rFonts w:hint="default" w:ascii="Arial" w:hAnsi="Arial" w:cs="Arial"/>
          <w:b/>
          <w:bCs/>
          <w:sz w:val="12"/>
          <w:szCs w:val="12"/>
          <w:lang w:val="en-US" w:eastAsia="zh-CN"/>
        </w:rPr>
        <w:t xml:space="preserve">. </w:t>
      </w:r>
      <w:r>
        <w:rPr>
          <w:rFonts w:hint="eastAsia" w:ascii="Arial" w:hAnsi="Arial" w:cs="Arial"/>
          <w:b/>
          <w:bCs/>
          <w:sz w:val="12"/>
          <w:szCs w:val="12"/>
          <w:lang w:val="en-US" w:eastAsia="zh-CN"/>
        </w:rPr>
        <w:t xml:space="preserve">S4  </w:t>
      </w:r>
      <w:r>
        <w:rPr>
          <w:rFonts w:hint="default" w:ascii="Arial" w:hAnsi="Arial" w:eastAsia="Segoe UI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14:textFill>
            <w14:solidFill>
              <w14:schemeClr w14:val="tx1"/>
            </w14:solidFill>
          </w14:textFill>
        </w:rPr>
        <w:t>Forest plot of multivariable-adjusted Cox regression analys</w:t>
      </w:r>
      <w:r>
        <w:rPr>
          <w:rFonts w:hint="eastAsia" w:ascii="Arial" w:hAnsi="Arial" w:eastAsia="宋体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:lang w:val="en-US" w:eastAsia="zh-CN"/>
          <w14:textFill>
            <w14:solidFill>
              <w14:schemeClr w14:val="tx1"/>
            </w14:solidFill>
          </w14:textFill>
        </w:rPr>
        <w:t>e</w:t>
      </w:r>
      <w:r>
        <w:rPr>
          <w:rFonts w:hint="default" w:ascii="Arial" w:hAnsi="Arial" w:eastAsia="Segoe UI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14:textFill>
            <w14:solidFill>
              <w14:schemeClr w14:val="tx1"/>
            </w14:solidFill>
          </w14:textFill>
        </w:rPr>
        <w:t xml:space="preserve">s </w:t>
      </w:r>
      <w: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:lang w:val="en-US" w:eastAsia="zh-CN"/>
          <w14:textFill>
            <w14:solidFill>
              <w14:schemeClr w14:val="tx1"/>
            </w14:solidFill>
          </w14:textFill>
        </w:rPr>
        <w:t>in the subgroup of participants with both high</w:t>
      </w:r>
      <w:r>
        <w:rPr>
          <w:rFonts w:hint="eastAsia" w:ascii="Arial" w:hAnsi="Arial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:lang w:val="en-US" w:eastAsia="zh-CN"/>
          <w14:textFill>
            <w14:solidFill>
              <w14:schemeClr w14:val="tx1"/>
            </w14:solidFill>
          </w14:textFill>
        </w:rPr>
        <w:t xml:space="preserve"> eGDR</w:t>
      </w:r>
      <w: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:lang w:val="en-US" w:eastAsia="zh-CN"/>
          <w14:textFill>
            <w14:solidFill>
              <w14:schemeClr w14:val="tx1"/>
            </w14:solidFill>
          </w14:textFill>
        </w:rPr>
        <w:t xml:space="preserve"> and high BMR. </w:t>
      </w:r>
      <w:r>
        <w:rPr>
          <w:rFonts w:hint="default" w:ascii="Arial" w:hAnsi="Arial" w:eastAsia="宋体" w:cs="Arial"/>
          <w:i w:val="0"/>
          <w:iCs w:val="0"/>
          <w:caps w:val="0"/>
          <w:color w:val="111111"/>
          <w:spacing w:val="0"/>
          <w:sz w:val="12"/>
          <w:szCs w:val="12"/>
          <w:shd w:val="clear" w:fill="FFFFFF"/>
          <w:lang w:val="en-US" w:eastAsia="zh-CN"/>
        </w:rPr>
        <w:t>Multivariate models were</w:t>
      </w:r>
      <w:r>
        <w:rPr>
          <w:rFonts w:hint="default" w:ascii="Arial" w:hAnsi="Arial" w:cs="Arial"/>
          <w:sz w:val="12"/>
          <w:szCs w:val="12"/>
          <w:lang w:val="en-US" w:eastAsia="zh-CN"/>
        </w:rPr>
        <w:t xml:space="preserve">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adjusted for age, gender, smoking status, drinking status, education level, marital status, residence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,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SBP, DBP,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TC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,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HDL-C, LDL-C, hs-CRP,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chronic diseases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 (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hypertension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,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dyslipidemia, depression,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and cancer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), and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medication use (antihyp</w:t>
      </w:r>
      <w:r>
        <w:rPr>
          <w:rFonts w:hint="default" w:ascii="Arial" w:hAnsi="Arial" w:eastAsia="Segoe UI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er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tensive, antidiabetic, antidyslipidemic,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and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cardiovascular medications)</w:t>
      </w:r>
      <w:r>
        <w:rPr>
          <w:rFonts w:hint="default" w:ascii="Arial" w:hAnsi="Arial" w:cs="Arial"/>
          <w:b w:val="0"/>
          <w:bCs w:val="0"/>
          <w:color w:val="000000" w:themeColor="text1"/>
          <w:sz w:val="12"/>
          <w:szCs w:val="12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Arial" w:hAnsi="Arial" w:eastAsia="Segoe UI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14:textFill>
            <w14:solidFill>
              <w14:schemeClr w14:val="tx1"/>
            </w14:solidFill>
          </w14:textFill>
        </w:rPr>
        <w:t>with the exception of the stratification variable</w:t>
      </w:r>
      <w:r>
        <w:rPr>
          <w:rFonts w:hint="default" w:ascii="Arial" w:hAnsi="Arial" w:cs="Arial"/>
          <w:b w:val="0"/>
          <w:bCs w:val="0"/>
          <w:color w:val="000000" w:themeColor="text1"/>
          <w:sz w:val="12"/>
          <w:szCs w:val="12"/>
          <w:lang w:val="en-US" w:eastAsia="zh-CN"/>
          <w14:textFill>
            <w14:solidFill>
              <w14:schemeClr w14:val="tx1"/>
            </w14:solidFill>
          </w14:textFill>
        </w:rPr>
        <w:t>.</w:t>
      </w:r>
    </w:p>
    <w:p w14:paraId="3FC616E1"/>
    <w:p w14:paraId="20B4E8F5"/>
    <w:p w14:paraId="17F2E35D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2405" cy="3571240"/>
            <wp:effectExtent l="0" t="0" r="4445" b="635"/>
            <wp:docPr id="9" name="图片 9" descr="METS-IR_BM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METS-IR_BMR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7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4A628">
      <w:pPr>
        <w:rPr>
          <w:rFonts w:hint="default" w:ascii="Arial" w:hAnsi="Arial" w:eastAsia="Segoe UI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bCs/>
          <w:sz w:val="12"/>
          <w:szCs w:val="12"/>
        </w:rPr>
        <w:t>Fig</w:t>
      </w:r>
      <w:r>
        <w:rPr>
          <w:rFonts w:hint="default" w:ascii="Arial" w:hAnsi="Arial" w:cs="Arial"/>
          <w:b/>
          <w:bCs/>
          <w:sz w:val="12"/>
          <w:szCs w:val="12"/>
          <w:lang w:val="en-US" w:eastAsia="zh-CN"/>
        </w:rPr>
        <w:t xml:space="preserve">. </w:t>
      </w:r>
      <w:r>
        <w:rPr>
          <w:rFonts w:hint="eastAsia" w:ascii="Arial" w:hAnsi="Arial" w:cs="Arial"/>
          <w:b/>
          <w:bCs/>
          <w:sz w:val="12"/>
          <w:szCs w:val="12"/>
          <w:lang w:val="en-US" w:eastAsia="zh-CN"/>
        </w:rPr>
        <w:t xml:space="preserve">S5  </w:t>
      </w:r>
      <w:r>
        <w:rPr>
          <w:rFonts w:hint="default" w:ascii="Arial" w:hAnsi="Arial" w:eastAsia="Segoe UI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14:textFill>
            <w14:solidFill>
              <w14:schemeClr w14:val="tx1"/>
            </w14:solidFill>
          </w14:textFill>
        </w:rPr>
        <w:t>Forest plot of multivariable-adjusted Cox regression analys</w:t>
      </w:r>
      <w:r>
        <w:rPr>
          <w:rFonts w:hint="eastAsia" w:ascii="Arial" w:hAnsi="Arial" w:eastAsia="宋体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:lang w:val="en-US" w:eastAsia="zh-CN"/>
          <w14:textFill>
            <w14:solidFill>
              <w14:schemeClr w14:val="tx1"/>
            </w14:solidFill>
          </w14:textFill>
        </w:rPr>
        <w:t>e</w:t>
      </w:r>
      <w:r>
        <w:rPr>
          <w:rFonts w:hint="default" w:ascii="Arial" w:hAnsi="Arial" w:eastAsia="Segoe UI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14:textFill>
            <w14:solidFill>
              <w14:schemeClr w14:val="tx1"/>
            </w14:solidFill>
          </w14:textFill>
        </w:rPr>
        <w:t xml:space="preserve">s </w:t>
      </w:r>
      <w: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:lang w:val="en-US" w:eastAsia="zh-CN"/>
          <w14:textFill>
            <w14:solidFill>
              <w14:schemeClr w14:val="tx1"/>
            </w14:solidFill>
          </w14:textFill>
        </w:rPr>
        <w:t xml:space="preserve">in the subgroup of participants with both high </w:t>
      </w:r>
      <w:r>
        <w:rPr>
          <w:rFonts w:hint="eastAsia" w:ascii="Arial" w:hAnsi="Arial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:lang w:val="en-US" w:eastAsia="zh-CN"/>
          <w14:textFill>
            <w14:solidFill>
              <w14:schemeClr w14:val="tx1"/>
            </w14:solidFill>
          </w14:textFill>
        </w:rPr>
        <w:t>METS-IR</w:t>
      </w:r>
      <w:r>
        <w:rPr>
          <w:rFonts w:hint="default" w:ascii="Arial" w:hAnsi="Arial" w:eastAsia="宋体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:lang w:val="en-US" w:eastAsia="zh-CN"/>
          <w14:textFill>
            <w14:solidFill>
              <w14:schemeClr w14:val="tx1"/>
            </w14:solidFill>
          </w14:textFill>
        </w:rPr>
        <w:t xml:space="preserve"> and high BMR. </w:t>
      </w:r>
      <w:r>
        <w:rPr>
          <w:rFonts w:hint="default" w:ascii="Arial" w:hAnsi="Arial" w:eastAsia="宋体" w:cs="Arial"/>
          <w:i w:val="0"/>
          <w:iCs w:val="0"/>
          <w:caps w:val="0"/>
          <w:color w:val="111111"/>
          <w:spacing w:val="0"/>
          <w:sz w:val="12"/>
          <w:szCs w:val="12"/>
          <w:shd w:val="clear" w:fill="FFFFFF"/>
          <w:lang w:val="en-US" w:eastAsia="zh-CN"/>
        </w:rPr>
        <w:t>Multivariate models were</w:t>
      </w:r>
      <w:r>
        <w:rPr>
          <w:rFonts w:hint="default" w:ascii="Arial" w:hAnsi="Arial" w:cs="Arial"/>
          <w:sz w:val="12"/>
          <w:szCs w:val="12"/>
          <w:lang w:val="en-US" w:eastAsia="zh-CN"/>
        </w:rPr>
        <w:t xml:space="preserve">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adjusted for age, gender, smoking status, drinking status, education level, marital status, residence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,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SBP, DBP,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TC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,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HDL-C, LDL-C, hs-CRP,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chronic diseases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 (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hypertension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,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dyslipidemia, depression,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and cancer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), and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medication use (antihyp</w:t>
      </w:r>
      <w:r>
        <w:rPr>
          <w:rFonts w:hint="default" w:ascii="Arial" w:hAnsi="Arial" w:eastAsia="Segoe UI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er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tensive, antidiabetic, antidyslipidemic,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and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cardiovascular medications)</w:t>
      </w:r>
      <w:r>
        <w:rPr>
          <w:rFonts w:hint="default" w:ascii="Arial" w:hAnsi="Arial" w:cs="Arial"/>
          <w:b w:val="0"/>
          <w:bCs w:val="0"/>
          <w:color w:val="000000" w:themeColor="text1"/>
          <w:sz w:val="12"/>
          <w:szCs w:val="12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Arial" w:hAnsi="Arial" w:eastAsia="Segoe UI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14:textFill>
            <w14:solidFill>
              <w14:schemeClr w14:val="tx1"/>
            </w14:solidFill>
          </w14:textFill>
        </w:rPr>
        <w:t>with the exception of the stratification variable</w:t>
      </w:r>
    </w:p>
    <w:p w14:paraId="59EED180">
      <w:pPr>
        <w:rPr>
          <w:rFonts w:hint="default" w:ascii="Arial" w:hAnsi="Arial" w:eastAsia="Segoe UI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14:textFill>
            <w14:solidFill>
              <w14:schemeClr w14:val="tx1"/>
            </w14:solidFill>
          </w14:textFill>
        </w:rPr>
      </w:pPr>
    </w:p>
    <w:p w14:paraId="0400F9CC">
      <w:pP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</w:pPr>
    </w:p>
    <w:p w14:paraId="14CDB693">
      <w:pP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drawing>
          <wp:inline distT="0" distB="0" distL="114300" distR="114300">
            <wp:extent cx="3223260" cy="3785870"/>
            <wp:effectExtent l="0" t="0" r="5715" b="5080"/>
            <wp:docPr id="10" name="图片 10" descr="单独比较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单独比较IR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23260" cy="378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58F6CE">
      <w:pP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</w:pPr>
      <w:r>
        <w:rPr>
          <w:rFonts w:hint="default" w:ascii="Arial" w:hAnsi="Arial" w:cs="Arial"/>
          <w:b/>
          <w:bCs/>
          <w:sz w:val="12"/>
          <w:szCs w:val="12"/>
        </w:rPr>
        <w:t>Fig</w:t>
      </w:r>
      <w:r>
        <w:rPr>
          <w:rFonts w:hint="default" w:ascii="Arial" w:hAnsi="Arial" w:cs="Arial"/>
          <w:b/>
          <w:bCs/>
          <w:sz w:val="12"/>
          <w:szCs w:val="12"/>
          <w:lang w:val="en-US" w:eastAsia="zh-CN"/>
        </w:rPr>
        <w:t xml:space="preserve">. </w:t>
      </w:r>
      <w:r>
        <w:rPr>
          <w:rFonts w:hint="eastAsia" w:ascii="Arial" w:hAnsi="Arial" w:cs="Arial"/>
          <w:b/>
          <w:bCs/>
          <w:sz w:val="12"/>
          <w:szCs w:val="12"/>
          <w:lang w:val="en-US" w:eastAsia="zh-CN"/>
        </w:rPr>
        <w:t xml:space="preserve">S6 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ROC curves for predicting cardiometabolic multimorbidity (CMM), stratified by insulin resistance (IR) assessment method. This figure compares the predictive performance of four IR surrogates: the TyG index, eGDR, METS-IR, and TG/HDL-C ratio. *** indicates significantly better predictive performance compared to the TG/HDL-C ratio by DeLong's test (P &lt; 0.001)</w:t>
      </w:r>
    </w:p>
    <w:p w14:paraId="7431FE88">
      <w:pPr>
        <w:rPr>
          <w:rFonts w:hint="default" w:ascii="Arial" w:hAnsi="Arial" w:eastAsia="Segoe UI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:lang w:val="en-US"/>
          <w14:textFill>
            <w14:solidFill>
              <w14:schemeClr w14:val="tx1"/>
            </w14:solidFill>
          </w14:textFill>
        </w:rPr>
      </w:pPr>
    </w:p>
    <w:p w14:paraId="2EF42A36"/>
    <w:p w14:paraId="14CFB046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0500" cy="2112010"/>
            <wp:effectExtent l="0" t="0" r="6350" b="2540"/>
            <wp:docPr id="2" name="图片 2" descr="BMR和CMM发病R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MR和CMM发病RCS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11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9F801">
      <w:pPr>
        <w:rPr>
          <w:rFonts w:hint="default" w:eastAsia="宋体"/>
          <w:lang w:val="en-US" w:eastAsia="zh-CN"/>
        </w:rPr>
      </w:pPr>
      <w:r>
        <w:rPr>
          <w:rFonts w:hint="default" w:ascii="Arial" w:hAnsi="Arial" w:cs="Arial"/>
          <w:b/>
          <w:bCs/>
          <w:sz w:val="12"/>
          <w:szCs w:val="12"/>
        </w:rPr>
        <w:t>Fig</w:t>
      </w:r>
      <w:r>
        <w:rPr>
          <w:rFonts w:hint="default" w:ascii="Arial" w:hAnsi="Arial" w:cs="Arial"/>
          <w:b/>
          <w:bCs/>
          <w:sz w:val="12"/>
          <w:szCs w:val="12"/>
          <w:lang w:val="en-US" w:eastAsia="zh-CN"/>
        </w:rPr>
        <w:t xml:space="preserve">. </w:t>
      </w:r>
      <w:r>
        <w:rPr>
          <w:rFonts w:hint="eastAsia" w:ascii="Arial" w:hAnsi="Arial" w:cs="Arial"/>
          <w:b/>
          <w:bCs/>
          <w:sz w:val="12"/>
          <w:szCs w:val="12"/>
          <w:lang w:val="en-US" w:eastAsia="zh-CN"/>
        </w:rPr>
        <w:t>S7</w:t>
      </w:r>
      <w:r>
        <w:rPr>
          <w:rFonts w:hint="default" w:ascii="Arial" w:hAnsi="Arial" w:cs="Arial"/>
          <w:b/>
          <w:bCs/>
          <w:sz w:val="12"/>
          <w:szCs w:val="12"/>
        </w:rPr>
        <w:t xml:space="preserve"> </w:t>
      </w:r>
      <w:r>
        <w:rPr>
          <w:rFonts w:hint="default" w:ascii="Arial" w:hAnsi="Arial" w:cs="Arial"/>
          <w:b/>
          <w:bCs/>
          <w:sz w:val="12"/>
          <w:szCs w:val="12"/>
          <w:lang w:val="en-US" w:eastAsia="zh-CN"/>
        </w:rPr>
        <w:t xml:space="preserve">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Dose-response relationships of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BMR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with CMM risk.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Spline analyses were adjusted for age, gender, smoking status, drinking status, education level, marital status, residence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,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SBP, DBP,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TC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,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HDL-C, LDL-C, hs-CRP,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chronic diseases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 (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hypertension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,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dyslipidemia, depression,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and cancer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), and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medication use (antihyp</w:t>
      </w:r>
      <w:r>
        <w:rPr>
          <w:rFonts w:hint="default" w:ascii="Arial" w:hAnsi="Arial" w:eastAsia="Segoe UI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er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tensive, antidiabetic, antidyslipidemic,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and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cardiovascular medications).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BMR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 basal metabolic rate, </w:t>
      </w:r>
      <w:r>
        <w:rPr>
          <w:rFonts w:hint="default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HR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hazard ratio, </w:t>
      </w:r>
      <w:r>
        <w:rPr>
          <w:rFonts w:hint="default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CI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confidence interval</w:t>
      </w:r>
    </w:p>
    <w:p w14:paraId="30A49A79">
      <w:pPr>
        <w:rPr>
          <w:rFonts w:hint="eastAsia" w:eastAsia="宋体"/>
          <w:lang w:eastAsia="zh-CN"/>
        </w:rPr>
      </w:pPr>
    </w:p>
    <w:p w14:paraId="67E42E6A">
      <w:pPr>
        <w:rPr>
          <w:rFonts w:hint="eastAsia" w:eastAsia="宋体"/>
          <w:lang w:eastAsia="zh-CN"/>
        </w:rPr>
      </w:pPr>
    </w:p>
    <w:p w14:paraId="75039BAC">
      <w:pPr>
        <w:rPr>
          <w:rFonts w:hint="eastAsia" w:eastAsia="宋体"/>
          <w:lang w:eastAsia="zh-CN"/>
        </w:rPr>
      </w:pPr>
    </w:p>
    <w:p w14:paraId="7C0A9829">
      <w:pPr>
        <w:rPr>
          <w:rFonts w:hint="eastAsia" w:eastAsia="宋体"/>
          <w:lang w:eastAsia="zh-CN"/>
        </w:rPr>
      </w:pPr>
    </w:p>
    <w:p w14:paraId="1CBBA370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3515" cy="3904615"/>
            <wp:effectExtent l="0" t="0" r="3810" b="635"/>
            <wp:docPr id="1" name="图片 1" descr="四分类合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四分类合集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90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C7EE8">
      <w:pPr>
        <w:rPr>
          <w:rFonts w:hint="default" w:eastAsia="宋体"/>
          <w:lang w:val="en-US" w:eastAsia="zh-CN"/>
        </w:rPr>
      </w:pPr>
      <w:r>
        <w:rPr>
          <w:rFonts w:hint="default" w:ascii="Arial" w:hAnsi="Arial" w:cs="Arial"/>
          <w:b/>
          <w:bCs/>
          <w:sz w:val="12"/>
          <w:szCs w:val="12"/>
        </w:rPr>
        <w:t>Fig</w:t>
      </w:r>
      <w:r>
        <w:rPr>
          <w:rFonts w:hint="default" w:ascii="Arial" w:hAnsi="Arial" w:cs="Arial"/>
          <w:b/>
          <w:bCs/>
          <w:sz w:val="12"/>
          <w:szCs w:val="12"/>
          <w:lang w:val="en-US" w:eastAsia="zh-CN"/>
        </w:rPr>
        <w:t xml:space="preserve">. </w:t>
      </w:r>
      <w:r>
        <w:rPr>
          <w:rFonts w:hint="eastAsia" w:ascii="Arial" w:hAnsi="Arial" w:cs="Arial"/>
          <w:b/>
          <w:bCs/>
          <w:sz w:val="12"/>
          <w:szCs w:val="12"/>
          <w:lang w:val="en-US" w:eastAsia="zh-CN"/>
        </w:rPr>
        <w:t xml:space="preserve">S8 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Levels of surrogate indices for IR stratified by BMR quartiles </w:t>
      </w:r>
      <w:r>
        <w:rPr>
          <w:rFonts w:hint="default" w:ascii="Arial" w:hAnsi="Arial" w:eastAsia="宋体" w:cs="Arial"/>
          <w:b w:val="0"/>
          <w:bCs w:val="0"/>
          <w:color w:val="000000"/>
          <w:sz w:val="12"/>
          <w:szCs w:val="12"/>
          <w:lang w:val="en-US" w:eastAsia="zh-CN"/>
        </w:rPr>
        <w:t>(A-F)</w:t>
      </w:r>
      <w:r>
        <w:rPr>
          <w:rFonts w:hint="default" w:ascii="Arial" w:hAnsi="Arial" w:cs="Arial"/>
          <w:b w:val="0"/>
          <w:bCs w:val="0"/>
          <w:color w:val="000000"/>
          <w:sz w:val="12"/>
          <w:szCs w:val="12"/>
          <w:lang w:val="en-US" w:eastAsia="zh-CN"/>
        </w:rPr>
        <w:t xml:space="preserve">.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insulin resistance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,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BMR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 basal metabolic rate,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TyG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triglyceride-glucose,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eGDR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e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stimate glucose disposal rate,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METS-IR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metabolic score for insulin resistance</w:t>
      </w:r>
    </w:p>
    <w:p w14:paraId="148B3CBA">
      <w:pPr>
        <w:rPr>
          <w:rFonts w:hint="eastAsia" w:eastAsia="宋体"/>
          <w:lang w:eastAsia="zh-CN"/>
        </w:rPr>
      </w:pPr>
    </w:p>
    <w:p w14:paraId="6F0BB955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66055" cy="3080385"/>
            <wp:effectExtent l="0" t="0" r="1270" b="5715"/>
            <wp:docPr id="7" name="图片 7" descr="BMR四分位数和CRP_CVAI_FPG最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BMR四分位数和CRP_CVAI_FPG最新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08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8A985">
      <w:pP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</w:pPr>
      <w:r>
        <w:rPr>
          <w:rFonts w:hint="default" w:ascii="Arial" w:hAnsi="Arial" w:cs="Arial"/>
          <w:b/>
          <w:bCs/>
          <w:sz w:val="12"/>
          <w:szCs w:val="12"/>
        </w:rPr>
        <w:t>Fig</w:t>
      </w:r>
      <w:r>
        <w:rPr>
          <w:rFonts w:hint="default" w:ascii="Arial" w:hAnsi="Arial" w:cs="Arial"/>
          <w:b/>
          <w:bCs/>
          <w:sz w:val="12"/>
          <w:szCs w:val="12"/>
          <w:lang w:val="en-US" w:eastAsia="zh-CN"/>
        </w:rPr>
        <w:t xml:space="preserve">. </w:t>
      </w:r>
      <w:r>
        <w:rPr>
          <w:rFonts w:hint="eastAsia" w:ascii="Arial" w:hAnsi="Arial" w:cs="Arial"/>
          <w:b/>
          <w:bCs/>
          <w:sz w:val="12"/>
          <w:szCs w:val="12"/>
          <w:lang w:val="en-US" w:eastAsia="zh-CN"/>
        </w:rPr>
        <w:t xml:space="preserve">S9 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Levels of FPG, HbA1c, CVAI, and CPR stratified by BMR quartiles </w:t>
      </w:r>
      <w:r>
        <w:rPr>
          <w:rFonts w:hint="default" w:ascii="Arial" w:hAnsi="Arial" w:eastAsia="宋体" w:cs="Arial"/>
          <w:b w:val="0"/>
          <w:bCs w:val="0"/>
          <w:color w:val="000000"/>
          <w:sz w:val="12"/>
          <w:szCs w:val="12"/>
          <w:lang w:val="en-US" w:eastAsia="zh-CN"/>
        </w:rPr>
        <w:t>(A-</w:t>
      </w:r>
      <w:r>
        <w:rPr>
          <w:rFonts w:hint="eastAsia" w:ascii="Arial" w:hAnsi="Arial" w:cs="Arial"/>
          <w:b w:val="0"/>
          <w:bCs w:val="0"/>
          <w:color w:val="000000"/>
          <w:sz w:val="12"/>
          <w:szCs w:val="12"/>
          <w:lang w:val="en-US" w:eastAsia="zh-CN"/>
        </w:rPr>
        <w:t>H</w:t>
      </w:r>
      <w:r>
        <w:rPr>
          <w:rFonts w:hint="default" w:ascii="Arial" w:hAnsi="Arial" w:eastAsia="宋体" w:cs="Arial"/>
          <w:b w:val="0"/>
          <w:bCs w:val="0"/>
          <w:color w:val="000000"/>
          <w:sz w:val="12"/>
          <w:szCs w:val="12"/>
          <w:lang w:val="en-US" w:eastAsia="zh-CN"/>
        </w:rPr>
        <w:t>)</w:t>
      </w:r>
      <w:r>
        <w:rPr>
          <w:rFonts w:hint="default" w:ascii="Arial" w:hAnsi="Arial" w:cs="Arial"/>
          <w:b w:val="0"/>
          <w:bCs w:val="0"/>
          <w:color w:val="000000"/>
          <w:sz w:val="12"/>
          <w:szCs w:val="12"/>
          <w:lang w:val="en-US" w:eastAsia="zh-CN"/>
        </w:rPr>
        <w:t>.</w:t>
      </w:r>
      <w:r>
        <w:rPr>
          <w:rFonts w:hint="eastAsia" w:ascii="Arial" w:hAnsi="Arial" w:cs="Arial"/>
          <w:b w:val="0"/>
          <w:bCs w:val="0"/>
          <w:color w:val="000000"/>
          <w:sz w:val="12"/>
          <w:szCs w:val="12"/>
          <w:lang w:val="en-US" w:eastAsia="zh-CN"/>
        </w:rPr>
        <w:t xml:space="preserve"> </w:t>
      </w:r>
      <w:r>
        <w:rPr>
          <w:rFonts w:hint="default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FPG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 xml:space="preserve"> fasting plasma glucose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,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CVAI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 </w:t>
      </w: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t>Chinese Visceral Adiposity Index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,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>CRP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 C-reactive protein,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 xml:space="preserve">BMR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>basal metabolic rate</w:t>
      </w:r>
    </w:p>
    <w:p w14:paraId="02471792">
      <w:pP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</w:pPr>
    </w:p>
    <w:p w14:paraId="23FC4376">
      <w:pP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</w:pPr>
    </w:p>
    <w:p w14:paraId="01ABC4C5">
      <w:pP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</w:pPr>
      <w: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  <w:drawing>
          <wp:inline distT="0" distB="0" distL="114300" distR="114300">
            <wp:extent cx="5260340" cy="2131695"/>
            <wp:effectExtent l="0" t="0" r="6985" b="1905"/>
            <wp:docPr id="8" name="图片 8" descr="腹部肥胖柱状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腹部肥胖柱状图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131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9E640">
      <w:pPr>
        <w:rPr>
          <w:rFonts w:hint="default" w:ascii="Arial" w:hAnsi="Arial" w:cs="Arial"/>
          <w:b w:val="0"/>
          <w:bCs w:val="0"/>
          <w:sz w:val="12"/>
          <w:szCs w:val="12"/>
          <w:lang w:val="en-US" w:eastAsia="zh-CN"/>
        </w:rPr>
      </w:pPr>
      <w:r>
        <w:rPr>
          <w:rFonts w:hint="default" w:ascii="Arial" w:hAnsi="Arial" w:cs="Arial"/>
          <w:b/>
          <w:bCs/>
          <w:sz w:val="12"/>
          <w:szCs w:val="12"/>
        </w:rPr>
        <w:t>Fig</w:t>
      </w:r>
      <w:r>
        <w:rPr>
          <w:rFonts w:hint="default" w:ascii="Arial" w:hAnsi="Arial" w:cs="Arial"/>
          <w:b/>
          <w:bCs/>
          <w:sz w:val="12"/>
          <w:szCs w:val="12"/>
          <w:lang w:val="en-US" w:eastAsia="zh-CN"/>
        </w:rPr>
        <w:t xml:space="preserve">. </w:t>
      </w:r>
      <w:r>
        <w:rPr>
          <w:rFonts w:hint="eastAsia" w:ascii="Arial" w:hAnsi="Arial" w:cs="Arial"/>
          <w:b/>
          <w:bCs/>
          <w:sz w:val="12"/>
          <w:szCs w:val="12"/>
          <w:lang w:val="en-US" w:eastAsia="zh-CN"/>
        </w:rPr>
        <w:t>S10</w:t>
      </w:r>
      <w:bookmarkStart w:id="2" w:name="_GoBack"/>
      <w:bookmarkEnd w:id="2"/>
      <w:r>
        <w:rPr>
          <w:rFonts w:hint="eastAsia" w:ascii="Arial" w:hAnsi="Arial" w:cs="Arial"/>
          <w:b/>
          <w:bCs/>
          <w:sz w:val="12"/>
          <w:szCs w:val="12"/>
          <w:lang w:val="en-US" w:eastAsia="zh-CN"/>
        </w:rPr>
        <w:t xml:space="preserve">  </w:t>
      </w:r>
      <w:r>
        <w:rPr>
          <w:rStyle w:val="5"/>
          <w:rFonts w:hint="default" w:ascii="Arial" w:hAnsi="Arial" w:eastAsia="宋体" w:cs="Arial"/>
          <w:b w:val="0"/>
          <w:bCs w:val="0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The incidence of </w:t>
      </w:r>
      <w:r>
        <w:rPr>
          <w:rFonts w:hint="default" w:ascii="Arial" w:hAnsi="Arial" w:eastAsia="Segoe UI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14:textFill>
            <w14:solidFill>
              <w14:schemeClr w14:val="tx1"/>
            </w14:solidFill>
          </w14:textFill>
        </w:rPr>
        <w:t>abdominal obesity</w:t>
      </w:r>
      <w:r>
        <w:rPr>
          <w:rFonts w:hint="eastAsia" w:ascii="Arial" w:hAnsi="Arial" w:cs="Arial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DFDFE"/>
          <w:lang w:val="en-US" w:eastAsia="zh-CN"/>
          <w14:textFill>
            <w14:solidFill>
              <w14:schemeClr w14:val="tx1"/>
            </w14:solidFill>
          </w14:textFill>
        </w:rPr>
        <w:t xml:space="preserve"> (AO)</w:t>
      </w:r>
      <w:r>
        <w:rPr>
          <w:rStyle w:val="5"/>
          <w:rFonts w:hint="default" w:ascii="Arial" w:hAnsi="Arial" w:eastAsia="宋体" w:cs="Arial"/>
          <w:b w:val="0"/>
          <w:bCs w:val="0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stratified by </w:t>
      </w:r>
      <w:r>
        <w:rPr>
          <w:rStyle w:val="5"/>
          <w:rFonts w:hint="eastAsia" w:ascii="Arial" w:hAnsi="Arial" w:cs="Arial"/>
          <w:b w:val="0"/>
          <w:bCs w:val="0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BMR </w:t>
      </w:r>
      <w:r>
        <w:rPr>
          <w:rFonts w:hint="eastAsia" w:ascii="Arial" w:hAnsi="Arial" w:cs="Arial"/>
          <w:b w:val="0"/>
          <w:bCs w:val="0"/>
          <w:color w:val="000000" w:themeColor="text1"/>
          <w:sz w:val="12"/>
          <w:szCs w:val="12"/>
          <w:lang w:val="en-US" w:eastAsia="zh-CN"/>
          <w14:textFill>
            <w14:solidFill>
              <w14:schemeClr w14:val="tx1"/>
            </w14:solidFill>
          </w14:textFill>
        </w:rPr>
        <w:t xml:space="preserve">quartiles (A-B). </w:t>
      </w:r>
      <w:r>
        <w:rPr>
          <w:rFonts w:hint="eastAsia" w:ascii="Arial" w:hAnsi="Arial" w:cs="Arial"/>
          <w:b w:val="0"/>
          <w:bCs w:val="0"/>
          <w:i/>
          <w:iCs/>
          <w:sz w:val="12"/>
          <w:szCs w:val="12"/>
          <w:lang w:val="en-US" w:eastAsia="zh-CN"/>
        </w:rPr>
        <w:t xml:space="preserve">BMR </w:t>
      </w:r>
      <w:r>
        <w:rPr>
          <w:rFonts w:hint="eastAsia" w:ascii="Arial" w:hAnsi="Arial" w:cs="Arial"/>
          <w:b w:val="0"/>
          <w:bCs w:val="0"/>
          <w:sz w:val="12"/>
          <w:szCs w:val="12"/>
          <w:lang w:val="en-US" w:eastAsia="zh-CN"/>
        </w:rPr>
        <w:t xml:space="preserve">basal metabolic rate. </w:t>
      </w:r>
      <w:r>
        <w:rPr>
          <w:rStyle w:val="5"/>
          <w:rFonts w:hint="eastAsia" w:ascii="Arial" w:hAnsi="Arial" w:eastAsia="宋体" w:cs="Arial"/>
          <w:b w:val="0"/>
          <w:bCs w:val="0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T</w:t>
      </w:r>
      <w:r>
        <w:rPr>
          <w:rStyle w:val="5"/>
          <w:rFonts w:hint="default" w:ascii="Arial" w:hAnsi="Arial" w:eastAsia="宋体" w:cs="Arial"/>
          <w:b w:val="0"/>
          <w:bCs w:val="0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he waist circumference</w:t>
      </w:r>
      <w:r>
        <w:rPr>
          <w:rStyle w:val="5"/>
          <w:rFonts w:hint="eastAsia" w:ascii="Arial" w:hAnsi="Arial" w:eastAsia="宋体" w:cs="Arial"/>
          <w:b w:val="0"/>
          <w:bCs w:val="0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5"/>
          <w:rFonts w:hint="default" w:ascii="Arial" w:hAnsi="Arial" w:eastAsia="宋体" w:cs="Arial"/>
          <w:b w:val="0"/>
          <w:bCs w:val="0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thresholds for diagnosing AO in m</w:t>
      </w:r>
      <w:r>
        <w:rPr>
          <w:rStyle w:val="5"/>
          <w:rFonts w:hint="eastAsia" w:ascii="Arial" w:hAnsi="Arial" w:cs="Arial"/>
          <w:b w:val="0"/>
          <w:bCs w:val="0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ale</w:t>
      </w:r>
      <w:r>
        <w:rPr>
          <w:rStyle w:val="5"/>
          <w:rFonts w:hint="default" w:ascii="Arial" w:hAnsi="Arial" w:eastAsia="宋体" w:cs="Arial"/>
          <w:b w:val="0"/>
          <w:bCs w:val="0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and </w:t>
      </w:r>
      <w:r>
        <w:rPr>
          <w:rStyle w:val="5"/>
          <w:rFonts w:hint="eastAsia" w:ascii="Arial" w:hAnsi="Arial" w:cs="Arial"/>
          <w:b w:val="0"/>
          <w:bCs w:val="0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female</w:t>
      </w:r>
      <w:r>
        <w:rPr>
          <w:rStyle w:val="5"/>
          <w:rFonts w:hint="default" w:ascii="Arial" w:hAnsi="Arial" w:eastAsia="宋体" w:cs="Arial"/>
          <w:b w:val="0"/>
          <w:bCs w:val="0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were set at ≥</w:t>
      </w:r>
      <w:r>
        <w:rPr>
          <w:rStyle w:val="5"/>
          <w:rFonts w:hint="eastAsia" w:ascii="Arial" w:hAnsi="Arial" w:eastAsia="宋体" w:cs="Arial"/>
          <w:b w:val="0"/>
          <w:bCs w:val="0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90</w:t>
      </w:r>
      <w:r>
        <w:rPr>
          <w:rStyle w:val="5"/>
          <w:rFonts w:hint="default" w:ascii="Arial" w:hAnsi="Arial" w:eastAsia="宋体" w:cs="Arial"/>
          <w:b w:val="0"/>
          <w:bCs w:val="0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cm and ≥</w:t>
      </w:r>
      <w:r>
        <w:rPr>
          <w:rStyle w:val="5"/>
          <w:rFonts w:hint="eastAsia" w:ascii="Arial" w:hAnsi="Arial" w:eastAsia="宋体" w:cs="Arial"/>
          <w:b w:val="0"/>
          <w:bCs w:val="0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5"/>
          <w:rFonts w:hint="default" w:ascii="Arial" w:hAnsi="Arial" w:eastAsia="宋体" w:cs="Arial"/>
          <w:b w:val="0"/>
          <w:bCs w:val="0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Style w:val="5"/>
          <w:rFonts w:hint="eastAsia" w:ascii="Arial" w:hAnsi="Arial" w:eastAsia="宋体" w:cs="Arial"/>
          <w:b w:val="0"/>
          <w:bCs w:val="0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Style w:val="5"/>
          <w:rFonts w:hint="default" w:ascii="Arial" w:hAnsi="Arial" w:eastAsia="宋体" w:cs="Arial"/>
          <w:b w:val="0"/>
          <w:bCs w:val="0"/>
          <w:i w:val="0"/>
          <w:iCs w:val="0"/>
          <w:caps w:val="0"/>
          <w:color w:val="000000" w:themeColor="text1"/>
          <w:spacing w:val="0"/>
          <w:sz w:val="12"/>
          <w:szCs w:val="12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 xml:space="preserve"> cm, respectively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567B76"/>
    <w:rsid w:val="00AB78E5"/>
    <w:rsid w:val="01721B6B"/>
    <w:rsid w:val="01ED210B"/>
    <w:rsid w:val="020A5435"/>
    <w:rsid w:val="02584873"/>
    <w:rsid w:val="02A839F5"/>
    <w:rsid w:val="02D92666"/>
    <w:rsid w:val="04041965"/>
    <w:rsid w:val="042E69E2"/>
    <w:rsid w:val="04464EA1"/>
    <w:rsid w:val="04A15406"/>
    <w:rsid w:val="0547396A"/>
    <w:rsid w:val="05734AED"/>
    <w:rsid w:val="063D6CE4"/>
    <w:rsid w:val="068428E9"/>
    <w:rsid w:val="06935222"/>
    <w:rsid w:val="073A5D06"/>
    <w:rsid w:val="07CC4E2A"/>
    <w:rsid w:val="08261FD4"/>
    <w:rsid w:val="08DE0254"/>
    <w:rsid w:val="08FA3600"/>
    <w:rsid w:val="09321F8B"/>
    <w:rsid w:val="093E1529"/>
    <w:rsid w:val="0AD57BB7"/>
    <w:rsid w:val="0CDF304C"/>
    <w:rsid w:val="0CE02843"/>
    <w:rsid w:val="0E9F39D1"/>
    <w:rsid w:val="0EA82FE0"/>
    <w:rsid w:val="0F7A4612"/>
    <w:rsid w:val="0FF14ACA"/>
    <w:rsid w:val="10273DFE"/>
    <w:rsid w:val="10305890"/>
    <w:rsid w:val="104A4BA3"/>
    <w:rsid w:val="10726B00"/>
    <w:rsid w:val="108856CC"/>
    <w:rsid w:val="10953945"/>
    <w:rsid w:val="109835C1"/>
    <w:rsid w:val="117F262B"/>
    <w:rsid w:val="12296A3A"/>
    <w:rsid w:val="13B12795"/>
    <w:rsid w:val="14877923"/>
    <w:rsid w:val="152F25BA"/>
    <w:rsid w:val="16697C34"/>
    <w:rsid w:val="17EE22B8"/>
    <w:rsid w:val="183E0A8D"/>
    <w:rsid w:val="183F48C2"/>
    <w:rsid w:val="18501B8B"/>
    <w:rsid w:val="18596117"/>
    <w:rsid w:val="1A734CF7"/>
    <w:rsid w:val="1AF94F96"/>
    <w:rsid w:val="1B871616"/>
    <w:rsid w:val="1C327CE6"/>
    <w:rsid w:val="1D1502E7"/>
    <w:rsid w:val="1E723096"/>
    <w:rsid w:val="1F170346"/>
    <w:rsid w:val="1F66378D"/>
    <w:rsid w:val="202B7A06"/>
    <w:rsid w:val="203B43D9"/>
    <w:rsid w:val="208A2D9A"/>
    <w:rsid w:val="209F4E7F"/>
    <w:rsid w:val="20A01003"/>
    <w:rsid w:val="21362E7A"/>
    <w:rsid w:val="220F17A9"/>
    <w:rsid w:val="22431345"/>
    <w:rsid w:val="225D5C37"/>
    <w:rsid w:val="226F3FF6"/>
    <w:rsid w:val="23024E6A"/>
    <w:rsid w:val="23433599"/>
    <w:rsid w:val="23C26C25"/>
    <w:rsid w:val="23C6233B"/>
    <w:rsid w:val="24B231AC"/>
    <w:rsid w:val="24C552FC"/>
    <w:rsid w:val="24D02008"/>
    <w:rsid w:val="24E707BB"/>
    <w:rsid w:val="24EF6F44"/>
    <w:rsid w:val="25EA059F"/>
    <w:rsid w:val="2670194D"/>
    <w:rsid w:val="26AE4BF2"/>
    <w:rsid w:val="2705317A"/>
    <w:rsid w:val="27EF5F2A"/>
    <w:rsid w:val="287270F8"/>
    <w:rsid w:val="28CE49BD"/>
    <w:rsid w:val="29A860AC"/>
    <w:rsid w:val="29AF6182"/>
    <w:rsid w:val="29EE19F6"/>
    <w:rsid w:val="2A155EC2"/>
    <w:rsid w:val="2A3A2F3C"/>
    <w:rsid w:val="2A56285F"/>
    <w:rsid w:val="2ABF0EFF"/>
    <w:rsid w:val="2B2279C7"/>
    <w:rsid w:val="2B620F14"/>
    <w:rsid w:val="2BF11F1F"/>
    <w:rsid w:val="2E3A195C"/>
    <w:rsid w:val="2E5C350C"/>
    <w:rsid w:val="2ED008D2"/>
    <w:rsid w:val="2EE809DB"/>
    <w:rsid w:val="2EF20132"/>
    <w:rsid w:val="2F0B779C"/>
    <w:rsid w:val="2F397C20"/>
    <w:rsid w:val="302C32AF"/>
    <w:rsid w:val="30C3032E"/>
    <w:rsid w:val="311202A7"/>
    <w:rsid w:val="31AD49A8"/>
    <w:rsid w:val="32FC18D5"/>
    <w:rsid w:val="33391390"/>
    <w:rsid w:val="33705E1F"/>
    <w:rsid w:val="33811DDB"/>
    <w:rsid w:val="3444611C"/>
    <w:rsid w:val="34531AFF"/>
    <w:rsid w:val="35E368FD"/>
    <w:rsid w:val="35F2063C"/>
    <w:rsid w:val="35F70E4A"/>
    <w:rsid w:val="362C0CF7"/>
    <w:rsid w:val="36AA39B8"/>
    <w:rsid w:val="36B26117"/>
    <w:rsid w:val="37976071"/>
    <w:rsid w:val="386A175A"/>
    <w:rsid w:val="389B0C93"/>
    <w:rsid w:val="3914512A"/>
    <w:rsid w:val="395B39A6"/>
    <w:rsid w:val="3996244B"/>
    <w:rsid w:val="39AE31FE"/>
    <w:rsid w:val="3A9E14C4"/>
    <w:rsid w:val="3AF603E4"/>
    <w:rsid w:val="3B1A7AE3"/>
    <w:rsid w:val="3B1B24A2"/>
    <w:rsid w:val="3B6042F8"/>
    <w:rsid w:val="3C814BF9"/>
    <w:rsid w:val="3CE31410"/>
    <w:rsid w:val="3DB95352"/>
    <w:rsid w:val="3E287A22"/>
    <w:rsid w:val="3F857610"/>
    <w:rsid w:val="3F8E7D59"/>
    <w:rsid w:val="40250BC9"/>
    <w:rsid w:val="407F0CB2"/>
    <w:rsid w:val="412B7588"/>
    <w:rsid w:val="425A49A4"/>
    <w:rsid w:val="42D32DB1"/>
    <w:rsid w:val="43605FFB"/>
    <w:rsid w:val="43787B89"/>
    <w:rsid w:val="43FB375F"/>
    <w:rsid w:val="445825AA"/>
    <w:rsid w:val="44873C44"/>
    <w:rsid w:val="44CF610E"/>
    <w:rsid w:val="44E64193"/>
    <w:rsid w:val="44E83FF6"/>
    <w:rsid w:val="469F0A9E"/>
    <w:rsid w:val="47976A15"/>
    <w:rsid w:val="47A5268D"/>
    <w:rsid w:val="47B2115C"/>
    <w:rsid w:val="47E51A2D"/>
    <w:rsid w:val="48A07384"/>
    <w:rsid w:val="4AE3149F"/>
    <w:rsid w:val="4AEA4ACB"/>
    <w:rsid w:val="4BF642BE"/>
    <w:rsid w:val="4C4C6FD2"/>
    <w:rsid w:val="4CF431C6"/>
    <w:rsid w:val="4D301935"/>
    <w:rsid w:val="4D77007F"/>
    <w:rsid w:val="4DA9092A"/>
    <w:rsid w:val="4E0D3908"/>
    <w:rsid w:val="4E8D38D2"/>
    <w:rsid w:val="4F0C645B"/>
    <w:rsid w:val="4F792294"/>
    <w:rsid w:val="4FA964E9"/>
    <w:rsid w:val="4FBF396C"/>
    <w:rsid w:val="50AB1DDD"/>
    <w:rsid w:val="50F50A1B"/>
    <w:rsid w:val="510B1C91"/>
    <w:rsid w:val="51644FD6"/>
    <w:rsid w:val="51FF5909"/>
    <w:rsid w:val="52700DBA"/>
    <w:rsid w:val="52762C05"/>
    <w:rsid w:val="52935F60"/>
    <w:rsid w:val="52AB2650"/>
    <w:rsid w:val="52C50C70"/>
    <w:rsid w:val="52EE6788"/>
    <w:rsid w:val="539D0113"/>
    <w:rsid w:val="53D564A8"/>
    <w:rsid w:val="53D900DF"/>
    <w:rsid w:val="54372316"/>
    <w:rsid w:val="5531158F"/>
    <w:rsid w:val="56024BA5"/>
    <w:rsid w:val="56DF417F"/>
    <w:rsid w:val="56ED058F"/>
    <w:rsid w:val="56FF14FB"/>
    <w:rsid w:val="5765363E"/>
    <w:rsid w:val="578F4443"/>
    <w:rsid w:val="57C2283E"/>
    <w:rsid w:val="57D04F5B"/>
    <w:rsid w:val="590B1FC3"/>
    <w:rsid w:val="59505C28"/>
    <w:rsid w:val="59F26DF1"/>
    <w:rsid w:val="5A490EEA"/>
    <w:rsid w:val="5A5163E1"/>
    <w:rsid w:val="5A915736"/>
    <w:rsid w:val="5AC9407A"/>
    <w:rsid w:val="5B4C11AD"/>
    <w:rsid w:val="5B565404"/>
    <w:rsid w:val="5BB15F4B"/>
    <w:rsid w:val="5BB53BA8"/>
    <w:rsid w:val="5BCB77E7"/>
    <w:rsid w:val="5C936557"/>
    <w:rsid w:val="5CE727F2"/>
    <w:rsid w:val="5D1A6C78"/>
    <w:rsid w:val="5EB10F16"/>
    <w:rsid w:val="5F305F49"/>
    <w:rsid w:val="5F6B77D7"/>
    <w:rsid w:val="5F9E5015"/>
    <w:rsid w:val="6000764E"/>
    <w:rsid w:val="604B75B4"/>
    <w:rsid w:val="60D976AE"/>
    <w:rsid w:val="60E2185B"/>
    <w:rsid w:val="61466840"/>
    <w:rsid w:val="61930DA7"/>
    <w:rsid w:val="62922E0D"/>
    <w:rsid w:val="62D73485"/>
    <w:rsid w:val="635B76A3"/>
    <w:rsid w:val="6434773D"/>
    <w:rsid w:val="646A01C2"/>
    <w:rsid w:val="64A82DBC"/>
    <w:rsid w:val="651C1FFB"/>
    <w:rsid w:val="65772A6E"/>
    <w:rsid w:val="65D61CA9"/>
    <w:rsid w:val="66657CBC"/>
    <w:rsid w:val="66723681"/>
    <w:rsid w:val="6678672C"/>
    <w:rsid w:val="66903B07"/>
    <w:rsid w:val="68A8338A"/>
    <w:rsid w:val="68E319C0"/>
    <w:rsid w:val="6A6654C2"/>
    <w:rsid w:val="6B412D55"/>
    <w:rsid w:val="6B4218B2"/>
    <w:rsid w:val="6B4312B9"/>
    <w:rsid w:val="6D2A0890"/>
    <w:rsid w:val="6DFB21AE"/>
    <w:rsid w:val="6E4D2CED"/>
    <w:rsid w:val="6E700095"/>
    <w:rsid w:val="70BA280C"/>
    <w:rsid w:val="70F11571"/>
    <w:rsid w:val="71586351"/>
    <w:rsid w:val="717958C4"/>
    <w:rsid w:val="71C67443"/>
    <w:rsid w:val="71EE2336"/>
    <w:rsid w:val="72196DB9"/>
    <w:rsid w:val="72D0112D"/>
    <w:rsid w:val="72FD42D3"/>
    <w:rsid w:val="73074A07"/>
    <w:rsid w:val="73752193"/>
    <w:rsid w:val="73FB2F08"/>
    <w:rsid w:val="750759A8"/>
    <w:rsid w:val="759B715E"/>
    <w:rsid w:val="764670F2"/>
    <w:rsid w:val="76B26CEA"/>
    <w:rsid w:val="77106CCA"/>
    <w:rsid w:val="775C0A82"/>
    <w:rsid w:val="78B638A1"/>
    <w:rsid w:val="78BB2691"/>
    <w:rsid w:val="79273BAC"/>
    <w:rsid w:val="792B5CA7"/>
    <w:rsid w:val="797B0B61"/>
    <w:rsid w:val="79AB2CDA"/>
    <w:rsid w:val="7A517873"/>
    <w:rsid w:val="7A783624"/>
    <w:rsid w:val="7AC80759"/>
    <w:rsid w:val="7BB96138"/>
    <w:rsid w:val="7BBD5925"/>
    <w:rsid w:val="7BC67B45"/>
    <w:rsid w:val="7BDD2EF3"/>
    <w:rsid w:val="7C9E383E"/>
    <w:rsid w:val="7D353166"/>
    <w:rsid w:val="7D567401"/>
    <w:rsid w:val="7E245D3D"/>
    <w:rsid w:val="7E3F1C43"/>
    <w:rsid w:val="7EAF6DC9"/>
    <w:rsid w:val="7EB00843"/>
    <w:rsid w:val="7F2A398B"/>
    <w:rsid w:val="7F2D31E0"/>
    <w:rsid w:val="7F366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Emphasis"/>
    <w:basedOn w:val="3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644</Words>
  <Characters>3322</Characters>
  <Lines>0</Lines>
  <Paragraphs>0</Paragraphs>
  <TotalTime>4</TotalTime>
  <ScaleCrop>false</ScaleCrop>
  <LinksUpToDate>false</LinksUpToDate>
  <CharactersWithSpaces>3732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2025-10-09T01:17:00Z</dcterms:created>
  <dc:creator>1205702758qq.com</dc:creator>
  <cp:lastModifiedBy>1205702758qq.com</cp:lastModifiedBy>
  <dcterms:modified xsi:type="dcterms:W3CDTF">2025-11-30T06:46:28Z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545078C252664BD3A508E7D03B3C21E3_11</vt:lpwstr>
  </property>
  <property fmtid="{D5CDD505-2E9C-101B-9397-08002B2CF9AE}" pid="4" name="KSOTemplateDocerSaveRecord">
    <vt:lpwstr>eyJoZGlkIjoiMzEwNTM5NzYwMDRjMzkwZTVkZjY2ODkwMGIxNGU0OTUiLCJ1c2VySWQiOiIyNjYwOTg3OTQifQ==</vt:lpwstr>
  </property>
</Properties>
</file>