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C0D1A">
      <w:pPr>
        <w:spacing w:line="480" w:lineRule="auto"/>
        <w:rPr>
          <w:b/>
          <w:bCs/>
        </w:rPr>
      </w:pPr>
      <w:r>
        <w:rPr>
          <w:b/>
          <w:bCs/>
        </w:rPr>
        <w:t xml:space="preserve">Association </w:t>
      </w:r>
      <w:bookmarkStart w:id="0" w:name="_Hlk209861683"/>
      <w:r>
        <w:rPr>
          <w:b/>
          <w:bCs/>
        </w:rPr>
        <w:t>between the Triglyceride–Glucose–Frailty Index and All-Cause and Cardiovascular Mortality in I</w:t>
      </w:r>
      <w:bookmarkEnd w:id="0"/>
      <w:r>
        <w:rPr>
          <w:b/>
          <w:bCs/>
        </w:rPr>
        <w:t>ndividuals with Cardiovascular–Kidney–Metabolic Syndrome: The Mediating Role of the Poverty–Income Ratio</w:t>
      </w:r>
    </w:p>
    <w:p w14:paraId="462F834C">
      <w:pPr>
        <w:spacing w:line="360" w:lineRule="auto"/>
        <w:rPr>
          <w:rFonts w:cs="Times New Roman"/>
          <w:b/>
          <w:bCs/>
        </w:rPr>
      </w:pPr>
      <w:r>
        <w:rPr>
          <w:rFonts w:cs="Times New Roman"/>
          <w:b/>
          <w:bCs/>
        </w:rPr>
        <w:t xml:space="preserve"> </w:t>
      </w:r>
    </w:p>
    <w:p w14:paraId="27CCE72F">
      <w:pPr>
        <w:spacing w:line="480" w:lineRule="auto"/>
        <w:rPr>
          <w:rFonts w:cs="Times New Roman"/>
        </w:rPr>
      </w:pPr>
      <w:r>
        <w:rPr>
          <w:rFonts w:cs="Times New Roman"/>
        </w:rPr>
        <w:t>Yan Wang</w:t>
      </w:r>
      <w:r>
        <w:rPr>
          <w:rFonts w:cs="Times New Roman"/>
          <w:vertAlign w:val="superscript"/>
        </w:rPr>
        <w:t>1,2</w:t>
      </w:r>
      <w:r>
        <w:rPr>
          <w:rFonts w:cs="Times New Roman"/>
        </w:rPr>
        <w:t>,</w:t>
      </w:r>
      <w:r>
        <w:rPr>
          <w:rFonts w:hint="eastAsia" w:cs="Times New Roman"/>
        </w:rPr>
        <w:t xml:space="preserve"> Ning Wei</w:t>
      </w:r>
      <w:r>
        <w:rPr>
          <w:rFonts w:cs="Times New Roman"/>
          <w:vertAlign w:val="superscript"/>
        </w:rPr>
        <w:t>1,2</w:t>
      </w:r>
      <w:r>
        <w:rPr>
          <w:rFonts w:hint="eastAsia" w:cs="Times New Roman"/>
        </w:rPr>
        <w:t>, Meng Li</w:t>
      </w:r>
      <w:r>
        <w:rPr>
          <w:rFonts w:cs="Times New Roman"/>
          <w:vertAlign w:val="superscript"/>
        </w:rPr>
        <w:t>1,2</w:t>
      </w:r>
      <w:r>
        <w:rPr>
          <w:rFonts w:hint="eastAsia" w:cs="Times New Roman"/>
        </w:rPr>
        <w:t>, Jun-Wen Liu</w:t>
      </w:r>
      <w:r>
        <w:rPr>
          <w:rFonts w:cs="Times New Roman"/>
          <w:vertAlign w:val="superscript"/>
        </w:rPr>
        <w:t>1,2</w:t>
      </w:r>
      <w:r>
        <w:rPr>
          <w:rFonts w:hint="eastAsia" w:cs="Times New Roman"/>
        </w:rPr>
        <w:t>, Hong-Bin Lin</w:t>
      </w:r>
      <w:r>
        <w:rPr>
          <w:rFonts w:cs="Times New Roman"/>
          <w:vertAlign w:val="superscript"/>
        </w:rPr>
        <w:t>1,2</w:t>
      </w:r>
      <w:r>
        <w:rPr>
          <w:rFonts w:hint="eastAsia" w:cs="Times New Roman"/>
        </w:rPr>
        <w:t>,</w:t>
      </w:r>
      <w:r>
        <w:rPr>
          <w:rFonts w:cs="Times New Roman"/>
        </w:rPr>
        <w:t xml:space="preserve"> Hong-Fei Zhang</w:t>
      </w:r>
      <w:r>
        <w:rPr>
          <w:rFonts w:cs="Times New Roman"/>
          <w:vertAlign w:val="superscript"/>
        </w:rPr>
        <w:t>1,2</w:t>
      </w:r>
      <w:r>
        <w:rPr>
          <w:rFonts w:cs="Times New Roman"/>
        </w:rPr>
        <w:t xml:space="preserve"> </w:t>
      </w:r>
    </w:p>
    <w:p w14:paraId="7ACDB11D">
      <w:pPr>
        <w:spacing w:line="360" w:lineRule="auto"/>
        <w:rPr>
          <w:rFonts w:cs="Times New Roman"/>
        </w:rPr>
      </w:pPr>
      <w:r>
        <w:rPr>
          <w:rFonts w:cs="Times New Roman"/>
        </w:rPr>
        <w:t xml:space="preserve"> </w:t>
      </w:r>
    </w:p>
    <w:p w14:paraId="4010AAD5">
      <w:pPr>
        <w:spacing w:line="360" w:lineRule="auto"/>
        <w:rPr>
          <w:rFonts w:cs="Times New Roman"/>
        </w:rPr>
      </w:pPr>
      <w:r>
        <w:rPr>
          <w:rFonts w:cs="Times New Roman"/>
        </w:rPr>
        <w:t>Author affiliations:</w:t>
      </w:r>
    </w:p>
    <w:p w14:paraId="5A768C9D">
      <w:pPr>
        <w:spacing w:line="360" w:lineRule="auto"/>
        <w:rPr>
          <w:rFonts w:cs="Times New Roman"/>
        </w:rPr>
      </w:pPr>
      <w:r>
        <w:rPr>
          <w:rFonts w:cs="Times New Roman"/>
          <w:vertAlign w:val="superscript"/>
        </w:rPr>
        <w:t>1</w:t>
      </w:r>
      <w:r>
        <w:rPr>
          <w:rFonts w:cs="Times New Roman"/>
        </w:rPr>
        <w:t xml:space="preserve"> </w:t>
      </w:r>
      <w:bookmarkStart w:id="1" w:name="_Hlk158807774"/>
      <w:bookmarkEnd w:id="1"/>
      <w:r>
        <w:rPr>
          <w:rFonts w:cs="Times New Roman"/>
        </w:rPr>
        <w:t xml:space="preserve">Department of Anesthesiology, </w:t>
      </w:r>
      <w:bookmarkStart w:id="2" w:name="_Hlk112971155"/>
      <w:r>
        <w:rPr>
          <w:rFonts w:cs="Times New Roman"/>
        </w:rPr>
        <w:t>Zhujiang Hospital</w:t>
      </w:r>
      <w:bookmarkEnd w:id="2"/>
      <w:r>
        <w:rPr>
          <w:rFonts w:cs="Times New Roman"/>
        </w:rPr>
        <w:t xml:space="preserve">, Southern Medical University, Guangzhou, 510280, China </w:t>
      </w:r>
    </w:p>
    <w:p w14:paraId="10FD37B5">
      <w:pPr>
        <w:spacing w:line="360" w:lineRule="auto"/>
        <w:rPr>
          <w:rFonts w:cs="Times New Roman"/>
        </w:rPr>
      </w:pPr>
      <w:r>
        <w:rPr>
          <w:rFonts w:cs="Times New Roman"/>
          <w:vertAlign w:val="superscript"/>
        </w:rPr>
        <w:t>2</w:t>
      </w:r>
      <w:r>
        <w:rPr>
          <w:rFonts w:cs="Times New Roman"/>
        </w:rPr>
        <w:t xml:space="preserve"> Institute of Perioperative Medicine and Organ Protection, Zhujiang Hospital of Southern Medical University, Guangzhou, 510280, China</w:t>
      </w:r>
    </w:p>
    <w:p w14:paraId="5D4ED7F8">
      <w:pPr>
        <w:spacing w:line="360" w:lineRule="auto"/>
        <w:rPr>
          <w:rFonts w:cs="Times New Roman"/>
        </w:rPr>
      </w:pPr>
      <w:r>
        <w:rPr>
          <w:rFonts w:cs="Times New Roman"/>
        </w:rPr>
        <w:t xml:space="preserve"> </w:t>
      </w:r>
    </w:p>
    <w:p w14:paraId="34C02E4B">
      <w:pPr>
        <w:spacing w:line="360" w:lineRule="auto"/>
        <w:rPr>
          <w:rFonts w:cs="Times New Roman"/>
        </w:rPr>
      </w:pPr>
      <w:r>
        <w:rPr>
          <w:rFonts w:cs="Times New Roman"/>
        </w:rPr>
        <w:t xml:space="preserve">Corresponding authors: </w:t>
      </w:r>
    </w:p>
    <w:p w14:paraId="4BBCCDFC">
      <w:pPr>
        <w:spacing w:line="360" w:lineRule="auto"/>
        <w:rPr>
          <w:rFonts w:cs="Times New Roman"/>
        </w:rPr>
      </w:pPr>
      <w:bookmarkStart w:id="3" w:name="_Hlk158810071"/>
      <w:bookmarkEnd w:id="3"/>
      <w:r>
        <w:rPr>
          <w:rFonts w:cs="Times New Roman"/>
        </w:rPr>
        <w:t xml:space="preserve">Dr. </w:t>
      </w:r>
      <w:bookmarkStart w:id="4" w:name="_Hlk113954197"/>
      <w:r>
        <w:rPr>
          <w:rFonts w:cs="Times New Roman"/>
        </w:rPr>
        <w:t>Hong-Fei Zhang</w:t>
      </w:r>
      <w:bookmarkEnd w:id="4"/>
      <w:r>
        <w:rPr>
          <w:rFonts w:cs="Times New Roman"/>
        </w:rPr>
        <w:t xml:space="preserve">; </w:t>
      </w:r>
      <w:bookmarkStart w:id="5" w:name="_Hlk113954218"/>
      <w:bookmarkEnd w:id="5"/>
      <w:r>
        <w:rPr>
          <w:rFonts w:cs="Times New Roman"/>
        </w:rPr>
        <w:fldChar w:fldCharType="begin"/>
      </w:r>
      <w:r>
        <w:rPr>
          <w:rFonts w:cs="Times New Roman"/>
        </w:rPr>
        <w:instrText xml:space="preserve">HYPERLINK "mailto:zhanghongfei@smu.edu.cn"</w:instrText>
      </w:r>
      <w:r>
        <w:rPr>
          <w:rFonts w:cs="Times New Roman"/>
        </w:rPr>
        <w:fldChar w:fldCharType="separate"/>
      </w:r>
      <w:r>
        <w:rPr>
          <w:rStyle w:val="21"/>
          <w:rFonts w:cs="Times New Roman"/>
        </w:rPr>
        <w:t>zhanghongfei@smu.edu.cn</w:t>
      </w:r>
      <w:r>
        <w:rPr>
          <w:rFonts w:cs="Times New Roman"/>
        </w:rPr>
        <w:fldChar w:fldCharType="end"/>
      </w:r>
    </w:p>
    <w:p w14:paraId="2537151D">
      <w:pPr>
        <w:spacing w:line="360" w:lineRule="auto"/>
        <w:rPr>
          <w:rFonts w:cs="Times New Roman"/>
        </w:rPr>
      </w:pPr>
      <w:r>
        <w:rPr>
          <w:rFonts w:cs="Times New Roman"/>
        </w:rPr>
        <w:t>Department of Anesthesiology, Zhujiang Hospital; Institute of Perioperative Medicine and Organ Protection, Zhujiang Hospital of Southern Medical University, Guangzhou, 510280, China</w:t>
      </w:r>
    </w:p>
    <w:p w14:paraId="4D31C7D6">
      <w:pPr>
        <w:rPr>
          <w:rFonts w:cs="Times New Roman"/>
          <w:b/>
          <w:bCs/>
          <w:sz w:val="18"/>
          <w:szCs w:val="18"/>
        </w:rPr>
      </w:pPr>
      <w:r>
        <w:rPr>
          <w:rFonts w:cs="Times New Roman"/>
          <w:b/>
          <w:bCs/>
          <w:sz w:val="18"/>
          <w:szCs w:val="18"/>
        </w:rPr>
        <w:t xml:space="preserve"> </w:t>
      </w:r>
    </w:p>
    <w:p w14:paraId="09CC2F77">
      <w:pPr>
        <w:rPr>
          <w:rFonts w:cs="Times New Roman"/>
          <w:b/>
          <w:bCs/>
          <w:sz w:val="18"/>
          <w:szCs w:val="18"/>
        </w:rPr>
      </w:pPr>
      <w:r>
        <w:rPr>
          <w:rFonts w:cs="Times New Roman"/>
          <w:b/>
          <w:bCs/>
          <w:sz w:val="18"/>
          <w:szCs w:val="18"/>
        </w:rPr>
        <w:t xml:space="preserve"> </w:t>
      </w:r>
    </w:p>
    <w:p w14:paraId="7945B015">
      <w:pPr>
        <w:rPr>
          <w:rFonts w:cs="Times New Roman"/>
          <w:b/>
          <w:bCs/>
          <w:sz w:val="18"/>
          <w:szCs w:val="18"/>
        </w:rPr>
      </w:pPr>
      <w:r>
        <w:rPr>
          <w:rFonts w:cs="Times New Roman"/>
          <w:b/>
          <w:bCs/>
          <w:sz w:val="18"/>
          <w:szCs w:val="18"/>
        </w:rPr>
        <w:t xml:space="preserve"> </w:t>
      </w:r>
    </w:p>
    <w:p w14:paraId="01811D41">
      <w:pPr>
        <w:rPr>
          <w:rFonts w:cs="Times New Roman"/>
          <w:b/>
          <w:bCs/>
          <w:sz w:val="18"/>
          <w:szCs w:val="18"/>
        </w:rPr>
      </w:pPr>
    </w:p>
    <w:p w14:paraId="514BF166">
      <w:pPr>
        <w:rPr>
          <w:rFonts w:cs="Times New Roman"/>
          <w:b/>
          <w:bCs/>
          <w:sz w:val="18"/>
          <w:szCs w:val="18"/>
        </w:rPr>
      </w:pPr>
    </w:p>
    <w:p w14:paraId="6978A507">
      <w:pPr>
        <w:rPr>
          <w:rFonts w:cs="Times New Roman"/>
          <w:b/>
          <w:bCs/>
          <w:sz w:val="18"/>
          <w:szCs w:val="18"/>
        </w:rPr>
      </w:pPr>
    </w:p>
    <w:p w14:paraId="545FF414">
      <w:pPr>
        <w:rPr>
          <w:rFonts w:cs="Times New Roman"/>
          <w:b/>
          <w:bCs/>
          <w:sz w:val="18"/>
          <w:szCs w:val="18"/>
        </w:rPr>
      </w:pPr>
    </w:p>
    <w:p w14:paraId="00238ABF">
      <w:pPr>
        <w:rPr>
          <w:rFonts w:cs="Times New Roman"/>
          <w:b/>
          <w:bCs/>
          <w:sz w:val="18"/>
          <w:szCs w:val="18"/>
        </w:rPr>
      </w:pPr>
    </w:p>
    <w:p w14:paraId="6E8E6EF1">
      <w:pPr>
        <w:rPr>
          <w:rFonts w:cs="Times New Roman"/>
          <w:b/>
          <w:bCs/>
          <w:sz w:val="18"/>
          <w:szCs w:val="18"/>
        </w:rPr>
      </w:pPr>
    </w:p>
    <w:p w14:paraId="6942FE2C">
      <w:pPr>
        <w:rPr>
          <w:rFonts w:cs="Times New Roman"/>
          <w:b/>
          <w:bCs/>
          <w:sz w:val="18"/>
          <w:szCs w:val="18"/>
        </w:rPr>
      </w:pPr>
    </w:p>
    <w:p w14:paraId="4A1DD87E">
      <w:pPr>
        <w:rPr>
          <w:rFonts w:cs="Times New Roman"/>
          <w:b/>
          <w:bCs/>
          <w:sz w:val="18"/>
          <w:szCs w:val="18"/>
        </w:rPr>
      </w:pPr>
    </w:p>
    <w:p w14:paraId="760732EF">
      <w:pPr>
        <w:rPr>
          <w:rFonts w:cs="Times New Roman"/>
          <w:b/>
          <w:bCs/>
          <w:sz w:val="18"/>
          <w:szCs w:val="18"/>
        </w:rPr>
      </w:pPr>
    </w:p>
    <w:p w14:paraId="0D3A00E0">
      <w:pPr>
        <w:rPr>
          <w:rFonts w:cs="Times New Roman"/>
          <w:b/>
          <w:bCs/>
          <w:sz w:val="18"/>
          <w:szCs w:val="18"/>
        </w:rPr>
      </w:pPr>
    </w:p>
    <w:p w14:paraId="05404335">
      <w:pPr>
        <w:rPr>
          <w:rFonts w:cs="Times New Roman"/>
          <w:b/>
          <w:bCs/>
          <w:sz w:val="18"/>
          <w:szCs w:val="18"/>
        </w:rPr>
      </w:pPr>
    </w:p>
    <w:p w14:paraId="0D5EF3B7">
      <w:pPr>
        <w:rPr>
          <w:rFonts w:cs="Times New Roman"/>
          <w:b/>
          <w:bCs/>
          <w:sz w:val="18"/>
          <w:szCs w:val="18"/>
        </w:rPr>
      </w:pPr>
    </w:p>
    <w:p w14:paraId="0EB87472">
      <w:pPr>
        <w:rPr>
          <w:rFonts w:cs="Times New Roman"/>
          <w:b/>
          <w:bCs/>
          <w:sz w:val="18"/>
          <w:szCs w:val="18"/>
        </w:rPr>
      </w:pPr>
    </w:p>
    <w:p w14:paraId="5557FF65">
      <w:pPr>
        <w:rPr>
          <w:rFonts w:cs="Times New Roman"/>
          <w:b/>
          <w:bCs/>
          <w:sz w:val="18"/>
          <w:szCs w:val="18"/>
        </w:rPr>
      </w:pPr>
    </w:p>
    <w:p w14:paraId="2BEDB88F">
      <w:pPr>
        <w:rPr>
          <w:rFonts w:cs="Times New Roman"/>
          <w:b/>
          <w:bCs/>
          <w:sz w:val="18"/>
          <w:szCs w:val="18"/>
        </w:rPr>
      </w:pPr>
    </w:p>
    <w:p w14:paraId="59CE0AE2">
      <w:pPr>
        <w:rPr>
          <w:rFonts w:cs="Times New Roman"/>
          <w:b/>
          <w:bCs/>
          <w:sz w:val="18"/>
          <w:szCs w:val="18"/>
        </w:rPr>
      </w:pPr>
    </w:p>
    <w:p w14:paraId="50845E23">
      <w:pPr>
        <w:rPr>
          <w:rFonts w:cs="Times New Roman"/>
          <w:b/>
          <w:bCs/>
          <w:sz w:val="18"/>
          <w:szCs w:val="18"/>
        </w:rPr>
      </w:pPr>
    </w:p>
    <w:p w14:paraId="011C3CFC">
      <w:pPr>
        <w:rPr>
          <w:rFonts w:cs="Times New Roman"/>
          <w:b/>
          <w:bCs/>
          <w:sz w:val="18"/>
          <w:szCs w:val="18"/>
        </w:rPr>
      </w:pPr>
    </w:p>
    <w:p w14:paraId="335C41FA">
      <w:pPr>
        <w:rPr>
          <w:rFonts w:cs="Times New Roman"/>
          <w:b/>
          <w:bCs/>
          <w:sz w:val="18"/>
          <w:szCs w:val="18"/>
        </w:rPr>
      </w:pPr>
    </w:p>
    <w:p w14:paraId="755BD0A9">
      <w:pPr>
        <w:rPr>
          <w:rFonts w:cs="Times New Roman"/>
          <w:b/>
          <w:bCs/>
          <w:sz w:val="18"/>
          <w:szCs w:val="18"/>
        </w:rPr>
      </w:pPr>
    </w:p>
    <w:p w14:paraId="5E60DB9E">
      <w:pPr>
        <w:rPr>
          <w:rFonts w:cs="Times New Roman"/>
          <w:b/>
          <w:bCs/>
          <w:sz w:val="18"/>
          <w:szCs w:val="18"/>
        </w:rPr>
      </w:pPr>
    </w:p>
    <w:p w14:paraId="44D61424">
      <w:pPr>
        <w:rPr>
          <w:rFonts w:cs="Times New Roman"/>
          <w:b/>
          <w:bCs/>
          <w:sz w:val="18"/>
          <w:szCs w:val="18"/>
        </w:rPr>
      </w:pPr>
    </w:p>
    <w:p w14:paraId="63CF7774">
      <w:pPr>
        <w:rPr>
          <w:rFonts w:cs="Times New Roman"/>
          <w:b/>
          <w:bCs/>
          <w:sz w:val="18"/>
          <w:szCs w:val="18"/>
        </w:rPr>
      </w:pPr>
    </w:p>
    <w:p w14:paraId="292676D5">
      <w:pPr>
        <w:rPr>
          <w:rFonts w:cs="Times New Roman"/>
          <w:b/>
          <w:bCs/>
          <w:sz w:val="18"/>
          <w:szCs w:val="18"/>
        </w:rPr>
      </w:pPr>
    </w:p>
    <w:p w14:paraId="43A98D1D">
      <w:pPr>
        <w:rPr>
          <w:rFonts w:cs="Times New Roman"/>
          <w:b/>
          <w:bCs/>
          <w:sz w:val="18"/>
          <w:szCs w:val="18"/>
        </w:rPr>
      </w:pPr>
    </w:p>
    <w:p w14:paraId="5A97732A">
      <w:pPr>
        <w:spacing w:line="190" w:lineRule="auto"/>
        <w:sectPr>
          <w:footerReference r:id="rId3" w:type="default"/>
          <w:pgSz w:w="11907" w:h="16839"/>
          <w:pgMar w:top="1431" w:right="1785" w:bottom="1181" w:left="1785" w:header="0" w:footer="1019" w:gutter="0"/>
          <w:cols w:space="720" w:num="1"/>
        </w:sectPr>
      </w:pPr>
    </w:p>
    <w:sdt>
      <w:sdtPr>
        <w:rPr>
          <w:rFonts w:ascii="Times New Roman" w:hAnsi="Times New Roman" w:eastAsia="宋体" w:cstheme="minorBidi"/>
          <w:color w:val="000000" w:themeColor="text1"/>
          <w:kern w:val="2"/>
          <w:sz w:val="24"/>
          <w:szCs w:val="24"/>
          <w:lang w:val="zh-CN"/>
          <w14:textFill>
            <w14:solidFill>
              <w14:schemeClr w14:val="tx1"/>
            </w14:solidFill>
          </w14:textFill>
        </w:rPr>
        <w:id w:val="-1393891393"/>
        <w:docPartObj>
          <w:docPartGallery w:val="Table of Contents"/>
          <w:docPartUnique/>
        </w:docPartObj>
      </w:sdtPr>
      <w:sdtEndPr>
        <w:rPr>
          <w:rFonts w:ascii="Times New Roman" w:hAnsi="Times New Roman" w:eastAsia="宋体" w:cs="Times New Roman"/>
          <w:b/>
          <w:bCs/>
          <w:color w:val="000000" w:themeColor="text1"/>
          <w:kern w:val="2"/>
          <w:sz w:val="24"/>
          <w:szCs w:val="24"/>
          <w:lang w:val="zh-CN"/>
          <w14:textFill>
            <w14:solidFill>
              <w14:schemeClr w14:val="tx1"/>
            </w14:solidFill>
          </w14:textFill>
        </w:rPr>
      </w:sdtEndPr>
      <w:sdtContent>
        <w:p w14:paraId="7F2A0618">
          <w:pPr>
            <w:pStyle w:val="43"/>
            <w:rPr>
              <w:rFonts w:ascii="Times New Roman" w:hAnsi="Times New Roman" w:cs="Times New Roman"/>
              <w:b/>
              <w:bCs/>
              <w:color w:val="auto"/>
              <w:sz w:val="28"/>
              <w:szCs w:val="28"/>
            </w:rPr>
          </w:pPr>
          <w:bookmarkStart w:id="6" w:name="bookmark69"/>
          <w:bookmarkEnd w:id="6"/>
          <w:bookmarkStart w:id="7" w:name="bookmark102"/>
          <w:bookmarkEnd w:id="7"/>
          <w:r>
            <w:rPr>
              <w:rFonts w:ascii="Times New Roman" w:hAnsi="Times New Roman" w:cs="Times New Roman"/>
              <w:b/>
              <w:bCs/>
              <w:color w:val="auto"/>
              <w:sz w:val="28"/>
              <w:szCs w:val="28"/>
              <w:lang w:val="zh-CN"/>
            </w:rPr>
            <w:t>Content</w:t>
          </w:r>
        </w:p>
        <w:p w14:paraId="2E3A8CB3">
          <w:pPr>
            <w:pStyle w:val="16"/>
            <w:tabs>
              <w:tab w:val="right" w:leader="dot" w:pos="8302"/>
            </w:tabs>
            <w:rPr>
              <w:rFonts w:cstheme="minorBidi"/>
              <w:kern w:val="2"/>
              <w:szCs w:val="24"/>
              <w14:ligatures w14:val="standardContextual"/>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r>
            <w:fldChar w:fldCharType="begin"/>
          </w:r>
          <w:r>
            <w:instrText xml:space="preserve"> HYPERLINK \l "_Toc218184809" </w:instrText>
          </w:r>
          <w:r>
            <w:fldChar w:fldCharType="separate"/>
          </w:r>
          <w:r>
            <w:rPr>
              <w:rStyle w:val="21"/>
              <w:rFonts w:ascii="Times New Roman" w:hAnsi="Times New Roman"/>
              <w:b/>
              <w:bCs/>
            </w:rPr>
            <w:t>I. Frailty index calculation and missing data of study variables</w:t>
          </w:r>
          <w:r>
            <w:tab/>
          </w:r>
          <w:r>
            <w:fldChar w:fldCharType="begin"/>
          </w:r>
          <w:r>
            <w:instrText xml:space="preserve"> PAGEREF _Toc218184809 \h </w:instrText>
          </w:r>
          <w:r>
            <w:fldChar w:fldCharType="separate"/>
          </w:r>
          <w:r>
            <w:t>4</w:t>
          </w:r>
          <w:r>
            <w:fldChar w:fldCharType="end"/>
          </w:r>
          <w:r>
            <w:fldChar w:fldCharType="end"/>
          </w:r>
        </w:p>
        <w:p w14:paraId="173478C2">
          <w:pPr>
            <w:pStyle w:val="13"/>
            <w:tabs>
              <w:tab w:val="right" w:leader="dot" w:pos="8302"/>
            </w:tabs>
            <w:rPr>
              <w:rFonts w:cstheme="minorBidi"/>
              <w:kern w:val="2"/>
              <w:szCs w:val="24"/>
              <w14:ligatures w14:val="standardContextual"/>
            </w:rPr>
          </w:pPr>
          <w:r>
            <w:fldChar w:fldCharType="begin"/>
          </w:r>
          <w:r>
            <w:instrText xml:space="preserve"> HYPERLINK \l "_Toc218184810" </w:instrText>
          </w:r>
          <w:r>
            <w:fldChar w:fldCharType="separate"/>
          </w:r>
          <w:r>
            <w:rPr>
              <w:rStyle w:val="21"/>
              <w:rFonts w:ascii="Times New Roman" w:hAnsi="Times New Roman"/>
              <w:b/>
              <w:bCs/>
            </w:rPr>
            <w:t xml:space="preserve">Table S1 </w:t>
          </w:r>
          <w:r>
            <w:rPr>
              <w:rStyle w:val="21"/>
              <w:rFonts w:ascii="Times New Roman" w:hAnsi="Times New Roman"/>
            </w:rPr>
            <w:t>Composition and scoring criteria of the 49-item frailty index</w:t>
          </w:r>
          <w:r>
            <w:tab/>
          </w:r>
          <w:r>
            <w:fldChar w:fldCharType="begin"/>
          </w:r>
          <w:r>
            <w:instrText xml:space="preserve"> PAGEREF _Toc218184810 \h </w:instrText>
          </w:r>
          <w:r>
            <w:fldChar w:fldCharType="separate"/>
          </w:r>
          <w:r>
            <w:t>4</w:t>
          </w:r>
          <w:r>
            <w:fldChar w:fldCharType="end"/>
          </w:r>
          <w:r>
            <w:fldChar w:fldCharType="end"/>
          </w:r>
        </w:p>
        <w:p w14:paraId="53097A20">
          <w:pPr>
            <w:pStyle w:val="13"/>
            <w:tabs>
              <w:tab w:val="right" w:leader="dot" w:pos="8302"/>
            </w:tabs>
            <w:rPr>
              <w:rFonts w:cstheme="minorBidi"/>
              <w:kern w:val="2"/>
              <w:szCs w:val="24"/>
              <w14:ligatures w14:val="standardContextual"/>
            </w:rPr>
          </w:pPr>
          <w:r>
            <w:fldChar w:fldCharType="begin"/>
          </w:r>
          <w:r>
            <w:instrText xml:space="preserve"> HYPERLINK \l "_Toc218184811" </w:instrText>
          </w:r>
          <w:r>
            <w:fldChar w:fldCharType="separate"/>
          </w:r>
          <w:r>
            <w:rPr>
              <w:rStyle w:val="21"/>
              <w:rFonts w:ascii="Times New Roman" w:hAnsi="Times New Roman"/>
              <w:b/>
              <w:bCs/>
            </w:rPr>
            <w:t>Table S2</w:t>
          </w:r>
          <w:r>
            <w:rPr>
              <w:rStyle w:val="21"/>
              <w:rFonts w:ascii="Times New Roman" w:hAnsi="Times New Roman"/>
            </w:rPr>
            <w:t xml:space="preserve"> Frequency and distribution of missing data among study variables</w:t>
          </w:r>
          <w:r>
            <w:tab/>
          </w:r>
          <w:r>
            <w:fldChar w:fldCharType="begin"/>
          </w:r>
          <w:r>
            <w:instrText xml:space="preserve"> PAGEREF _Toc218184811 \h </w:instrText>
          </w:r>
          <w:r>
            <w:fldChar w:fldCharType="separate"/>
          </w:r>
          <w:r>
            <w:t>8</w:t>
          </w:r>
          <w:r>
            <w:fldChar w:fldCharType="end"/>
          </w:r>
          <w:r>
            <w:fldChar w:fldCharType="end"/>
          </w:r>
        </w:p>
        <w:p w14:paraId="2D9EFAB0">
          <w:pPr>
            <w:pStyle w:val="16"/>
            <w:tabs>
              <w:tab w:val="right" w:leader="dot" w:pos="8302"/>
            </w:tabs>
            <w:rPr>
              <w:rFonts w:cstheme="minorBidi"/>
              <w:kern w:val="2"/>
              <w:szCs w:val="24"/>
              <w14:ligatures w14:val="standardContextual"/>
            </w:rPr>
          </w:pPr>
          <w:r>
            <w:fldChar w:fldCharType="begin"/>
          </w:r>
          <w:r>
            <w:instrText xml:space="preserve"> HYPERLINK \l "_Toc218184812" </w:instrText>
          </w:r>
          <w:r>
            <w:fldChar w:fldCharType="separate"/>
          </w:r>
          <w:r>
            <w:rPr>
              <w:rStyle w:val="21"/>
              <w:rFonts w:ascii="Times New Roman" w:hAnsi="Times New Roman"/>
              <w:b/>
              <w:bCs/>
            </w:rPr>
            <w:t>II. Unadjusted association between baseline variables and mortality</w:t>
          </w:r>
          <w:r>
            <w:tab/>
          </w:r>
          <w:r>
            <w:fldChar w:fldCharType="begin"/>
          </w:r>
          <w:r>
            <w:instrText xml:space="preserve"> PAGEREF _Toc218184812 \h </w:instrText>
          </w:r>
          <w:r>
            <w:fldChar w:fldCharType="separate"/>
          </w:r>
          <w:r>
            <w:t>9</w:t>
          </w:r>
          <w:r>
            <w:fldChar w:fldCharType="end"/>
          </w:r>
          <w:r>
            <w:fldChar w:fldCharType="end"/>
          </w:r>
        </w:p>
        <w:p w14:paraId="4703FC57">
          <w:pPr>
            <w:pStyle w:val="16"/>
            <w:tabs>
              <w:tab w:val="right" w:leader="dot" w:pos="8302"/>
            </w:tabs>
            <w:ind w:firstLine="220" w:firstLineChars="100"/>
            <w:rPr>
              <w:rFonts w:cstheme="minorBidi"/>
              <w:kern w:val="2"/>
              <w:szCs w:val="24"/>
              <w14:ligatures w14:val="standardContextual"/>
            </w:rPr>
          </w:pPr>
          <w:r>
            <w:fldChar w:fldCharType="begin"/>
          </w:r>
          <w:r>
            <w:instrText xml:space="preserve"> HYPERLINK \l "_Toc218184813" </w:instrText>
          </w:r>
          <w:r>
            <w:fldChar w:fldCharType="separate"/>
          </w:r>
          <w:r>
            <w:rPr>
              <w:rStyle w:val="21"/>
              <w:rFonts w:ascii="Times New Roman" w:hAnsi="Times New Roman"/>
              <w:b/>
              <w:bCs/>
            </w:rPr>
            <w:t>Table S3</w:t>
          </w:r>
          <w:r>
            <w:rPr>
              <w:rStyle w:val="21"/>
              <w:rFonts w:ascii="Times New Roman" w:hAnsi="Times New Roman"/>
            </w:rPr>
            <w:t xml:space="preserve"> The unadjusted association between baseline variables and all-cause mortality (n = 15044).</w:t>
          </w:r>
          <w:r>
            <w:tab/>
          </w:r>
          <w:r>
            <w:fldChar w:fldCharType="begin"/>
          </w:r>
          <w:r>
            <w:instrText xml:space="preserve"> PAGEREF _Toc218184813 \h </w:instrText>
          </w:r>
          <w:r>
            <w:fldChar w:fldCharType="separate"/>
          </w:r>
          <w:r>
            <w:t>9</w:t>
          </w:r>
          <w:r>
            <w:fldChar w:fldCharType="end"/>
          </w:r>
          <w:r>
            <w:fldChar w:fldCharType="end"/>
          </w:r>
        </w:p>
        <w:p w14:paraId="7EF47D9A">
          <w:pPr>
            <w:pStyle w:val="13"/>
            <w:tabs>
              <w:tab w:val="right" w:leader="dot" w:pos="8302"/>
            </w:tabs>
            <w:rPr>
              <w:rFonts w:cstheme="minorBidi"/>
              <w:kern w:val="2"/>
              <w:szCs w:val="24"/>
              <w14:ligatures w14:val="standardContextual"/>
            </w:rPr>
          </w:pPr>
          <w:r>
            <w:fldChar w:fldCharType="begin"/>
          </w:r>
          <w:r>
            <w:instrText xml:space="preserve"> HYPERLINK \l "_Toc218184814" </w:instrText>
          </w:r>
          <w:r>
            <w:fldChar w:fldCharType="separate"/>
          </w:r>
          <w:r>
            <w:rPr>
              <w:rStyle w:val="21"/>
              <w:rFonts w:ascii="Times New Roman" w:hAnsi="Times New Roman"/>
              <w:b/>
              <w:bCs/>
            </w:rPr>
            <w:t>Table S4</w:t>
          </w:r>
          <w:r>
            <w:rPr>
              <w:rStyle w:val="21"/>
              <w:rFonts w:ascii="Times New Roman" w:hAnsi="Times New Roman"/>
            </w:rPr>
            <w:t xml:space="preserve"> The unadjusted association between baseline variables and cardiovascular mortality (n = 15044)</w:t>
          </w:r>
          <w:r>
            <w:tab/>
          </w:r>
          <w:r>
            <w:fldChar w:fldCharType="begin"/>
          </w:r>
          <w:r>
            <w:instrText xml:space="preserve"> PAGEREF _Toc218184814 \h </w:instrText>
          </w:r>
          <w:r>
            <w:fldChar w:fldCharType="separate"/>
          </w:r>
          <w:r>
            <w:t>10</w:t>
          </w:r>
          <w:r>
            <w:fldChar w:fldCharType="end"/>
          </w:r>
          <w:r>
            <w:fldChar w:fldCharType="end"/>
          </w:r>
        </w:p>
        <w:p w14:paraId="048381A6">
          <w:pPr>
            <w:pStyle w:val="16"/>
            <w:tabs>
              <w:tab w:val="right" w:leader="dot" w:pos="8302"/>
            </w:tabs>
            <w:rPr>
              <w:rFonts w:cstheme="minorBidi"/>
              <w:kern w:val="2"/>
              <w:szCs w:val="24"/>
              <w14:ligatures w14:val="standardContextual"/>
            </w:rPr>
          </w:pPr>
          <w:r>
            <w:fldChar w:fldCharType="begin"/>
          </w:r>
          <w:r>
            <w:instrText xml:space="preserve"> HYPERLINK \l "_Toc218184815" </w:instrText>
          </w:r>
          <w:r>
            <w:fldChar w:fldCharType="separate"/>
          </w:r>
          <w:r>
            <w:rPr>
              <w:rStyle w:val="21"/>
              <w:rFonts w:ascii="Times New Roman" w:hAnsi="Times New Roman"/>
              <w:b/>
              <w:bCs/>
            </w:rPr>
            <w:t>III. Cox regression analyses for TyGFI, TyG, and FI with mortality</w:t>
          </w:r>
          <w:r>
            <w:tab/>
          </w:r>
          <w:r>
            <w:fldChar w:fldCharType="begin"/>
          </w:r>
          <w:r>
            <w:instrText xml:space="preserve"> PAGEREF _Toc218184815 \h </w:instrText>
          </w:r>
          <w:r>
            <w:fldChar w:fldCharType="separate"/>
          </w:r>
          <w:r>
            <w:t>12</w:t>
          </w:r>
          <w:r>
            <w:fldChar w:fldCharType="end"/>
          </w:r>
          <w:r>
            <w:fldChar w:fldCharType="end"/>
          </w:r>
        </w:p>
        <w:p w14:paraId="441164CB">
          <w:pPr>
            <w:pStyle w:val="13"/>
            <w:tabs>
              <w:tab w:val="right" w:leader="dot" w:pos="8302"/>
            </w:tabs>
            <w:rPr>
              <w:rFonts w:cstheme="minorBidi"/>
              <w:kern w:val="2"/>
              <w:szCs w:val="24"/>
              <w14:ligatures w14:val="standardContextual"/>
            </w:rPr>
          </w:pPr>
          <w:r>
            <w:fldChar w:fldCharType="begin"/>
          </w:r>
          <w:r>
            <w:instrText xml:space="preserve"> HYPERLINK \l "_Toc218184816" </w:instrText>
          </w:r>
          <w:r>
            <w:fldChar w:fldCharType="separate"/>
          </w:r>
          <w:r>
            <w:rPr>
              <w:rStyle w:val="21"/>
              <w:rFonts w:ascii="Times New Roman" w:hAnsi="Times New Roman"/>
              <w:b/>
              <w:bCs/>
            </w:rPr>
            <w:t>Table S5.</w:t>
          </w:r>
          <w:r>
            <w:rPr>
              <w:rStyle w:val="21"/>
              <w:rFonts w:ascii="Times New Roman" w:hAnsi="Times New Roman"/>
            </w:rPr>
            <w:t xml:space="preserve"> Association between TyGFI and mortality in adults with CKM syndrome: Cox regression analysis after multiple imputation</w:t>
          </w:r>
          <w:r>
            <w:tab/>
          </w:r>
          <w:r>
            <w:fldChar w:fldCharType="begin"/>
          </w:r>
          <w:r>
            <w:instrText xml:space="preserve"> PAGEREF _Toc218184816 \h </w:instrText>
          </w:r>
          <w:r>
            <w:fldChar w:fldCharType="separate"/>
          </w:r>
          <w:r>
            <w:t>12</w:t>
          </w:r>
          <w:r>
            <w:fldChar w:fldCharType="end"/>
          </w:r>
          <w:r>
            <w:fldChar w:fldCharType="end"/>
          </w:r>
        </w:p>
        <w:p w14:paraId="6A548F05">
          <w:pPr>
            <w:pStyle w:val="13"/>
            <w:tabs>
              <w:tab w:val="right" w:leader="dot" w:pos="8302"/>
            </w:tabs>
            <w:rPr>
              <w:rFonts w:cstheme="minorBidi"/>
              <w:kern w:val="2"/>
              <w:szCs w:val="24"/>
              <w14:ligatures w14:val="standardContextual"/>
            </w:rPr>
          </w:pPr>
          <w:r>
            <w:fldChar w:fldCharType="begin"/>
          </w:r>
          <w:r>
            <w:instrText xml:space="preserve"> HYPERLINK \l "_Toc218184817" </w:instrText>
          </w:r>
          <w:r>
            <w:fldChar w:fldCharType="separate"/>
          </w:r>
          <w:r>
            <w:rPr>
              <w:rStyle w:val="21"/>
              <w:rFonts w:ascii="Times New Roman" w:hAnsi="Times New Roman"/>
              <w:b/>
              <w:bCs/>
              <w:lang w:bidi="ar"/>
            </w:rPr>
            <w:t>Table S6</w:t>
          </w:r>
          <w:r>
            <w:rPr>
              <w:rStyle w:val="21"/>
              <w:rFonts w:ascii="Times New Roman" w:hAnsi="Times New Roman"/>
              <w:lang w:bidi="ar"/>
            </w:rPr>
            <w:t xml:space="preserve"> Cox regression model for TyG (per-1 unit) and mortality in adults with CKM syndrome</w:t>
          </w:r>
          <w:r>
            <w:tab/>
          </w:r>
          <w:r>
            <w:fldChar w:fldCharType="begin"/>
          </w:r>
          <w:r>
            <w:instrText xml:space="preserve"> PAGEREF _Toc218184817 \h </w:instrText>
          </w:r>
          <w:r>
            <w:fldChar w:fldCharType="separate"/>
          </w:r>
          <w:r>
            <w:t>13</w:t>
          </w:r>
          <w:r>
            <w:fldChar w:fldCharType="end"/>
          </w:r>
          <w:r>
            <w:fldChar w:fldCharType="end"/>
          </w:r>
        </w:p>
        <w:p w14:paraId="48FF9366">
          <w:pPr>
            <w:pStyle w:val="13"/>
            <w:tabs>
              <w:tab w:val="right" w:leader="dot" w:pos="8302"/>
            </w:tabs>
            <w:rPr>
              <w:rFonts w:cstheme="minorBidi"/>
              <w:kern w:val="2"/>
              <w:szCs w:val="24"/>
              <w14:ligatures w14:val="standardContextual"/>
            </w:rPr>
          </w:pPr>
          <w:r>
            <w:fldChar w:fldCharType="begin"/>
          </w:r>
          <w:r>
            <w:instrText xml:space="preserve"> HYPERLINK \l "_Toc218184818" </w:instrText>
          </w:r>
          <w:r>
            <w:fldChar w:fldCharType="separate"/>
          </w:r>
          <w:r>
            <w:rPr>
              <w:rStyle w:val="21"/>
              <w:rFonts w:ascii="Times New Roman" w:hAnsi="Times New Roman"/>
              <w:b/>
              <w:bCs/>
              <w:lang w:bidi="ar"/>
            </w:rPr>
            <w:t>Table S7</w:t>
          </w:r>
          <w:r>
            <w:rPr>
              <w:rStyle w:val="21"/>
              <w:rFonts w:ascii="Times New Roman" w:hAnsi="Times New Roman"/>
              <w:lang w:bidi="ar"/>
            </w:rPr>
            <w:t xml:space="preserve"> Cox regression model for FI (per-0.1 unit) and mortality in adults with CKM syndrome</w:t>
          </w:r>
          <w:r>
            <w:tab/>
          </w:r>
          <w:r>
            <w:fldChar w:fldCharType="begin"/>
          </w:r>
          <w:r>
            <w:instrText xml:space="preserve"> PAGEREF _Toc218184818 \h </w:instrText>
          </w:r>
          <w:r>
            <w:fldChar w:fldCharType="separate"/>
          </w:r>
          <w:r>
            <w:t>14</w:t>
          </w:r>
          <w:r>
            <w:fldChar w:fldCharType="end"/>
          </w:r>
          <w:r>
            <w:fldChar w:fldCharType="end"/>
          </w:r>
        </w:p>
        <w:p w14:paraId="0FC68F11">
          <w:pPr>
            <w:pStyle w:val="16"/>
            <w:tabs>
              <w:tab w:val="right" w:leader="dot" w:pos="8302"/>
            </w:tabs>
            <w:rPr>
              <w:rFonts w:cstheme="minorBidi"/>
              <w:kern w:val="2"/>
              <w:szCs w:val="24"/>
              <w14:ligatures w14:val="standardContextual"/>
            </w:rPr>
          </w:pPr>
          <w:r>
            <w:fldChar w:fldCharType="begin"/>
          </w:r>
          <w:r>
            <w:instrText xml:space="preserve"> HYPERLINK \l "_Toc218184819" </w:instrText>
          </w:r>
          <w:r>
            <w:fldChar w:fldCharType="separate"/>
          </w:r>
          <w:r>
            <w:rPr>
              <w:rStyle w:val="21"/>
              <w:rFonts w:ascii="Times New Roman" w:hAnsi="Times New Roman"/>
              <w:b/>
              <w:bCs/>
            </w:rPr>
            <w:t>IV. Interaction analyses of TyG and FI</w:t>
          </w:r>
          <w:r>
            <w:tab/>
          </w:r>
          <w:r>
            <w:fldChar w:fldCharType="begin"/>
          </w:r>
          <w:r>
            <w:instrText xml:space="preserve"> PAGEREF _Toc218184819 \h </w:instrText>
          </w:r>
          <w:r>
            <w:fldChar w:fldCharType="separate"/>
          </w:r>
          <w:r>
            <w:t>15</w:t>
          </w:r>
          <w:r>
            <w:fldChar w:fldCharType="end"/>
          </w:r>
          <w:r>
            <w:fldChar w:fldCharType="end"/>
          </w:r>
        </w:p>
        <w:p w14:paraId="4F6B3EF0">
          <w:pPr>
            <w:pStyle w:val="13"/>
            <w:tabs>
              <w:tab w:val="right" w:leader="dot" w:pos="8302"/>
            </w:tabs>
            <w:rPr>
              <w:rFonts w:cstheme="minorBidi"/>
              <w:kern w:val="2"/>
              <w:szCs w:val="24"/>
              <w14:ligatures w14:val="standardContextual"/>
            </w:rPr>
          </w:pPr>
          <w:r>
            <w:fldChar w:fldCharType="begin"/>
          </w:r>
          <w:r>
            <w:instrText xml:space="preserve"> HYPERLINK \l "_Toc218184820" </w:instrText>
          </w:r>
          <w:r>
            <w:fldChar w:fldCharType="separate"/>
          </w:r>
          <w:r>
            <w:rPr>
              <w:rStyle w:val="21"/>
              <w:rFonts w:ascii="Times New Roman" w:hAnsi="Times New Roman"/>
              <w:b/>
              <w:bCs/>
              <w:lang w:bidi="ar"/>
            </w:rPr>
            <w:t>Table S8</w:t>
          </w:r>
          <w:r>
            <w:rPr>
              <w:rStyle w:val="21"/>
              <w:rFonts w:ascii="Times New Roman" w:hAnsi="Times New Roman"/>
              <w:lang w:bidi="ar"/>
            </w:rPr>
            <w:t xml:space="preserve"> Additive and multiplicative joint interaction of TyG and frailty index on all-cause mortality</w:t>
          </w:r>
          <w:r>
            <w:tab/>
          </w:r>
          <w:r>
            <w:fldChar w:fldCharType="begin"/>
          </w:r>
          <w:r>
            <w:instrText xml:space="preserve"> PAGEREF _Toc218184820 \h </w:instrText>
          </w:r>
          <w:r>
            <w:fldChar w:fldCharType="separate"/>
          </w:r>
          <w:r>
            <w:t>15</w:t>
          </w:r>
          <w:r>
            <w:fldChar w:fldCharType="end"/>
          </w:r>
          <w:r>
            <w:fldChar w:fldCharType="end"/>
          </w:r>
        </w:p>
        <w:p w14:paraId="605A6D21">
          <w:pPr>
            <w:pStyle w:val="13"/>
            <w:tabs>
              <w:tab w:val="right" w:leader="dot" w:pos="8302"/>
            </w:tabs>
            <w:rPr>
              <w:rFonts w:cstheme="minorBidi"/>
              <w:kern w:val="2"/>
              <w:szCs w:val="24"/>
              <w14:ligatures w14:val="standardContextual"/>
            </w:rPr>
          </w:pPr>
          <w:r>
            <w:fldChar w:fldCharType="begin"/>
          </w:r>
          <w:r>
            <w:instrText xml:space="preserve"> HYPERLINK \l "_Toc218184821" </w:instrText>
          </w:r>
          <w:r>
            <w:fldChar w:fldCharType="separate"/>
          </w:r>
          <w:r>
            <w:rPr>
              <w:rStyle w:val="21"/>
              <w:rFonts w:ascii="Times New Roman" w:hAnsi="Times New Roman"/>
              <w:b/>
              <w:bCs/>
              <w:lang w:bidi="ar"/>
            </w:rPr>
            <w:t>Table S9</w:t>
          </w:r>
          <w:r>
            <w:rPr>
              <w:rStyle w:val="21"/>
              <w:rFonts w:ascii="Times New Roman" w:hAnsi="Times New Roman"/>
              <w:lang w:bidi="ar"/>
            </w:rPr>
            <w:t xml:space="preserve"> Additive and multiplicative joint interaction of TyG and frailty index on CVD mortality</w:t>
          </w:r>
          <w:r>
            <w:tab/>
          </w:r>
          <w:r>
            <w:fldChar w:fldCharType="begin"/>
          </w:r>
          <w:r>
            <w:instrText xml:space="preserve"> PAGEREF _Toc218184821 \h </w:instrText>
          </w:r>
          <w:r>
            <w:fldChar w:fldCharType="separate"/>
          </w:r>
          <w:r>
            <w:t>16</w:t>
          </w:r>
          <w:r>
            <w:fldChar w:fldCharType="end"/>
          </w:r>
          <w:r>
            <w:fldChar w:fldCharType="end"/>
          </w:r>
        </w:p>
        <w:p w14:paraId="08197311">
          <w:pPr>
            <w:pStyle w:val="16"/>
            <w:tabs>
              <w:tab w:val="right" w:leader="dot" w:pos="8302"/>
            </w:tabs>
            <w:rPr>
              <w:rFonts w:cstheme="minorBidi"/>
              <w:kern w:val="2"/>
              <w:szCs w:val="24"/>
              <w14:ligatures w14:val="standardContextual"/>
            </w:rPr>
          </w:pPr>
          <w:r>
            <w:fldChar w:fldCharType="begin"/>
          </w:r>
          <w:r>
            <w:instrText xml:space="preserve"> HYPERLINK \l "_Toc218184822" </w:instrText>
          </w:r>
          <w:r>
            <w:fldChar w:fldCharType="separate"/>
          </w:r>
          <w:r>
            <w:rPr>
              <w:rStyle w:val="21"/>
              <w:rFonts w:ascii="Times New Roman" w:hAnsi="Times New Roman"/>
              <w:b/>
              <w:bCs/>
            </w:rPr>
            <w:t>V. Subgroup analyses of TyGFI and mortality</w:t>
          </w:r>
          <w:r>
            <w:tab/>
          </w:r>
          <w:r>
            <w:fldChar w:fldCharType="begin"/>
          </w:r>
          <w:r>
            <w:instrText xml:space="preserve"> PAGEREF _Toc218184822 \h </w:instrText>
          </w:r>
          <w:r>
            <w:fldChar w:fldCharType="separate"/>
          </w:r>
          <w:r>
            <w:t>17</w:t>
          </w:r>
          <w:r>
            <w:fldChar w:fldCharType="end"/>
          </w:r>
          <w:r>
            <w:fldChar w:fldCharType="end"/>
          </w:r>
        </w:p>
        <w:p w14:paraId="5360121D">
          <w:pPr>
            <w:pStyle w:val="13"/>
            <w:tabs>
              <w:tab w:val="right" w:leader="dot" w:pos="8302"/>
            </w:tabs>
            <w:rPr>
              <w:rFonts w:cstheme="minorBidi"/>
              <w:kern w:val="2"/>
              <w:szCs w:val="24"/>
              <w14:ligatures w14:val="standardContextual"/>
            </w:rPr>
          </w:pPr>
          <w:r>
            <w:fldChar w:fldCharType="begin"/>
          </w:r>
          <w:r>
            <w:instrText xml:space="preserve"> HYPERLINK \l "_Toc218184823" </w:instrText>
          </w:r>
          <w:r>
            <w:fldChar w:fldCharType="separate"/>
          </w:r>
          <w:r>
            <w:rPr>
              <w:rStyle w:val="21"/>
              <w:rFonts w:ascii="Times New Roman" w:hAnsi="Times New Roman"/>
              <w:b/>
            </w:rPr>
            <w:t>Table S10</w:t>
          </w:r>
          <w:r>
            <w:rPr>
              <w:rStyle w:val="21"/>
              <w:rFonts w:ascii="Times New Roman" w:hAnsi="Times New Roman"/>
              <w:lang w:bidi="ar"/>
            </w:rPr>
            <w:t xml:space="preserve"> Subgroup analysis of the association between TyGFI and all-cause mortality</w:t>
          </w:r>
          <w:r>
            <w:tab/>
          </w:r>
          <w:r>
            <w:fldChar w:fldCharType="begin"/>
          </w:r>
          <w:r>
            <w:instrText xml:space="preserve"> PAGEREF _Toc218184823 \h </w:instrText>
          </w:r>
          <w:r>
            <w:fldChar w:fldCharType="separate"/>
          </w:r>
          <w:r>
            <w:t>17</w:t>
          </w:r>
          <w:r>
            <w:fldChar w:fldCharType="end"/>
          </w:r>
          <w:r>
            <w:fldChar w:fldCharType="end"/>
          </w:r>
        </w:p>
        <w:p w14:paraId="27A3D28E">
          <w:pPr>
            <w:pStyle w:val="13"/>
            <w:tabs>
              <w:tab w:val="right" w:leader="dot" w:pos="8302"/>
            </w:tabs>
            <w:rPr>
              <w:rFonts w:cstheme="minorBidi"/>
              <w:kern w:val="2"/>
              <w:szCs w:val="24"/>
              <w14:ligatures w14:val="standardContextual"/>
            </w:rPr>
          </w:pPr>
          <w:r>
            <w:fldChar w:fldCharType="begin"/>
          </w:r>
          <w:r>
            <w:instrText xml:space="preserve"> HYPERLINK \l "_Toc218184824" </w:instrText>
          </w:r>
          <w:r>
            <w:fldChar w:fldCharType="separate"/>
          </w:r>
          <w:r>
            <w:rPr>
              <w:rStyle w:val="21"/>
              <w:rFonts w:ascii="Times New Roman" w:hAnsi="Times New Roman"/>
              <w:b/>
            </w:rPr>
            <w:t>Table S11</w:t>
          </w:r>
          <w:r>
            <w:rPr>
              <w:rStyle w:val="21"/>
              <w:rFonts w:ascii="Times New Roman" w:hAnsi="Times New Roman"/>
              <w:lang w:bidi="ar"/>
            </w:rPr>
            <w:t xml:space="preserve"> Subgroup analysis of the association between TyGFI and CVD mortality</w:t>
          </w:r>
          <w:r>
            <w:tab/>
          </w:r>
          <w:r>
            <w:fldChar w:fldCharType="begin"/>
          </w:r>
          <w:r>
            <w:instrText xml:space="preserve"> PAGEREF _Toc218184824 \h </w:instrText>
          </w:r>
          <w:r>
            <w:fldChar w:fldCharType="separate"/>
          </w:r>
          <w:r>
            <w:t>18</w:t>
          </w:r>
          <w:r>
            <w:fldChar w:fldCharType="end"/>
          </w:r>
          <w:r>
            <w:fldChar w:fldCharType="end"/>
          </w:r>
        </w:p>
        <w:p w14:paraId="52D15A44">
          <w:pPr>
            <w:pStyle w:val="16"/>
            <w:tabs>
              <w:tab w:val="right" w:leader="dot" w:pos="8302"/>
            </w:tabs>
            <w:rPr>
              <w:rFonts w:cstheme="minorBidi"/>
              <w:kern w:val="2"/>
              <w:szCs w:val="24"/>
              <w14:ligatures w14:val="standardContextual"/>
            </w:rPr>
          </w:pPr>
          <w:r>
            <w:fldChar w:fldCharType="begin"/>
          </w:r>
          <w:r>
            <w:instrText xml:space="preserve"> HYPERLINK \l "_Toc218184825" </w:instrText>
          </w:r>
          <w:r>
            <w:fldChar w:fldCharType="separate"/>
          </w:r>
          <w:r>
            <w:rPr>
              <w:rStyle w:val="21"/>
              <w:rFonts w:ascii="Times New Roman" w:hAnsi="Times New Roman"/>
              <w:b/>
              <w:bCs/>
            </w:rPr>
            <w:t>VI Cox regression and competing risk models for cardiovascular mortality</w:t>
          </w:r>
          <w:r>
            <w:tab/>
          </w:r>
          <w:r>
            <w:fldChar w:fldCharType="begin"/>
          </w:r>
          <w:r>
            <w:instrText xml:space="preserve"> PAGEREF _Toc218184825 \h </w:instrText>
          </w:r>
          <w:r>
            <w:fldChar w:fldCharType="separate"/>
          </w:r>
          <w:r>
            <w:t>20</w:t>
          </w:r>
          <w:r>
            <w:fldChar w:fldCharType="end"/>
          </w:r>
          <w:r>
            <w:fldChar w:fldCharType="end"/>
          </w:r>
        </w:p>
        <w:p w14:paraId="4480C3E3">
          <w:pPr>
            <w:pStyle w:val="13"/>
            <w:tabs>
              <w:tab w:val="right" w:leader="dot" w:pos="8302"/>
            </w:tabs>
            <w:rPr>
              <w:rFonts w:cstheme="minorBidi"/>
              <w:kern w:val="2"/>
              <w:szCs w:val="24"/>
              <w14:ligatures w14:val="standardContextual"/>
            </w:rPr>
          </w:pPr>
          <w:r>
            <w:fldChar w:fldCharType="begin"/>
          </w:r>
          <w:r>
            <w:instrText xml:space="preserve"> HYPERLINK \l "_Toc218184826" </w:instrText>
          </w:r>
          <w:r>
            <w:fldChar w:fldCharType="separate"/>
          </w:r>
          <w:r>
            <w:rPr>
              <w:rStyle w:val="21"/>
              <w:rFonts w:ascii="Times New Roman" w:hAnsi="Times New Roman"/>
              <w:b/>
              <w:bCs/>
            </w:rPr>
            <w:t>Table S12</w:t>
          </w:r>
          <w:r>
            <w:rPr>
              <w:rStyle w:val="21"/>
              <w:rFonts w:ascii="Times New Roman" w:hAnsi="Times New Roman"/>
              <w:b/>
              <w:bCs/>
              <w:lang w:bidi="ar"/>
            </w:rPr>
            <w:t xml:space="preserve"> </w:t>
          </w:r>
          <w:r>
            <w:rPr>
              <w:rStyle w:val="21"/>
              <w:rFonts w:ascii="Times New Roman" w:hAnsi="Times New Roman"/>
            </w:rPr>
            <w:t xml:space="preserve">Association of TyGFI with cardiovascular mortality assessed by Cox regression and competing risk models </w:t>
          </w:r>
          <w:r>
            <w:tab/>
          </w:r>
          <w:r>
            <w:fldChar w:fldCharType="begin"/>
          </w:r>
          <w:r>
            <w:instrText xml:space="preserve"> PAGEREF _Toc218184826 \h </w:instrText>
          </w:r>
          <w:r>
            <w:fldChar w:fldCharType="separate"/>
          </w:r>
          <w:r>
            <w:t>21</w:t>
          </w:r>
          <w:r>
            <w:fldChar w:fldCharType="end"/>
          </w:r>
          <w:r>
            <w:fldChar w:fldCharType="end"/>
          </w:r>
        </w:p>
        <w:p w14:paraId="1AE7A57F">
          <w:pPr>
            <w:pStyle w:val="16"/>
            <w:tabs>
              <w:tab w:val="right" w:leader="dot" w:pos="8302"/>
            </w:tabs>
            <w:rPr>
              <w:rFonts w:cstheme="minorBidi"/>
              <w:kern w:val="2"/>
              <w:szCs w:val="24"/>
              <w14:ligatures w14:val="standardContextual"/>
            </w:rPr>
          </w:pPr>
          <w:r>
            <w:fldChar w:fldCharType="begin"/>
          </w:r>
          <w:r>
            <w:instrText xml:space="preserve"> HYPERLINK \l "_Toc218184827" </w:instrText>
          </w:r>
          <w:r>
            <w:fldChar w:fldCharType="separate"/>
          </w:r>
          <w:r>
            <w:rPr>
              <w:rStyle w:val="21"/>
              <w:rFonts w:ascii="Times New Roman" w:hAnsi="Times New Roman"/>
              <w:b/>
              <w:bCs/>
            </w:rPr>
            <w:t>VII. Threshold effect analyses of TyGFI and mortality</w:t>
          </w:r>
          <w:r>
            <w:tab/>
          </w:r>
          <w:r>
            <w:fldChar w:fldCharType="begin"/>
          </w:r>
          <w:r>
            <w:instrText xml:space="preserve"> PAGEREF _Toc218184827 \h </w:instrText>
          </w:r>
          <w:r>
            <w:fldChar w:fldCharType="separate"/>
          </w:r>
          <w:r>
            <w:t>21</w:t>
          </w:r>
          <w:r>
            <w:fldChar w:fldCharType="end"/>
          </w:r>
          <w:r>
            <w:fldChar w:fldCharType="end"/>
          </w:r>
        </w:p>
        <w:p w14:paraId="43C4BE4C">
          <w:pPr>
            <w:pStyle w:val="13"/>
            <w:tabs>
              <w:tab w:val="right" w:leader="dot" w:pos="8302"/>
            </w:tabs>
            <w:rPr>
              <w:rFonts w:cstheme="minorBidi"/>
              <w:kern w:val="2"/>
              <w:szCs w:val="24"/>
              <w14:ligatures w14:val="standardContextual"/>
            </w:rPr>
          </w:pPr>
          <w:r>
            <w:fldChar w:fldCharType="begin"/>
          </w:r>
          <w:r>
            <w:instrText xml:space="preserve"> HYPERLINK \l "_Toc218184828" </w:instrText>
          </w:r>
          <w:r>
            <w:fldChar w:fldCharType="separate"/>
          </w:r>
          <w:r>
            <w:rPr>
              <w:rStyle w:val="21"/>
              <w:rFonts w:ascii="Times New Roman" w:hAnsi="Times New Roman"/>
              <w:b/>
            </w:rPr>
            <w:t xml:space="preserve">Table S13 </w:t>
          </w:r>
          <w:r>
            <w:rPr>
              <w:rStyle w:val="21"/>
              <w:rFonts w:ascii="Times New Roman" w:hAnsi="Times New Roman"/>
            </w:rPr>
            <w:t>Threshold effect analysis of the TyGFI and all-cause mortality</w:t>
          </w:r>
          <w:r>
            <w:tab/>
          </w:r>
          <w:r>
            <w:fldChar w:fldCharType="begin"/>
          </w:r>
          <w:r>
            <w:instrText xml:space="preserve"> PAGEREF _Toc218184828 \h </w:instrText>
          </w:r>
          <w:r>
            <w:fldChar w:fldCharType="separate"/>
          </w:r>
          <w:r>
            <w:t>22</w:t>
          </w:r>
          <w:r>
            <w:fldChar w:fldCharType="end"/>
          </w:r>
          <w:r>
            <w:fldChar w:fldCharType="end"/>
          </w:r>
        </w:p>
        <w:p w14:paraId="6DC5362F">
          <w:pPr>
            <w:pStyle w:val="13"/>
            <w:tabs>
              <w:tab w:val="right" w:leader="dot" w:pos="8302"/>
            </w:tabs>
            <w:rPr>
              <w:rFonts w:cstheme="minorBidi"/>
              <w:kern w:val="2"/>
              <w:szCs w:val="24"/>
              <w14:ligatures w14:val="standardContextual"/>
            </w:rPr>
          </w:pPr>
          <w:r>
            <w:fldChar w:fldCharType="begin"/>
          </w:r>
          <w:r>
            <w:instrText xml:space="preserve"> HYPERLINK \l "_Toc218184829" </w:instrText>
          </w:r>
          <w:r>
            <w:fldChar w:fldCharType="separate"/>
          </w:r>
          <w:r>
            <w:rPr>
              <w:rStyle w:val="21"/>
              <w:rFonts w:ascii="Times New Roman" w:hAnsi="Times New Roman"/>
              <w:b/>
            </w:rPr>
            <w:t xml:space="preserve">Table S14 </w:t>
          </w:r>
          <w:r>
            <w:rPr>
              <w:rStyle w:val="21"/>
              <w:rFonts w:ascii="Times New Roman" w:hAnsi="Times New Roman"/>
            </w:rPr>
            <w:t>Threshold effect analysis of the TyGFI and CVD mortality</w:t>
          </w:r>
          <w:r>
            <w:tab/>
          </w:r>
          <w:r>
            <w:fldChar w:fldCharType="begin"/>
          </w:r>
          <w:r>
            <w:instrText xml:space="preserve"> PAGEREF _Toc218184829 \h </w:instrText>
          </w:r>
          <w:r>
            <w:fldChar w:fldCharType="separate"/>
          </w:r>
          <w:r>
            <w:t>22</w:t>
          </w:r>
          <w:r>
            <w:fldChar w:fldCharType="end"/>
          </w:r>
          <w:r>
            <w:fldChar w:fldCharType="end"/>
          </w:r>
        </w:p>
        <w:p w14:paraId="41BC9B57">
          <w:pPr>
            <w:pStyle w:val="16"/>
            <w:tabs>
              <w:tab w:val="right" w:leader="dot" w:pos="8302"/>
            </w:tabs>
            <w:rPr>
              <w:rFonts w:cstheme="minorBidi"/>
              <w:kern w:val="2"/>
              <w:szCs w:val="24"/>
              <w14:ligatures w14:val="standardContextual"/>
            </w:rPr>
          </w:pPr>
          <w:r>
            <w:fldChar w:fldCharType="begin"/>
          </w:r>
          <w:r>
            <w:instrText xml:space="preserve"> HYPERLINK \l "_Toc218184830" </w:instrText>
          </w:r>
          <w:r>
            <w:fldChar w:fldCharType="separate"/>
          </w:r>
          <w:r>
            <w:rPr>
              <w:rStyle w:val="21"/>
              <w:rFonts w:ascii="Times New Roman" w:hAnsi="Times New Roman"/>
              <w:b/>
              <w:bCs/>
            </w:rPr>
            <w:t>VIII. Proportional hazards assumption test</w:t>
          </w:r>
          <w:r>
            <w:tab/>
          </w:r>
          <w:r>
            <w:fldChar w:fldCharType="begin"/>
          </w:r>
          <w:r>
            <w:instrText xml:space="preserve"> PAGEREF _Toc218184830 \h </w:instrText>
          </w:r>
          <w:r>
            <w:fldChar w:fldCharType="separate"/>
          </w:r>
          <w:r>
            <w:t>22</w:t>
          </w:r>
          <w:r>
            <w:fldChar w:fldCharType="end"/>
          </w:r>
          <w:r>
            <w:fldChar w:fldCharType="end"/>
          </w:r>
        </w:p>
        <w:p w14:paraId="7BA03297">
          <w:pPr>
            <w:pStyle w:val="13"/>
            <w:tabs>
              <w:tab w:val="right" w:leader="dot" w:pos="8302"/>
            </w:tabs>
            <w:rPr>
              <w:rFonts w:cstheme="minorBidi"/>
              <w:kern w:val="2"/>
              <w:szCs w:val="24"/>
              <w14:ligatures w14:val="standardContextual"/>
            </w:rPr>
          </w:pPr>
          <w:r>
            <w:fldChar w:fldCharType="begin"/>
          </w:r>
          <w:r>
            <w:instrText xml:space="preserve"> HYPERLINK \l "_Toc218184831" </w:instrText>
          </w:r>
          <w:r>
            <w:fldChar w:fldCharType="separate"/>
          </w:r>
          <w:r>
            <w:rPr>
              <w:rStyle w:val="21"/>
              <w:rFonts w:ascii="Times New Roman" w:hAnsi="Times New Roman"/>
              <w:b/>
              <w:bCs/>
            </w:rPr>
            <w:t>Table S15</w:t>
          </w:r>
          <w:r>
            <w:rPr>
              <w:rStyle w:val="21"/>
              <w:rFonts w:ascii="Times New Roman" w:hAnsi="Times New Roman"/>
            </w:rPr>
            <w:t xml:space="preserve"> Schoenfeld residual tests for proportional hazards assumption</w:t>
          </w:r>
          <w:r>
            <w:tab/>
          </w:r>
          <w:r>
            <w:fldChar w:fldCharType="begin"/>
          </w:r>
          <w:r>
            <w:instrText xml:space="preserve"> PAGEREF _Toc218184831 \h </w:instrText>
          </w:r>
          <w:r>
            <w:fldChar w:fldCharType="separate"/>
          </w:r>
          <w:r>
            <w:t>23</w:t>
          </w:r>
          <w:r>
            <w:fldChar w:fldCharType="end"/>
          </w:r>
          <w:r>
            <w:fldChar w:fldCharType="end"/>
          </w:r>
        </w:p>
        <w:p w14:paraId="4BC1D0D4">
          <w:pPr>
            <w:pStyle w:val="16"/>
            <w:tabs>
              <w:tab w:val="right" w:leader="dot" w:pos="8302"/>
            </w:tabs>
            <w:rPr>
              <w:rFonts w:cstheme="minorBidi"/>
              <w:kern w:val="2"/>
              <w:szCs w:val="24"/>
              <w14:ligatures w14:val="standardContextual"/>
            </w:rPr>
          </w:pPr>
          <w:r>
            <w:fldChar w:fldCharType="begin"/>
          </w:r>
          <w:r>
            <w:instrText xml:space="preserve"> HYPERLINK \l "_Toc218184832" </w:instrText>
          </w:r>
          <w:r>
            <w:fldChar w:fldCharType="separate"/>
          </w:r>
          <w:r>
            <w:rPr>
              <w:rStyle w:val="21"/>
              <w:rFonts w:ascii="Times New Roman" w:hAnsi="Times New Roman"/>
              <w:b/>
              <w:bCs/>
            </w:rPr>
            <w:t>IV. Figures for dose-response relationships and Schoenfeld residual diagnostic plots</w:t>
          </w:r>
          <w:r>
            <w:tab/>
          </w:r>
          <w:r>
            <w:fldChar w:fldCharType="begin"/>
          </w:r>
          <w:r>
            <w:instrText xml:space="preserve"> PAGEREF _Toc218184832 \h </w:instrText>
          </w:r>
          <w:r>
            <w:fldChar w:fldCharType="separate"/>
          </w:r>
          <w:r>
            <w:t>24</w:t>
          </w:r>
          <w:r>
            <w:fldChar w:fldCharType="end"/>
          </w:r>
          <w:r>
            <w:fldChar w:fldCharType="end"/>
          </w:r>
        </w:p>
        <w:p w14:paraId="65752629">
          <w:pPr>
            <w:pStyle w:val="13"/>
            <w:tabs>
              <w:tab w:val="right" w:leader="dot" w:pos="8302"/>
            </w:tabs>
            <w:rPr>
              <w:rFonts w:cstheme="minorBidi"/>
              <w:kern w:val="2"/>
              <w:szCs w:val="24"/>
              <w14:ligatures w14:val="standardContextual"/>
            </w:rPr>
          </w:pPr>
          <w:r>
            <w:fldChar w:fldCharType="begin"/>
          </w:r>
          <w:r>
            <w:instrText xml:space="preserve"> HYPERLINK \l "_Toc218184833" </w:instrText>
          </w:r>
          <w:r>
            <w:fldChar w:fldCharType="separate"/>
          </w:r>
          <w:r>
            <w:rPr>
              <w:rStyle w:val="21"/>
              <w:rFonts w:ascii="Times New Roman" w:hAnsi="Times New Roman"/>
              <w:b/>
              <w:bCs/>
            </w:rPr>
            <w:t>Fig. S1</w:t>
          </w:r>
          <w:r>
            <w:rPr>
              <w:rStyle w:val="21"/>
              <w:rFonts w:ascii="Times New Roman" w:hAnsi="Times New Roman"/>
            </w:rPr>
            <w:t xml:space="preserve"> Restricted cubic splines depicting the dose-response relationships between TyG and mortality outcomes.</w:t>
          </w:r>
          <w:r>
            <w:tab/>
          </w:r>
          <w:r>
            <w:fldChar w:fldCharType="begin"/>
          </w:r>
          <w:r>
            <w:instrText xml:space="preserve"> PAGEREF _Toc218184833 \h </w:instrText>
          </w:r>
          <w:r>
            <w:fldChar w:fldCharType="separate"/>
          </w:r>
          <w:r>
            <w:t>24</w:t>
          </w:r>
          <w:r>
            <w:fldChar w:fldCharType="end"/>
          </w:r>
          <w:r>
            <w:fldChar w:fldCharType="end"/>
          </w:r>
        </w:p>
        <w:p w14:paraId="5A45E83B">
          <w:pPr>
            <w:pStyle w:val="13"/>
            <w:tabs>
              <w:tab w:val="right" w:leader="dot" w:pos="8302"/>
            </w:tabs>
            <w:rPr>
              <w:rFonts w:cstheme="minorBidi"/>
              <w:kern w:val="2"/>
              <w:szCs w:val="24"/>
              <w14:ligatures w14:val="standardContextual"/>
            </w:rPr>
          </w:pPr>
          <w:r>
            <w:fldChar w:fldCharType="begin"/>
          </w:r>
          <w:r>
            <w:instrText xml:space="preserve"> HYPERLINK \l "_Toc218184834" </w:instrText>
          </w:r>
          <w:r>
            <w:fldChar w:fldCharType="separate"/>
          </w:r>
          <w:r>
            <w:rPr>
              <w:rStyle w:val="21"/>
              <w:rFonts w:ascii="Times New Roman" w:hAnsi="Times New Roman"/>
              <w:b/>
              <w:bCs/>
            </w:rPr>
            <w:t>Fig. S2</w:t>
          </w:r>
          <w:r>
            <w:rPr>
              <w:rStyle w:val="21"/>
              <w:rFonts w:ascii="Times New Roman" w:hAnsi="Times New Roman"/>
            </w:rPr>
            <w:t xml:space="preserve"> Restricted cubic splines depicting the dose-response relationships between FI and mortality outcomes.</w:t>
          </w:r>
          <w:r>
            <w:tab/>
          </w:r>
          <w:r>
            <w:fldChar w:fldCharType="begin"/>
          </w:r>
          <w:r>
            <w:instrText xml:space="preserve"> PAGEREF _Toc218184834 \h </w:instrText>
          </w:r>
          <w:r>
            <w:fldChar w:fldCharType="separate"/>
          </w:r>
          <w:r>
            <w:t>25</w:t>
          </w:r>
          <w:r>
            <w:fldChar w:fldCharType="end"/>
          </w:r>
          <w:r>
            <w:fldChar w:fldCharType="end"/>
          </w:r>
        </w:p>
        <w:p w14:paraId="46EB0A82">
          <w:pPr>
            <w:pStyle w:val="13"/>
            <w:tabs>
              <w:tab w:val="right" w:leader="dot" w:pos="8302"/>
            </w:tabs>
            <w:rPr>
              <w:rFonts w:cstheme="minorBidi"/>
              <w:kern w:val="2"/>
              <w:szCs w:val="24"/>
              <w14:ligatures w14:val="standardContextual"/>
            </w:rPr>
          </w:pPr>
          <w:r>
            <w:fldChar w:fldCharType="begin"/>
          </w:r>
          <w:r>
            <w:instrText xml:space="preserve"> HYPERLINK \l "_Toc218184835" </w:instrText>
          </w:r>
          <w:r>
            <w:fldChar w:fldCharType="separate"/>
          </w:r>
          <w:r>
            <w:rPr>
              <w:rStyle w:val="21"/>
              <w:rFonts w:ascii="Times New Roman" w:hAnsi="Times New Roman"/>
              <w:b/>
              <w:bCs/>
            </w:rPr>
            <w:t>Fig. S3</w:t>
          </w:r>
          <w:r>
            <w:rPr>
              <w:rStyle w:val="21"/>
              <w:rFonts w:ascii="Times New Roman" w:hAnsi="Times New Roman"/>
            </w:rPr>
            <w:t xml:space="preserve"> Schoenfeld residual diagnostic plots for TYG-FI over follow-up time in Cox proportional hazards models.</w:t>
          </w:r>
          <w:r>
            <w:tab/>
          </w:r>
          <w:r>
            <w:fldChar w:fldCharType="begin"/>
          </w:r>
          <w:r>
            <w:instrText xml:space="preserve"> PAGEREF _Toc218184835 \h </w:instrText>
          </w:r>
          <w:r>
            <w:fldChar w:fldCharType="separate"/>
          </w:r>
          <w:r>
            <w:t>26</w:t>
          </w:r>
          <w:r>
            <w:fldChar w:fldCharType="end"/>
          </w:r>
          <w:r>
            <w:fldChar w:fldCharType="end"/>
          </w:r>
        </w:p>
        <w:p w14:paraId="79FEFE4D">
          <w:pPr>
            <w:rPr>
              <w:rFonts w:cs="Times New Roman"/>
            </w:rPr>
          </w:pPr>
          <w:r>
            <w:rPr>
              <w:rFonts w:cs="Times New Roman"/>
              <w:b/>
              <w:bCs/>
              <w:lang w:val="zh-CN"/>
            </w:rPr>
            <w:fldChar w:fldCharType="end"/>
          </w:r>
        </w:p>
      </w:sdtContent>
    </w:sdt>
    <w:p w14:paraId="466ED38C">
      <w:pPr>
        <w:pStyle w:val="13"/>
        <w:ind w:left="0"/>
        <w:rPr>
          <w:rFonts w:ascii="Times New Roman" w:hAnsi="Times New Roman"/>
        </w:rPr>
      </w:pPr>
    </w:p>
    <w:p w14:paraId="24B67A34">
      <w:pPr>
        <w:pStyle w:val="3"/>
        <w:rPr>
          <w:rFonts w:ascii="Times New Roman" w:hAnsi="Times New Roman" w:cs="Times New Roman"/>
          <w:b/>
          <w:bCs/>
          <w:color w:val="auto"/>
          <w:sz w:val="28"/>
          <w:szCs w:val="28"/>
        </w:rPr>
      </w:pPr>
    </w:p>
    <w:p w14:paraId="077AD64A">
      <w:pPr>
        <w:pStyle w:val="3"/>
        <w:rPr>
          <w:rFonts w:ascii="Times New Roman" w:hAnsi="Times New Roman" w:cs="Times New Roman"/>
          <w:b/>
          <w:bCs/>
          <w:color w:val="auto"/>
          <w:sz w:val="28"/>
          <w:szCs w:val="28"/>
        </w:rPr>
      </w:pPr>
    </w:p>
    <w:p w14:paraId="0E7B8D9B">
      <w:pPr>
        <w:pStyle w:val="3"/>
        <w:rPr>
          <w:rFonts w:ascii="Times New Roman" w:hAnsi="Times New Roman" w:cs="Times New Roman"/>
          <w:b/>
          <w:bCs/>
          <w:color w:val="auto"/>
          <w:sz w:val="28"/>
          <w:szCs w:val="28"/>
        </w:rPr>
      </w:pPr>
    </w:p>
    <w:p w14:paraId="34F43A0B">
      <w:pPr>
        <w:pStyle w:val="3"/>
        <w:rPr>
          <w:rFonts w:ascii="Times New Roman" w:hAnsi="Times New Roman" w:cs="Times New Roman"/>
          <w:b/>
          <w:bCs/>
          <w:color w:val="auto"/>
          <w:sz w:val="28"/>
          <w:szCs w:val="28"/>
        </w:rPr>
      </w:pPr>
    </w:p>
    <w:p w14:paraId="18637D75">
      <w:pPr>
        <w:pStyle w:val="3"/>
        <w:rPr>
          <w:rFonts w:ascii="Times New Roman" w:hAnsi="Times New Roman" w:cs="Times New Roman"/>
          <w:b/>
          <w:bCs/>
          <w:color w:val="auto"/>
          <w:sz w:val="28"/>
          <w:szCs w:val="28"/>
        </w:rPr>
      </w:pPr>
    </w:p>
    <w:p w14:paraId="3BD0B397">
      <w:pPr>
        <w:pStyle w:val="3"/>
        <w:rPr>
          <w:rFonts w:ascii="Times New Roman" w:hAnsi="Times New Roman" w:cs="Times New Roman"/>
          <w:b/>
          <w:bCs/>
          <w:color w:val="auto"/>
          <w:sz w:val="28"/>
          <w:szCs w:val="28"/>
        </w:rPr>
      </w:pPr>
    </w:p>
    <w:p w14:paraId="508689A3">
      <w:pPr>
        <w:pStyle w:val="3"/>
        <w:rPr>
          <w:rFonts w:ascii="Times New Roman" w:hAnsi="Times New Roman" w:cs="Times New Roman"/>
          <w:b/>
          <w:bCs/>
          <w:color w:val="auto"/>
          <w:sz w:val="28"/>
          <w:szCs w:val="28"/>
        </w:rPr>
      </w:pPr>
    </w:p>
    <w:p w14:paraId="545B0DA0">
      <w:pPr>
        <w:pStyle w:val="3"/>
        <w:rPr>
          <w:rFonts w:ascii="Times New Roman" w:hAnsi="Times New Roman" w:cs="Times New Roman"/>
          <w:b/>
          <w:bCs/>
          <w:color w:val="auto"/>
          <w:sz w:val="28"/>
          <w:szCs w:val="28"/>
        </w:rPr>
      </w:pPr>
    </w:p>
    <w:p w14:paraId="4426A40B"/>
    <w:p w14:paraId="19700993"/>
    <w:p w14:paraId="7A2BFC21"/>
    <w:p w14:paraId="047472E1"/>
    <w:p w14:paraId="0267E301"/>
    <w:p w14:paraId="667C58DB"/>
    <w:p w14:paraId="4B69ABF1"/>
    <w:p w14:paraId="2FF619FD"/>
    <w:p w14:paraId="0F4FC5CC"/>
    <w:p w14:paraId="0263D025"/>
    <w:p w14:paraId="4A34D549"/>
    <w:p w14:paraId="67E7340D"/>
    <w:p w14:paraId="2BC4C219"/>
    <w:p w14:paraId="3656F7B9"/>
    <w:p w14:paraId="416A485A"/>
    <w:p w14:paraId="25667DDD"/>
    <w:p w14:paraId="67F7409A"/>
    <w:p w14:paraId="1376526D"/>
    <w:p w14:paraId="3D44EA74">
      <w:pPr>
        <w:pStyle w:val="3"/>
        <w:rPr>
          <w:rFonts w:ascii="Times New Roman" w:hAnsi="Times New Roman" w:cs="Times New Roman" w:eastAsiaTheme="minorEastAsia"/>
          <w:b/>
          <w:bCs/>
          <w:color w:val="auto"/>
          <w:sz w:val="28"/>
          <w:szCs w:val="28"/>
        </w:rPr>
      </w:pPr>
      <w:bookmarkStart w:id="8" w:name="_Toc218184809"/>
      <w:r>
        <w:rPr>
          <w:rFonts w:ascii="Times New Roman" w:hAnsi="Times New Roman" w:cs="Times New Roman"/>
          <w:b/>
          <w:bCs/>
          <w:color w:val="auto"/>
          <w:sz w:val="28"/>
          <w:szCs w:val="28"/>
        </w:rPr>
        <w:t xml:space="preserve">I. </w:t>
      </w:r>
      <w:r>
        <w:fldChar w:fldCharType="begin"/>
      </w:r>
      <w:r>
        <w:instrText xml:space="preserve"> HYPERLINK \l "bookmark53" </w:instrText>
      </w:r>
      <w:r>
        <w:fldChar w:fldCharType="separate"/>
      </w:r>
      <w:r>
        <w:rPr>
          <w:rFonts w:ascii="Times New Roman" w:hAnsi="Times New Roman" w:cs="Times New Roman"/>
          <w:b/>
          <w:bCs/>
          <w:color w:val="auto"/>
          <w:sz w:val="28"/>
          <w:szCs w:val="28"/>
        </w:rPr>
        <w:t>Frailty index calculation and missing data of study variables</w:t>
      </w:r>
      <w:bookmarkEnd w:id="8"/>
      <w:r>
        <w:rPr>
          <w:rFonts w:ascii="Times New Roman" w:hAnsi="Times New Roman" w:cs="Times New Roman"/>
          <w:b/>
          <w:bCs/>
          <w:color w:val="auto"/>
          <w:sz w:val="28"/>
          <w:szCs w:val="28"/>
        </w:rPr>
        <w:fldChar w:fldCharType="end"/>
      </w:r>
    </w:p>
    <w:p w14:paraId="17E3293A">
      <w:pPr>
        <w:rPr>
          <w:b/>
          <w:bCs/>
        </w:rPr>
      </w:pPr>
    </w:p>
    <w:p w14:paraId="00B15BAF">
      <w:pPr>
        <w:pStyle w:val="4"/>
        <w:rPr>
          <w:rFonts w:ascii="Times New Roman" w:hAnsi="Times New Roman" w:cs="Times New Roman"/>
          <w:color w:val="auto"/>
          <w:sz w:val="24"/>
          <w:szCs w:val="24"/>
        </w:rPr>
      </w:pPr>
      <w:bookmarkStart w:id="9" w:name="_Toc218184810"/>
      <w:r>
        <w:rPr>
          <w:rFonts w:ascii="Times New Roman" w:hAnsi="Times New Roman" w:cs="Times New Roman"/>
          <w:b/>
          <w:bCs/>
          <w:color w:val="auto"/>
          <w:sz w:val="24"/>
          <w:szCs w:val="24"/>
        </w:rPr>
        <w:t xml:space="preserve">Table S1 </w:t>
      </w:r>
      <w:r>
        <w:rPr>
          <w:rFonts w:ascii="Times New Roman" w:hAnsi="Times New Roman" w:cs="Times New Roman"/>
          <w:color w:val="auto"/>
          <w:sz w:val="24"/>
          <w:szCs w:val="24"/>
        </w:rPr>
        <w:t>Composition and scoring criteria of the 49-item frailty index</w:t>
      </w:r>
      <w:bookmarkEnd w:id="9"/>
      <w:r>
        <w:rPr>
          <w:rFonts w:ascii="Times New Roman" w:hAnsi="Times New Roman" w:cs="Times New Roman"/>
          <w:color w:val="auto"/>
          <w:sz w:val="24"/>
          <w:szCs w:val="24"/>
        </w:rPr>
        <w:t xml:space="preserve"> </w:t>
      </w:r>
    </w:p>
    <w:tbl>
      <w:tblPr>
        <w:tblStyle w:val="2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6"/>
        <w:gridCol w:w="452"/>
        <w:gridCol w:w="1618"/>
        <w:gridCol w:w="2326"/>
        <w:gridCol w:w="2296"/>
      </w:tblGrid>
      <w:tr w14:paraId="2280B3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12" w:space="0"/>
              <w:bottom w:val="single" w:color="auto" w:sz="6" w:space="0"/>
            </w:tcBorders>
          </w:tcPr>
          <w:p w14:paraId="2F16F23C">
            <w:pPr>
              <w:rPr>
                <w:b/>
                <w:bCs/>
                <w:sz w:val="16"/>
                <w:szCs w:val="16"/>
              </w:rPr>
            </w:pPr>
            <w:r>
              <w:rPr>
                <w:b/>
                <w:bCs/>
                <w:sz w:val="16"/>
                <w:szCs w:val="16"/>
              </w:rPr>
              <w:t>Domain</w:t>
            </w:r>
          </w:p>
        </w:tc>
        <w:tc>
          <w:tcPr>
            <w:tcW w:w="0" w:type="auto"/>
            <w:tcBorders>
              <w:top w:val="single" w:color="auto" w:sz="12" w:space="0"/>
              <w:bottom w:val="single" w:color="auto" w:sz="6" w:space="0"/>
            </w:tcBorders>
          </w:tcPr>
          <w:p w14:paraId="1E57C157">
            <w:pPr>
              <w:rPr>
                <w:b/>
                <w:bCs/>
                <w:sz w:val="16"/>
                <w:szCs w:val="16"/>
              </w:rPr>
            </w:pPr>
            <w:r>
              <w:rPr>
                <w:b/>
                <w:bCs/>
                <w:sz w:val="16"/>
                <w:szCs w:val="16"/>
              </w:rPr>
              <w:t>No.</w:t>
            </w:r>
          </w:p>
        </w:tc>
        <w:tc>
          <w:tcPr>
            <w:tcW w:w="0" w:type="auto"/>
            <w:tcBorders>
              <w:top w:val="single" w:color="auto" w:sz="12" w:space="0"/>
              <w:bottom w:val="single" w:color="auto" w:sz="6" w:space="0"/>
            </w:tcBorders>
          </w:tcPr>
          <w:p w14:paraId="27A0E7E8">
            <w:pPr>
              <w:rPr>
                <w:b/>
                <w:bCs/>
                <w:sz w:val="16"/>
                <w:szCs w:val="16"/>
              </w:rPr>
            </w:pPr>
            <w:r>
              <w:rPr>
                <w:b/>
                <w:bCs/>
                <w:sz w:val="16"/>
                <w:szCs w:val="16"/>
              </w:rPr>
              <w:t>Variable Description</w:t>
            </w:r>
          </w:p>
        </w:tc>
        <w:tc>
          <w:tcPr>
            <w:tcW w:w="0" w:type="auto"/>
            <w:tcBorders>
              <w:top w:val="single" w:color="auto" w:sz="12" w:space="0"/>
              <w:bottom w:val="single" w:color="auto" w:sz="6" w:space="0"/>
            </w:tcBorders>
          </w:tcPr>
          <w:p w14:paraId="62ED8170">
            <w:pPr>
              <w:rPr>
                <w:b/>
                <w:bCs/>
                <w:sz w:val="16"/>
                <w:szCs w:val="16"/>
              </w:rPr>
            </w:pPr>
            <w:r>
              <w:rPr>
                <w:b/>
                <w:bCs/>
                <w:sz w:val="16"/>
                <w:szCs w:val="16"/>
              </w:rPr>
              <w:t>Scoring Criteria</w:t>
            </w:r>
          </w:p>
        </w:tc>
        <w:tc>
          <w:tcPr>
            <w:tcW w:w="0" w:type="auto"/>
            <w:tcBorders>
              <w:top w:val="single" w:color="auto" w:sz="12" w:space="0"/>
              <w:bottom w:val="single" w:color="auto" w:sz="6" w:space="0"/>
            </w:tcBorders>
          </w:tcPr>
          <w:p w14:paraId="4C8B9930">
            <w:pPr>
              <w:rPr>
                <w:b/>
                <w:bCs/>
                <w:sz w:val="16"/>
                <w:szCs w:val="16"/>
              </w:rPr>
            </w:pPr>
            <w:r>
              <w:rPr>
                <w:b/>
                <w:bCs/>
                <w:sz w:val="16"/>
                <w:szCs w:val="16"/>
              </w:rPr>
              <w:t>Rationale for Inclusion</w:t>
            </w:r>
          </w:p>
        </w:tc>
      </w:tr>
      <w:tr w14:paraId="7F2AC6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6" w:space="0"/>
              <w:bottom w:val="nil"/>
            </w:tcBorders>
          </w:tcPr>
          <w:p w14:paraId="3E6E947D">
            <w:pPr>
              <w:rPr>
                <w:sz w:val="16"/>
                <w:szCs w:val="16"/>
              </w:rPr>
            </w:pPr>
            <w:r>
              <w:rPr>
                <w:b/>
                <w:bCs/>
                <w:sz w:val="16"/>
                <w:szCs w:val="16"/>
              </w:rPr>
              <w:t>Cognitive Function</w:t>
            </w:r>
          </w:p>
        </w:tc>
        <w:tc>
          <w:tcPr>
            <w:tcW w:w="0" w:type="auto"/>
            <w:tcBorders>
              <w:top w:val="single" w:color="auto" w:sz="6" w:space="0"/>
              <w:bottom w:val="nil"/>
            </w:tcBorders>
          </w:tcPr>
          <w:p w14:paraId="334349BD">
            <w:pPr>
              <w:rPr>
                <w:sz w:val="16"/>
                <w:szCs w:val="16"/>
              </w:rPr>
            </w:pPr>
          </w:p>
        </w:tc>
        <w:tc>
          <w:tcPr>
            <w:tcW w:w="0" w:type="auto"/>
            <w:tcBorders>
              <w:top w:val="single" w:color="auto" w:sz="6" w:space="0"/>
              <w:bottom w:val="nil"/>
            </w:tcBorders>
          </w:tcPr>
          <w:p w14:paraId="3770B8B1">
            <w:pPr>
              <w:rPr>
                <w:sz w:val="16"/>
                <w:szCs w:val="16"/>
              </w:rPr>
            </w:pPr>
          </w:p>
        </w:tc>
        <w:tc>
          <w:tcPr>
            <w:tcW w:w="0" w:type="auto"/>
            <w:tcBorders>
              <w:top w:val="single" w:color="auto" w:sz="6" w:space="0"/>
              <w:bottom w:val="nil"/>
            </w:tcBorders>
          </w:tcPr>
          <w:p w14:paraId="7A6A40C1">
            <w:pPr>
              <w:rPr>
                <w:sz w:val="16"/>
                <w:szCs w:val="16"/>
              </w:rPr>
            </w:pPr>
          </w:p>
        </w:tc>
        <w:tc>
          <w:tcPr>
            <w:tcW w:w="0" w:type="auto"/>
            <w:tcBorders>
              <w:top w:val="single" w:color="auto" w:sz="6" w:space="0"/>
              <w:bottom w:val="nil"/>
            </w:tcBorders>
          </w:tcPr>
          <w:p w14:paraId="59431FE0">
            <w:pPr>
              <w:rPr>
                <w:sz w:val="16"/>
                <w:szCs w:val="16"/>
              </w:rPr>
            </w:pPr>
          </w:p>
        </w:tc>
      </w:tr>
      <w:tr w14:paraId="578A6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nil"/>
            </w:tcBorders>
          </w:tcPr>
          <w:p w14:paraId="27135B7E">
            <w:pPr>
              <w:rPr>
                <w:sz w:val="16"/>
                <w:szCs w:val="16"/>
              </w:rPr>
            </w:pPr>
          </w:p>
        </w:tc>
        <w:tc>
          <w:tcPr>
            <w:tcW w:w="0" w:type="auto"/>
            <w:tcBorders>
              <w:top w:val="nil"/>
            </w:tcBorders>
          </w:tcPr>
          <w:p w14:paraId="2CA9C96A">
            <w:pPr>
              <w:rPr>
                <w:sz w:val="16"/>
                <w:szCs w:val="16"/>
              </w:rPr>
            </w:pPr>
            <w:r>
              <w:rPr>
                <w:sz w:val="16"/>
                <w:szCs w:val="16"/>
              </w:rPr>
              <w:t>1</w:t>
            </w:r>
          </w:p>
        </w:tc>
        <w:tc>
          <w:tcPr>
            <w:tcW w:w="0" w:type="auto"/>
            <w:tcBorders>
              <w:top w:val="nil"/>
            </w:tcBorders>
          </w:tcPr>
          <w:p w14:paraId="08A0BCC8">
            <w:pPr>
              <w:rPr>
                <w:sz w:val="16"/>
                <w:szCs w:val="16"/>
              </w:rPr>
            </w:pPr>
            <w:r>
              <w:rPr>
                <w:sz w:val="16"/>
                <w:szCs w:val="16"/>
              </w:rPr>
              <w:t>Self-reported confusion or memory problems</w:t>
            </w:r>
          </w:p>
        </w:tc>
        <w:tc>
          <w:tcPr>
            <w:tcW w:w="0" w:type="auto"/>
            <w:tcBorders>
              <w:top w:val="nil"/>
            </w:tcBorders>
          </w:tcPr>
          <w:p w14:paraId="1976ECE5">
            <w:pPr>
              <w:rPr>
                <w:sz w:val="16"/>
                <w:szCs w:val="16"/>
              </w:rPr>
            </w:pPr>
            <w:r>
              <w:rPr>
                <w:sz w:val="16"/>
                <w:szCs w:val="16"/>
              </w:rPr>
              <w:t>Present = 1; Absent = 0</w:t>
            </w:r>
          </w:p>
        </w:tc>
        <w:tc>
          <w:tcPr>
            <w:tcW w:w="0" w:type="auto"/>
            <w:tcBorders>
              <w:top w:val="nil"/>
            </w:tcBorders>
          </w:tcPr>
          <w:p w14:paraId="026AD56D">
            <w:pPr>
              <w:rPr>
                <w:sz w:val="16"/>
                <w:szCs w:val="16"/>
              </w:rPr>
            </w:pPr>
            <w:r>
              <w:rPr>
                <w:sz w:val="16"/>
                <w:szCs w:val="16"/>
              </w:rPr>
              <w:t>Cognitive impairment is a key marker of age-related decline and frailty</w:t>
            </w:r>
          </w:p>
        </w:tc>
      </w:tr>
      <w:tr w14:paraId="617F22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4A9A5D9">
            <w:pPr>
              <w:rPr>
                <w:sz w:val="16"/>
                <w:szCs w:val="16"/>
              </w:rPr>
            </w:pPr>
            <w:r>
              <w:rPr>
                <w:b/>
                <w:bCs/>
                <w:sz w:val="16"/>
                <w:szCs w:val="16"/>
              </w:rPr>
              <w:t>Functional Limitations and Dependence</w:t>
            </w:r>
          </w:p>
        </w:tc>
        <w:tc>
          <w:tcPr>
            <w:tcW w:w="0" w:type="auto"/>
          </w:tcPr>
          <w:p w14:paraId="2B4C761C">
            <w:pPr>
              <w:rPr>
                <w:sz w:val="16"/>
                <w:szCs w:val="16"/>
              </w:rPr>
            </w:pPr>
          </w:p>
        </w:tc>
        <w:tc>
          <w:tcPr>
            <w:tcW w:w="0" w:type="auto"/>
          </w:tcPr>
          <w:p w14:paraId="2F5BE8D0">
            <w:pPr>
              <w:rPr>
                <w:sz w:val="16"/>
                <w:szCs w:val="16"/>
              </w:rPr>
            </w:pPr>
          </w:p>
        </w:tc>
        <w:tc>
          <w:tcPr>
            <w:tcW w:w="0" w:type="auto"/>
          </w:tcPr>
          <w:p w14:paraId="73FF48D4">
            <w:pPr>
              <w:rPr>
                <w:sz w:val="16"/>
                <w:szCs w:val="16"/>
              </w:rPr>
            </w:pPr>
          </w:p>
        </w:tc>
        <w:tc>
          <w:tcPr>
            <w:tcW w:w="0" w:type="auto"/>
          </w:tcPr>
          <w:p w14:paraId="2399E1FB">
            <w:pPr>
              <w:rPr>
                <w:sz w:val="16"/>
                <w:szCs w:val="16"/>
              </w:rPr>
            </w:pPr>
          </w:p>
        </w:tc>
      </w:tr>
      <w:tr w14:paraId="36372C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55AFA1D">
            <w:pPr>
              <w:rPr>
                <w:sz w:val="16"/>
                <w:szCs w:val="16"/>
              </w:rPr>
            </w:pPr>
          </w:p>
        </w:tc>
        <w:tc>
          <w:tcPr>
            <w:tcW w:w="0" w:type="auto"/>
          </w:tcPr>
          <w:p w14:paraId="6E3A092B">
            <w:pPr>
              <w:rPr>
                <w:sz w:val="16"/>
                <w:szCs w:val="16"/>
              </w:rPr>
            </w:pPr>
            <w:r>
              <w:rPr>
                <w:sz w:val="16"/>
                <w:szCs w:val="16"/>
              </w:rPr>
              <w:t>2</w:t>
            </w:r>
          </w:p>
        </w:tc>
        <w:tc>
          <w:tcPr>
            <w:tcW w:w="0" w:type="auto"/>
          </w:tcPr>
          <w:p w14:paraId="437EA045">
            <w:pPr>
              <w:rPr>
                <w:sz w:val="16"/>
                <w:szCs w:val="16"/>
              </w:rPr>
            </w:pPr>
            <w:r>
              <w:rPr>
                <w:sz w:val="16"/>
                <w:szCs w:val="16"/>
              </w:rPr>
              <w:t>Difficulty managing finances</w:t>
            </w:r>
          </w:p>
        </w:tc>
        <w:tc>
          <w:tcPr>
            <w:tcW w:w="0" w:type="auto"/>
          </w:tcPr>
          <w:p w14:paraId="6BD75566">
            <w:pPr>
              <w:rPr>
                <w:sz w:val="16"/>
                <w:szCs w:val="16"/>
              </w:rPr>
            </w:pPr>
            <w:r>
              <w:rPr>
                <w:sz w:val="16"/>
                <w:szCs w:val="16"/>
              </w:rPr>
              <w:t>Any difficulty = 1; No difficulty = 0</w:t>
            </w:r>
          </w:p>
        </w:tc>
        <w:tc>
          <w:tcPr>
            <w:tcW w:w="0" w:type="auto"/>
          </w:tcPr>
          <w:p w14:paraId="3EF41E32">
            <w:pPr>
              <w:rPr>
                <w:sz w:val="16"/>
                <w:szCs w:val="16"/>
              </w:rPr>
            </w:pPr>
            <w:r>
              <w:rPr>
                <w:sz w:val="16"/>
                <w:szCs w:val="16"/>
              </w:rPr>
              <w:t>Instrumental ADL reflecting cognitive-executive function</w:t>
            </w:r>
          </w:p>
        </w:tc>
      </w:tr>
      <w:tr w14:paraId="549C12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DB79C09">
            <w:pPr>
              <w:rPr>
                <w:sz w:val="16"/>
                <w:szCs w:val="16"/>
              </w:rPr>
            </w:pPr>
          </w:p>
        </w:tc>
        <w:tc>
          <w:tcPr>
            <w:tcW w:w="0" w:type="auto"/>
          </w:tcPr>
          <w:p w14:paraId="07EA0207">
            <w:pPr>
              <w:rPr>
                <w:sz w:val="16"/>
                <w:szCs w:val="16"/>
              </w:rPr>
            </w:pPr>
            <w:r>
              <w:rPr>
                <w:sz w:val="16"/>
                <w:szCs w:val="16"/>
              </w:rPr>
              <w:t>3</w:t>
            </w:r>
          </w:p>
        </w:tc>
        <w:tc>
          <w:tcPr>
            <w:tcW w:w="0" w:type="auto"/>
          </w:tcPr>
          <w:p w14:paraId="375C8AA7">
            <w:pPr>
              <w:rPr>
                <w:sz w:val="16"/>
                <w:szCs w:val="16"/>
              </w:rPr>
            </w:pPr>
            <w:r>
              <w:rPr>
                <w:sz w:val="16"/>
                <w:szCs w:val="16"/>
              </w:rPr>
              <w:t>Difficulty with stooping, crouching, or kneeling</w:t>
            </w:r>
          </w:p>
        </w:tc>
        <w:tc>
          <w:tcPr>
            <w:tcW w:w="0" w:type="auto"/>
          </w:tcPr>
          <w:p w14:paraId="744006C6">
            <w:pPr>
              <w:rPr>
                <w:sz w:val="16"/>
                <w:szCs w:val="16"/>
              </w:rPr>
            </w:pPr>
            <w:r>
              <w:rPr>
                <w:sz w:val="16"/>
                <w:szCs w:val="16"/>
              </w:rPr>
              <w:t>Any difficulty = 1; No difficulty = 0</w:t>
            </w:r>
          </w:p>
        </w:tc>
        <w:tc>
          <w:tcPr>
            <w:tcW w:w="0" w:type="auto"/>
          </w:tcPr>
          <w:p w14:paraId="5750DF87">
            <w:pPr>
              <w:rPr>
                <w:sz w:val="16"/>
                <w:szCs w:val="16"/>
              </w:rPr>
            </w:pPr>
            <w:r>
              <w:rPr>
                <w:sz w:val="16"/>
                <w:szCs w:val="16"/>
              </w:rPr>
              <w:t>Mobility limitation indicating physical frailty</w:t>
            </w:r>
          </w:p>
        </w:tc>
      </w:tr>
      <w:tr w14:paraId="3E1759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2899392">
            <w:pPr>
              <w:rPr>
                <w:sz w:val="16"/>
                <w:szCs w:val="16"/>
              </w:rPr>
            </w:pPr>
          </w:p>
        </w:tc>
        <w:tc>
          <w:tcPr>
            <w:tcW w:w="0" w:type="auto"/>
          </w:tcPr>
          <w:p w14:paraId="72EF06C0">
            <w:pPr>
              <w:rPr>
                <w:sz w:val="16"/>
                <w:szCs w:val="16"/>
              </w:rPr>
            </w:pPr>
            <w:r>
              <w:rPr>
                <w:sz w:val="16"/>
                <w:szCs w:val="16"/>
              </w:rPr>
              <w:t>4</w:t>
            </w:r>
          </w:p>
        </w:tc>
        <w:tc>
          <w:tcPr>
            <w:tcW w:w="0" w:type="auto"/>
          </w:tcPr>
          <w:p w14:paraId="56E2F53A">
            <w:pPr>
              <w:rPr>
                <w:sz w:val="16"/>
                <w:szCs w:val="16"/>
              </w:rPr>
            </w:pPr>
            <w:r>
              <w:rPr>
                <w:sz w:val="16"/>
                <w:szCs w:val="16"/>
              </w:rPr>
              <w:t>Difficulty lifting or carrying groceries</w:t>
            </w:r>
          </w:p>
        </w:tc>
        <w:tc>
          <w:tcPr>
            <w:tcW w:w="0" w:type="auto"/>
          </w:tcPr>
          <w:p w14:paraId="5BE69E31">
            <w:pPr>
              <w:rPr>
                <w:sz w:val="16"/>
                <w:szCs w:val="16"/>
              </w:rPr>
            </w:pPr>
            <w:r>
              <w:rPr>
                <w:sz w:val="16"/>
                <w:szCs w:val="16"/>
              </w:rPr>
              <w:t>Any difficulty = 1; No difficulty = 0</w:t>
            </w:r>
          </w:p>
        </w:tc>
        <w:tc>
          <w:tcPr>
            <w:tcW w:w="0" w:type="auto"/>
          </w:tcPr>
          <w:p w14:paraId="394F9BC3">
            <w:pPr>
              <w:rPr>
                <w:sz w:val="16"/>
                <w:szCs w:val="16"/>
              </w:rPr>
            </w:pPr>
            <w:r>
              <w:rPr>
                <w:sz w:val="16"/>
                <w:szCs w:val="16"/>
              </w:rPr>
              <w:t>Upper body strength limitation</w:t>
            </w:r>
          </w:p>
        </w:tc>
      </w:tr>
      <w:tr w14:paraId="53A160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0C370A1">
            <w:pPr>
              <w:rPr>
                <w:sz w:val="16"/>
                <w:szCs w:val="16"/>
              </w:rPr>
            </w:pPr>
          </w:p>
        </w:tc>
        <w:tc>
          <w:tcPr>
            <w:tcW w:w="0" w:type="auto"/>
          </w:tcPr>
          <w:p w14:paraId="04C48CF6">
            <w:pPr>
              <w:rPr>
                <w:sz w:val="16"/>
                <w:szCs w:val="16"/>
              </w:rPr>
            </w:pPr>
            <w:r>
              <w:rPr>
                <w:sz w:val="16"/>
                <w:szCs w:val="16"/>
              </w:rPr>
              <w:t>5</w:t>
            </w:r>
          </w:p>
        </w:tc>
        <w:tc>
          <w:tcPr>
            <w:tcW w:w="0" w:type="auto"/>
          </w:tcPr>
          <w:p w14:paraId="03605CE3">
            <w:pPr>
              <w:rPr>
                <w:sz w:val="16"/>
                <w:szCs w:val="16"/>
              </w:rPr>
            </w:pPr>
            <w:r>
              <w:rPr>
                <w:sz w:val="16"/>
                <w:szCs w:val="16"/>
              </w:rPr>
              <w:t>Difficulty performing household chores</w:t>
            </w:r>
          </w:p>
        </w:tc>
        <w:tc>
          <w:tcPr>
            <w:tcW w:w="0" w:type="auto"/>
          </w:tcPr>
          <w:p w14:paraId="22D827B0">
            <w:pPr>
              <w:rPr>
                <w:sz w:val="16"/>
                <w:szCs w:val="16"/>
              </w:rPr>
            </w:pPr>
            <w:r>
              <w:rPr>
                <w:sz w:val="16"/>
                <w:szCs w:val="16"/>
              </w:rPr>
              <w:t>Any difficulty = 1; No difficulty = 0</w:t>
            </w:r>
          </w:p>
        </w:tc>
        <w:tc>
          <w:tcPr>
            <w:tcW w:w="0" w:type="auto"/>
          </w:tcPr>
          <w:p w14:paraId="59775FC1">
            <w:pPr>
              <w:rPr>
                <w:sz w:val="16"/>
                <w:szCs w:val="16"/>
              </w:rPr>
            </w:pPr>
            <w:r>
              <w:rPr>
                <w:sz w:val="16"/>
                <w:szCs w:val="16"/>
              </w:rPr>
              <w:t>Instrumental ADL reflecting physical capacity</w:t>
            </w:r>
          </w:p>
        </w:tc>
      </w:tr>
      <w:tr w14:paraId="2986E9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104E171">
            <w:pPr>
              <w:rPr>
                <w:sz w:val="16"/>
                <w:szCs w:val="16"/>
              </w:rPr>
            </w:pPr>
          </w:p>
        </w:tc>
        <w:tc>
          <w:tcPr>
            <w:tcW w:w="0" w:type="auto"/>
          </w:tcPr>
          <w:p w14:paraId="6349ADE6">
            <w:pPr>
              <w:rPr>
                <w:sz w:val="16"/>
                <w:szCs w:val="16"/>
              </w:rPr>
            </w:pPr>
            <w:r>
              <w:rPr>
                <w:sz w:val="16"/>
                <w:szCs w:val="16"/>
              </w:rPr>
              <w:t>6</w:t>
            </w:r>
          </w:p>
        </w:tc>
        <w:tc>
          <w:tcPr>
            <w:tcW w:w="0" w:type="auto"/>
          </w:tcPr>
          <w:p w14:paraId="1CA14884">
            <w:pPr>
              <w:rPr>
                <w:sz w:val="16"/>
                <w:szCs w:val="16"/>
              </w:rPr>
            </w:pPr>
            <w:r>
              <w:rPr>
                <w:sz w:val="16"/>
                <w:szCs w:val="16"/>
              </w:rPr>
              <w:t>Difficulty preparing meals</w:t>
            </w:r>
          </w:p>
        </w:tc>
        <w:tc>
          <w:tcPr>
            <w:tcW w:w="0" w:type="auto"/>
          </w:tcPr>
          <w:p w14:paraId="7267C25F">
            <w:pPr>
              <w:rPr>
                <w:sz w:val="16"/>
                <w:szCs w:val="16"/>
              </w:rPr>
            </w:pPr>
            <w:r>
              <w:rPr>
                <w:sz w:val="16"/>
                <w:szCs w:val="16"/>
              </w:rPr>
              <w:t>Any difficulty = 1; No difficulty = 0</w:t>
            </w:r>
          </w:p>
        </w:tc>
        <w:tc>
          <w:tcPr>
            <w:tcW w:w="0" w:type="auto"/>
          </w:tcPr>
          <w:p w14:paraId="1198AF39">
            <w:pPr>
              <w:rPr>
                <w:sz w:val="16"/>
                <w:szCs w:val="16"/>
              </w:rPr>
            </w:pPr>
            <w:r>
              <w:rPr>
                <w:sz w:val="16"/>
                <w:szCs w:val="16"/>
              </w:rPr>
              <w:t>Instrumental ADL essential for independent living</w:t>
            </w:r>
          </w:p>
        </w:tc>
      </w:tr>
      <w:tr w14:paraId="3F4ED7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7ABA05D">
            <w:pPr>
              <w:rPr>
                <w:sz w:val="16"/>
                <w:szCs w:val="16"/>
              </w:rPr>
            </w:pPr>
          </w:p>
        </w:tc>
        <w:tc>
          <w:tcPr>
            <w:tcW w:w="0" w:type="auto"/>
          </w:tcPr>
          <w:p w14:paraId="4E33DACA">
            <w:pPr>
              <w:rPr>
                <w:sz w:val="16"/>
                <w:szCs w:val="16"/>
              </w:rPr>
            </w:pPr>
            <w:r>
              <w:rPr>
                <w:sz w:val="16"/>
                <w:szCs w:val="16"/>
              </w:rPr>
              <w:t>7</w:t>
            </w:r>
          </w:p>
        </w:tc>
        <w:tc>
          <w:tcPr>
            <w:tcW w:w="0" w:type="auto"/>
          </w:tcPr>
          <w:p w14:paraId="365D4A67">
            <w:pPr>
              <w:rPr>
                <w:sz w:val="16"/>
                <w:szCs w:val="16"/>
              </w:rPr>
            </w:pPr>
            <w:r>
              <w:rPr>
                <w:sz w:val="16"/>
                <w:szCs w:val="16"/>
              </w:rPr>
              <w:t>Difficulty standing up from armless chair</w:t>
            </w:r>
          </w:p>
        </w:tc>
        <w:tc>
          <w:tcPr>
            <w:tcW w:w="0" w:type="auto"/>
          </w:tcPr>
          <w:p w14:paraId="33FC3526">
            <w:pPr>
              <w:rPr>
                <w:sz w:val="16"/>
                <w:szCs w:val="16"/>
              </w:rPr>
            </w:pPr>
            <w:r>
              <w:rPr>
                <w:sz w:val="16"/>
                <w:szCs w:val="16"/>
              </w:rPr>
              <w:t>Any difficulty = 1; No difficulty = 0</w:t>
            </w:r>
          </w:p>
        </w:tc>
        <w:tc>
          <w:tcPr>
            <w:tcW w:w="0" w:type="auto"/>
          </w:tcPr>
          <w:p w14:paraId="6D8FC393">
            <w:pPr>
              <w:rPr>
                <w:sz w:val="16"/>
                <w:szCs w:val="16"/>
              </w:rPr>
            </w:pPr>
            <w:r>
              <w:rPr>
                <w:sz w:val="16"/>
                <w:szCs w:val="16"/>
              </w:rPr>
              <w:t>Lower body strength and balance indicator</w:t>
            </w:r>
          </w:p>
        </w:tc>
      </w:tr>
      <w:tr w14:paraId="446069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EA4FEBB">
            <w:pPr>
              <w:rPr>
                <w:sz w:val="16"/>
                <w:szCs w:val="16"/>
              </w:rPr>
            </w:pPr>
          </w:p>
        </w:tc>
        <w:tc>
          <w:tcPr>
            <w:tcW w:w="0" w:type="auto"/>
          </w:tcPr>
          <w:p w14:paraId="2ACD1A29">
            <w:pPr>
              <w:rPr>
                <w:sz w:val="16"/>
                <w:szCs w:val="16"/>
              </w:rPr>
            </w:pPr>
            <w:r>
              <w:rPr>
                <w:sz w:val="16"/>
                <w:szCs w:val="16"/>
              </w:rPr>
              <w:t>8</w:t>
            </w:r>
          </w:p>
        </w:tc>
        <w:tc>
          <w:tcPr>
            <w:tcW w:w="0" w:type="auto"/>
          </w:tcPr>
          <w:p w14:paraId="197162A6">
            <w:pPr>
              <w:rPr>
                <w:sz w:val="16"/>
                <w:szCs w:val="16"/>
              </w:rPr>
            </w:pPr>
            <w:r>
              <w:rPr>
                <w:sz w:val="16"/>
                <w:szCs w:val="16"/>
              </w:rPr>
              <w:t>Difficulty getting in/out of bed</w:t>
            </w:r>
          </w:p>
        </w:tc>
        <w:tc>
          <w:tcPr>
            <w:tcW w:w="0" w:type="auto"/>
          </w:tcPr>
          <w:p w14:paraId="2DE24649">
            <w:pPr>
              <w:rPr>
                <w:sz w:val="16"/>
                <w:szCs w:val="16"/>
              </w:rPr>
            </w:pPr>
            <w:r>
              <w:rPr>
                <w:sz w:val="16"/>
                <w:szCs w:val="16"/>
              </w:rPr>
              <w:t>Any difficulty = 1; No difficulty = 0</w:t>
            </w:r>
          </w:p>
        </w:tc>
        <w:tc>
          <w:tcPr>
            <w:tcW w:w="0" w:type="auto"/>
          </w:tcPr>
          <w:p w14:paraId="5CAF1909">
            <w:pPr>
              <w:rPr>
                <w:sz w:val="16"/>
                <w:szCs w:val="16"/>
              </w:rPr>
            </w:pPr>
            <w:r>
              <w:rPr>
                <w:sz w:val="16"/>
                <w:szCs w:val="16"/>
              </w:rPr>
              <w:t>Basic mobility function</w:t>
            </w:r>
          </w:p>
        </w:tc>
      </w:tr>
      <w:tr w14:paraId="4F6240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1AED2D0">
            <w:pPr>
              <w:rPr>
                <w:sz w:val="16"/>
                <w:szCs w:val="16"/>
              </w:rPr>
            </w:pPr>
          </w:p>
        </w:tc>
        <w:tc>
          <w:tcPr>
            <w:tcW w:w="0" w:type="auto"/>
          </w:tcPr>
          <w:p w14:paraId="6ADA40A3">
            <w:pPr>
              <w:rPr>
                <w:sz w:val="16"/>
                <w:szCs w:val="16"/>
              </w:rPr>
            </w:pPr>
            <w:r>
              <w:rPr>
                <w:sz w:val="16"/>
                <w:szCs w:val="16"/>
              </w:rPr>
              <w:t>9</w:t>
            </w:r>
          </w:p>
        </w:tc>
        <w:tc>
          <w:tcPr>
            <w:tcW w:w="0" w:type="auto"/>
          </w:tcPr>
          <w:p w14:paraId="51EEAD91">
            <w:pPr>
              <w:rPr>
                <w:sz w:val="16"/>
                <w:szCs w:val="16"/>
              </w:rPr>
            </w:pPr>
            <w:r>
              <w:rPr>
                <w:sz w:val="16"/>
                <w:szCs w:val="16"/>
              </w:rPr>
              <w:t>Difficulty using fork, knife, or cup</w:t>
            </w:r>
          </w:p>
        </w:tc>
        <w:tc>
          <w:tcPr>
            <w:tcW w:w="0" w:type="auto"/>
          </w:tcPr>
          <w:p w14:paraId="4C85735C">
            <w:pPr>
              <w:rPr>
                <w:sz w:val="16"/>
                <w:szCs w:val="16"/>
              </w:rPr>
            </w:pPr>
            <w:r>
              <w:rPr>
                <w:sz w:val="16"/>
                <w:szCs w:val="16"/>
              </w:rPr>
              <w:t>Any difficulty = 1; No difficulty = 0</w:t>
            </w:r>
          </w:p>
        </w:tc>
        <w:tc>
          <w:tcPr>
            <w:tcW w:w="0" w:type="auto"/>
          </w:tcPr>
          <w:p w14:paraId="36A7688A">
            <w:pPr>
              <w:rPr>
                <w:sz w:val="16"/>
                <w:szCs w:val="16"/>
              </w:rPr>
            </w:pPr>
            <w:r>
              <w:rPr>
                <w:sz w:val="16"/>
                <w:szCs w:val="16"/>
              </w:rPr>
              <w:t>Fine motor skills and basic ADL</w:t>
            </w:r>
          </w:p>
        </w:tc>
      </w:tr>
      <w:tr w14:paraId="1D8E08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763EEFF">
            <w:pPr>
              <w:rPr>
                <w:sz w:val="16"/>
                <w:szCs w:val="16"/>
              </w:rPr>
            </w:pPr>
          </w:p>
        </w:tc>
        <w:tc>
          <w:tcPr>
            <w:tcW w:w="0" w:type="auto"/>
          </w:tcPr>
          <w:p w14:paraId="1FD4723F">
            <w:pPr>
              <w:rPr>
                <w:sz w:val="16"/>
                <w:szCs w:val="16"/>
              </w:rPr>
            </w:pPr>
            <w:r>
              <w:rPr>
                <w:sz w:val="16"/>
                <w:szCs w:val="16"/>
              </w:rPr>
              <w:t>10</w:t>
            </w:r>
          </w:p>
        </w:tc>
        <w:tc>
          <w:tcPr>
            <w:tcW w:w="0" w:type="auto"/>
          </w:tcPr>
          <w:p w14:paraId="342FAAE9">
            <w:pPr>
              <w:rPr>
                <w:sz w:val="16"/>
                <w:szCs w:val="16"/>
              </w:rPr>
            </w:pPr>
            <w:r>
              <w:rPr>
                <w:sz w:val="16"/>
                <w:szCs w:val="16"/>
              </w:rPr>
              <w:t>Difficulty dressing yourself</w:t>
            </w:r>
          </w:p>
        </w:tc>
        <w:tc>
          <w:tcPr>
            <w:tcW w:w="0" w:type="auto"/>
          </w:tcPr>
          <w:p w14:paraId="23BC8630">
            <w:pPr>
              <w:rPr>
                <w:sz w:val="16"/>
                <w:szCs w:val="16"/>
              </w:rPr>
            </w:pPr>
            <w:r>
              <w:rPr>
                <w:sz w:val="16"/>
                <w:szCs w:val="16"/>
              </w:rPr>
              <w:t>Any difficulty = 1; No difficulty = 0</w:t>
            </w:r>
          </w:p>
        </w:tc>
        <w:tc>
          <w:tcPr>
            <w:tcW w:w="0" w:type="auto"/>
          </w:tcPr>
          <w:p w14:paraId="1274953D">
            <w:pPr>
              <w:rPr>
                <w:sz w:val="16"/>
                <w:szCs w:val="16"/>
              </w:rPr>
            </w:pPr>
            <w:r>
              <w:rPr>
                <w:sz w:val="16"/>
                <w:szCs w:val="16"/>
              </w:rPr>
              <w:t>Basic ADL essential for self-care</w:t>
            </w:r>
          </w:p>
        </w:tc>
      </w:tr>
      <w:tr w14:paraId="6008B1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CEF7B35">
            <w:pPr>
              <w:rPr>
                <w:sz w:val="16"/>
                <w:szCs w:val="16"/>
              </w:rPr>
            </w:pPr>
          </w:p>
        </w:tc>
        <w:tc>
          <w:tcPr>
            <w:tcW w:w="0" w:type="auto"/>
          </w:tcPr>
          <w:p w14:paraId="3A56A075">
            <w:pPr>
              <w:rPr>
                <w:sz w:val="16"/>
                <w:szCs w:val="16"/>
              </w:rPr>
            </w:pPr>
            <w:r>
              <w:rPr>
                <w:sz w:val="16"/>
                <w:szCs w:val="16"/>
              </w:rPr>
              <w:t>11</w:t>
            </w:r>
          </w:p>
        </w:tc>
        <w:tc>
          <w:tcPr>
            <w:tcW w:w="0" w:type="auto"/>
          </w:tcPr>
          <w:p w14:paraId="28567A41">
            <w:pPr>
              <w:rPr>
                <w:sz w:val="16"/>
                <w:szCs w:val="16"/>
              </w:rPr>
            </w:pPr>
            <w:r>
              <w:rPr>
                <w:sz w:val="16"/>
                <w:szCs w:val="16"/>
              </w:rPr>
              <w:t>Difficulty standing for prolonged periods</w:t>
            </w:r>
          </w:p>
        </w:tc>
        <w:tc>
          <w:tcPr>
            <w:tcW w:w="0" w:type="auto"/>
          </w:tcPr>
          <w:p w14:paraId="189CC99C">
            <w:pPr>
              <w:rPr>
                <w:sz w:val="16"/>
                <w:szCs w:val="16"/>
              </w:rPr>
            </w:pPr>
            <w:r>
              <w:rPr>
                <w:sz w:val="16"/>
                <w:szCs w:val="16"/>
              </w:rPr>
              <w:t>Any difficulty = 1; No difficulty = 0</w:t>
            </w:r>
          </w:p>
        </w:tc>
        <w:tc>
          <w:tcPr>
            <w:tcW w:w="0" w:type="auto"/>
          </w:tcPr>
          <w:p w14:paraId="51EF2FC6">
            <w:pPr>
              <w:rPr>
                <w:sz w:val="16"/>
                <w:szCs w:val="16"/>
              </w:rPr>
            </w:pPr>
            <w:r>
              <w:rPr>
                <w:sz w:val="16"/>
                <w:szCs w:val="16"/>
              </w:rPr>
              <w:t>Endurance and postural control</w:t>
            </w:r>
          </w:p>
        </w:tc>
      </w:tr>
      <w:tr w14:paraId="10CDF6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88B44B1">
            <w:pPr>
              <w:rPr>
                <w:sz w:val="16"/>
                <w:szCs w:val="16"/>
              </w:rPr>
            </w:pPr>
          </w:p>
        </w:tc>
        <w:tc>
          <w:tcPr>
            <w:tcW w:w="0" w:type="auto"/>
          </w:tcPr>
          <w:p w14:paraId="21D70694">
            <w:pPr>
              <w:rPr>
                <w:sz w:val="16"/>
                <w:szCs w:val="16"/>
              </w:rPr>
            </w:pPr>
            <w:r>
              <w:rPr>
                <w:sz w:val="16"/>
                <w:szCs w:val="16"/>
              </w:rPr>
              <w:t>12</w:t>
            </w:r>
          </w:p>
        </w:tc>
        <w:tc>
          <w:tcPr>
            <w:tcW w:w="0" w:type="auto"/>
          </w:tcPr>
          <w:p w14:paraId="51243228">
            <w:pPr>
              <w:rPr>
                <w:sz w:val="16"/>
                <w:szCs w:val="16"/>
              </w:rPr>
            </w:pPr>
            <w:r>
              <w:rPr>
                <w:sz w:val="16"/>
                <w:szCs w:val="16"/>
              </w:rPr>
              <w:t>Difficulty grasping or holding small objects</w:t>
            </w:r>
          </w:p>
        </w:tc>
        <w:tc>
          <w:tcPr>
            <w:tcW w:w="0" w:type="auto"/>
          </w:tcPr>
          <w:p w14:paraId="74A512ED">
            <w:pPr>
              <w:rPr>
                <w:sz w:val="16"/>
                <w:szCs w:val="16"/>
              </w:rPr>
            </w:pPr>
            <w:r>
              <w:rPr>
                <w:sz w:val="16"/>
                <w:szCs w:val="16"/>
              </w:rPr>
              <w:t>Any difficulty = 1; No difficulty = 0</w:t>
            </w:r>
          </w:p>
        </w:tc>
        <w:tc>
          <w:tcPr>
            <w:tcW w:w="0" w:type="auto"/>
          </w:tcPr>
          <w:p w14:paraId="7BD40B99">
            <w:pPr>
              <w:rPr>
                <w:sz w:val="16"/>
                <w:szCs w:val="16"/>
              </w:rPr>
            </w:pPr>
            <w:r>
              <w:rPr>
                <w:sz w:val="16"/>
                <w:szCs w:val="16"/>
              </w:rPr>
              <w:t>Fine motor skills and hand function</w:t>
            </w:r>
          </w:p>
        </w:tc>
      </w:tr>
      <w:tr w14:paraId="2385CE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8719C36">
            <w:pPr>
              <w:rPr>
                <w:sz w:val="16"/>
                <w:szCs w:val="16"/>
              </w:rPr>
            </w:pPr>
          </w:p>
        </w:tc>
        <w:tc>
          <w:tcPr>
            <w:tcW w:w="0" w:type="auto"/>
          </w:tcPr>
          <w:p w14:paraId="4982AD91">
            <w:pPr>
              <w:rPr>
                <w:sz w:val="16"/>
                <w:szCs w:val="16"/>
              </w:rPr>
            </w:pPr>
            <w:r>
              <w:rPr>
                <w:sz w:val="16"/>
                <w:szCs w:val="16"/>
              </w:rPr>
              <w:t>13</w:t>
            </w:r>
          </w:p>
        </w:tc>
        <w:tc>
          <w:tcPr>
            <w:tcW w:w="0" w:type="auto"/>
          </w:tcPr>
          <w:p w14:paraId="3549675F">
            <w:pPr>
              <w:rPr>
                <w:sz w:val="16"/>
                <w:szCs w:val="16"/>
              </w:rPr>
            </w:pPr>
            <w:r>
              <w:rPr>
                <w:sz w:val="16"/>
                <w:szCs w:val="16"/>
              </w:rPr>
              <w:t>Difficulty attending social events</w:t>
            </w:r>
          </w:p>
        </w:tc>
        <w:tc>
          <w:tcPr>
            <w:tcW w:w="0" w:type="auto"/>
          </w:tcPr>
          <w:p w14:paraId="5C0F7D3A">
            <w:pPr>
              <w:rPr>
                <w:sz w:val="16"/>
                <w:szCs w:val="16"/>
              </w:rPr>
            </w:pPr>
            <w:r>
              <w:rPr>
                <w:sz w:val="16"/>
                <w:szCs w:val="16"/>
              </w:rPr>
              <w:t>Any difficulty = 1; No difficulty = 0</w:t>
            </w:r>
          </w:p>
        </w:tc>
        <w:tc>
          <w:tcPr>
            <w:tcW w:w="0" w:type="auto"/>
          </w:tcPr>
          <w:p w14:paraId="5944127B">
            <w:pPr>
              <w:rPr>
                <w:sz w:val="16"/>
                <w:szCs w:val="16"/>
              </w:rPr>
            </w:pPr>
            <w:r>
              <w:rPr>
                <w:sz w:val="16"/>
                <w:szCs w:val="16"/>
              </w:rPr>
              <w:t>Social participation capacity</w:t>
            </w:r>
          </w:p>
        </w:tc>
      </w:tr>
      <w:tr w14:paraId="0B43AF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F51D734">
            <w:pPr>
              <w:rPr>
                <w:sz w:val="16"/>
                <w:szCs w:val="16"/>
              </w:rPr>
            </w:pPr>
          </w:p>
        </w:tc>
        <w:tc>
          <w:tcPr>
            <w:tcW w:w="0" w:type="auto"/>
          </w:tcPr>
          <w:p w14:paraId="61B9D9E1">
            <w:pPr>
              <w:rPr>
                <w:sz w:val="16"/>
                <w:szCs w:val="16"/>
              </w:rPr>
            </w:pPr>
            <w:r>
              <w:rPr>
                <w:sz w:val="16"/>
                <w:szCs w:val="16"/>
              </w:rPr>
              <w:t>14</w:t>
            </w:r>
          </w:p>
        </w:tc>
        <w:tc>
          <w:tcPr>
            <w:tcW w:w="0" w:type="auto"/>
          </w:tcPr>
          <w:p w14:paraId="31E86D79">
            <w:pPr>
              <w:rPr>
                <w:sz w:val="16"/>
                <w:szCs w:val="16"/>
              </w:rPr>
            </w:pPr>
            <w:r>
              <w:rPr>
                <w:sz w:val="16"/>
                <w:szCs w:val="16"/>
              </w:rPr>
              <w:t>Difficulty pushing or pulling large objects</w:t>
            </w:r>
          </w:p>
        </w:tc>
        <w:tc>
          <w:tcPr>
            <w:tcW w:w="0" w:type="auto"/>
          </w:tcPr>
          <w:p w14:paraId="3CBC818A">
            <w:pPr>
              <w:rPr>
                <w:sz w:val="16"/>
                <w:szCs w:val="16"/>
              </w:rPr>
            </w:pPr>
            <w:r>
              <w:rPr>
                <w:sz w:val="16"/>
                <w:szCs w:val="16"/>
              </w:rPr>
              <w:t>Any difficulty = 1; No difficulty = 0</w:t>
            </w:r>
          </w:p>
        </w:tc>
        <w:tc>
          <w:tcPr>
            <w:tcW w:w="0" w:type="auto"/>
          </w:tcPr>
          <w:p w14:paraId="26C26905">
            <w:pPr>
              <w:rPr>
                <w:sz w:val="16"/>
                <w:szCs w:val="16"/>
              </w:rPr>
            </w:pPr>
            <w:r>
              <w:rPr>
                <w:sz w:val="16"/>
                <w:szCs w:val="16"/>
              </w:rPr>
              <w:t>Overall body strength indicator</w:t>
            </w:r>
          </w:p>
        </w:tc>
      </w:tr>
      <w:tr w14:paraId="37D9C6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EA2FF79">
            <w:pPr>
              <w:rPr>
                <w:sz w:val="16"/>
                <w:szCs w:val="16"/>
              </w:rPr>
            </w:pPr>
          </w:p>
        </w:tc>
        <w:tc>
          <w:tcPr>
            <w:tcW w:w="0" w:type="auto"/>
          </w:tcPr>
          <w:p w14:paraId="0E2FA76B">
            <w:pPr>
              <w:rPr>
                <w:sz w:val="16"/>
                <w:szCs w:val="16"/>
              </w:rPr>
            </w:pPr>
            <w:r>
              <w:rPr>
                <w:sz w:val="16"/>
                <w:szCs w:val="16"/>
              </w:rPr>
              <w:t>15</w:t>
            </w:r>
          </w:p>
        </w:tc>
        <w:tc>
          <w:tcPr>
            <w:tcW w:w="0" w:type="auto"/>
          </w:tcPr>
          <w:p w14:paraId="55365AE8">
            <w:pPr>
              <w:rPr>
                <w:sz w:val="16"/>
                <w:szCs w:val="16"/>
              </w:rPr>
            </w:pPr>
            <w:r>
              <w:rPr>
                <w:sz w:val="16"/>
                <w:szCs w:val="16"/>
              </w:rPr>
              <w:t>Difficulty walking one-quarter mile</w:t>
            </w:r>
          </w:p>
        </w:tc>
        <w:tc>
          <w:tcPr>
            <w:tcW w:w="0" w:type="auto"/>
          </w:tcPr>
          <w:p w14:paraId="214A6879">
            <w:pPr>
              <w:rPr>
                <w:sz w:val="16"/>
                <w:szCs w:val="16"/>
              </w:rPr>
            </w:pPr>
            <w:r>
              <w:rPr>
                <w:sz w:val="16"/>
                <w:szCs w:val="16"/>
              </w:rPr>
              <w:t>Any difficulty = 1; No difficulty = 0</w:t>
            </w:r>
          </w:p>
        </w:tc>
        <w:tc>
          <w:tcPr>
            <w:tcW w:w="0" w:type="auto"/>
          </w:tcPr>
          <w:p w14:paraId="3E96BCE7">
            <w:pPr>
              <w:rPr>
                <w:sz w:val="16"/>
                <w:szCs w:val="16"/>
              </w:rPr>
            </w:pPr>
            <w:r>
              <w:rPr>
                <w:sz w:val="16"/>
                <w:szCs w:val="16"/>
              </w:rPr>
              <w:t>Ambulatory endurance</w:t>
            </w:r>
          </w:p>
        </w:tc>
      </w:tr>
      <w:tr w14:paraId="1B1DCB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8A7D61B">
            <w:pPr>
              <w:rPr>
                <w:sz w:val="16"/>
                <w:szCs w:val="16"/>
              </w:rPr>
            </w:pPr>
          </w:p>
        </w:tc>
        <w:tc>
          <w:tcPr>
            <w:tcW w:w="0" w:type="auto"/>
          </w:tcPr>
          <w:p w14:paraId="19CD9BEF">
            <w:pPr>
              <w:rPr>
                <w:sz w:val="16"/>
                <w:szCs w:val="16"/>
              </w:rPr>
            </w:pPr>
            <w:r>
              <w:rPr>
                <w:sz w:val="16"/>
                <w:szCs w:val="16"/>
              </w:rPr>
              <w:t>16</w:t>
            </w:r>
          </w:p>
        </w:tc>
        <w:tc>
          <w:tcPr>
            <w:tcW w:w="0" w:type="auto"/>
          </w:tcPr>
          <w:p w14:paraId="7FE3D64B">
            <w:pPr>
              <w:rPr>
                <w:sz w:val="16"/>
                <w:szCs w:val="16"/>
              </w:rPr>
            </w:pPr>
            <w:r>
              <w:rPr>
                <w:sz w:val="16"/>
                <w:szCs w:val="16"/>
              </w:rPr>
              <w:t>Difficulty climbing 10 steps</w:t>
            </w:r>
          </w:p>
        </w:tc>
        <w:tc>
          <w:tcPr>
            <w:tcW w:w="0" w:type="auto"/>
          </w:tcPr>
          <w:p w14:paraId="62A0FD78">
            <w:pPr>
              <w:rPr>
                <w:sz w:val="16"/>
                <w:szCs w:val="16"/>
              </w:rPr>
            </w:pPr>
            <w:r>
              <w:rPr>
                <w:sz w:val="16"/>
                <w:szCs w:val="16"/>
              </w:rPr>
              <w:t>Any difficulty = 1; No difficulty = 0</w:t>
            </w:r>
          </w:p>
        </w:tc>
        <w:tc>
          <w:tcPr>
            <w:tcW w:w="0" w:type="auto"/>
          </w:tcPr>
          <w:p w14:paraId="5528D91B">
            <w:pPr>
              <w:rPr>
                <w:sz w:val="16"/>
                <w:szCs w:val="16"/>
              </w:rPr>
            </w:pPr>
            <w:r>
              <w:rPr>
                <w:sz w:val="16"/>
                <w:szCs w:val="16"/>
              </w:rPr>
              <w:t>Lower extremity function and cardiopulmonary capacity</w:t>
            </w:r>
          </w:p>
        </w:tc>
      </w:tr>
      <w:tr w14:paraId="495886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126461A">
            <w:pPr>
              <w:rPr>
                <w:sz w:val="16"/>
                <w:szCs w:val="16"/>
              </w:rPr>
            </w:pPr>
            <w:r>
              <w:rPr>
                <w:b/>
                <w:bCs/>
                <w:sz w:val="16"/>
                <w:szCs w:val="16"/>
              </w:rPr>
              <w:t>Depressive Symptoms (PHQ-9 Components)</w:t>
            </w:r>
          </w:p>
        </w:tc>
        <w:tc>
          <w:tcPr>
            <w:tcW w:w="0" w:type="auto"/>
          </w:tcPr>
          <w:p w14:paraId="145C33F5">
            <w:pPr>
              <w:rPr>
                <w:sz w:val="16"/>
                <w:szCs w:val="16"/>
              </w:rPr>
            </w:pPr>
          </w:p>
        </w:tc>
        <w:tc>
          <w:tcPr>
            <w:tcW w:w="0" w:type="auto"/>
          </w:tcPr>
          <w:p w14:paraId="3041EFAF">
            <w:pPr>
              <w:rPr>
                <w:sz w:val="16"/>
                <w:szCs w:val="16"/>
              </w:rPr>
            </w:pPr>
          </w:p>
        </w:tc>
        <w:tc>
          <w:tcPr>
            <w:tcW w:w="0" w:type="auto"/>
          </w:tcPr>
          <w:p w14:paraId="6C94D075">
            <w:pPr>
              <w:rPr>
                <w:sz w:val="16"/>
                <w:szCs w:val="16"/>
              </w:rPr>
            </w:pPr>
          </w:p>
        </w:tc>
        <w:tc>
          <w:tcPr>
            <w:tcW w:w="0" w:type="auto"/>
          </w:tcPr>
          <w:p w14:paraId="240E0813">
            <w:pPr>
              <w:rPr>
                <w:sz w:val="16"/>
                <w:szCs w:val="16"/>
              </w:rPr>
            </w:pPr>
          </w:p>
        </w:tc>
      </w:tr>
      <w:tr w14:paraId="4041AE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421A021">
            <w:pPr>
              <w:rPr>
                <w:sz w:val="16"/>
                <w:szCs w:val="16"/>
              </w:rPr>
            </w:pPr>
          </w:p>
        </w:tc>
        <w:tc>
          <w:tcPr>
            <w:tcW w:w="0" w:type="auto"/>
          </w:tcPr>
          <w:p w14:paraId="7908FC02">
            <w:pPr>
              <w:rPr>
                <w:sz w:val="16"/>
                <w:szCs w:val="16"/>
              </w:rPr>
            </w:pPr>
            <w:r>
              <w:rPr>
                <w:sz w:val="16"/>
                <w:szCs w:val="16"/>
              </w:rPr>
              <w:t>17</w:t>
            </w:r>
          </w:p>
        </w:tc>
        <w:tc>
          <w:tcPr>
            <w:tcW w:w="0" w:type="auto"/>
          </w:tcPr>
          <w:p w14:paraId="68B8D9C0">
            <w:pPr>
              <w:rPr>
                <w:sz w:val="16"/>
                <w:szCs w:val="16"/>
              </w:rPr>
            </w:pPr>
            <w:r>
              <w:rPr>
                <w:sz w:val="16"/>
                <w:szCs w:val="16"/>
              </w:rPr>
              <w:t>Little interest or pleasure in activities</w:t>
            </w:r>
          </w:p>
        </w:tc>
        <w:tc>
          <w:tcPr>
            <w:tcW w:w="0" w:type="auto"/>
          </w:tcPr>
          <w:p w14:paraId="168692DD">
            <w:pPr>
              <w:rPr>
                <w:sz w:val="16"/>
                <w:szCs w:val="16"/>
              </w:rPr>
            </w:pPr>
            <w:r>
              <w:rPr>
                <w:sz w:val="16"/>
                <w:szCs w:val="16"/>
              </w:rPr>
              <w:t>Nearly every day = 1; More than half the days = 0.66; Several days = 0.33; Not at all = 0</w:t>
            </w:r>
          </w:p>
        </w:tc>
        <w:tc>
          <w:tcPr>
            <w:tcW w:w="0" w:type="auto"/>
          </w:tcPr>
          <w:p w14:paraId="43BCE248">
            <w:pPr>
              <w:rPr>
                <w:sz w:val="16"/>
                <w:szCs w:val="16"/>
              </w:rPr>
            </w:pPr>
            <w:r>
              <w:rPr>
                <w:sz w:val="16"/>
                <w:szCs w:val="16"/>
              </w:rPr>
              <w:t>Anhedonia as core depression symptom</w:t>
            </w:r>
          </w:p>
        </w:tc>
      </w:tr>
      <w:tr w14:paraId="4F1325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2C70C78">
            <w:pPr>
              <w:rPr>
                <w:sz w:val="16"/>
                <w:szCs w:val="16"/>
              </w:rPr>
            </w:pPr>
          </w:p>
        </w:tc>
        <w:tc>
          <w:tcPr>
            <w:tcW w:w="0" w:type="auto"/>
          </w:tcPr>
          <w:p w14:paraId="1936200D">
            <w:pPr>
              <w:rPr>
                <w:sz w:val="16"/>
                <w:szCs w:val="16"/>
              </w:rPr>
            </w:pPr>
            <w:r>
              <w:rPr>
                <w:sz w:val="16"/>
                <w:szCs w:val="16"/>
              </w:rPr>
              <w:t>18</w:t>
            </w:r>
          </w:p>
        </w:tc>
        <w:tc>
          <w:tcPr>
            <w:tcW w:w="0" w:type="auto"/>
          </w:tcPr>
          <w:p w14:paraId="4C785F00">
            <w:pPr>
              <w:rPr>
                <w:sz w:val="16"/>
                <w:szCs w:val="16"/>
              </w:rPr>
            </w:pPr>
            <w:r>
              <w:rPr>
                <w:sz w:val="16"/>
                <w:szCs w:val="16"/>
              </w:rPr>
              <w:t>Feeling down, depressed, or hopeless</w:t>
            </w:r>
          </w:p>
        </w:tc>
        <w:tc>
          <w:tcPr>
            <w:tcW w:w="0" w:type="auto"/>
          </w:tcPr>
          <w:p w14:paraId="40E15965">
            <w:pPr>
              <w:rPr>
                <w:sz w:val="16"/>
                <w:szCs w:val="16"/>
              </w:rPr>
            </w:pPr>
            <w:r>
              <w:rPr>
                <w:sz w:val="16"/>
                <w:szCs w:val="16"/>
              </w:rPr>
              <w:t>Nearly every day = 1; More than half the days = 0.66; Several days = 0.33; Not at all = 0</w:t>
            </w:r>
          </w:p>
        </w:tc>
        <w:tc>
          <w:tcPr>
            <w:tcW w:w="0" w:type="auto"/>
          </w:tcPr>
          <w:p w14:paraId="202F3BBB">
            <w:pPr>
              <w:rPr>
                <w:sz w:val="16"/>
                <w:szCs w:val="16"/>
              </w:rPr>
            </w:pPr>
            <w:r>
              <w:rPr>
                <w:sz w:val="16"/>
                <w:szCs w:val="16"/>
              </w:rPr>
              <w:t>Core depressive mood symptom</w:t>
            </w:r>
          </w:p>
        </w:tc>
      </w:tr>
      <w:tr w14:paraId="512944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C9A9A79">
            <w:pPr>
              <w:rPr>
                <w:sz w:val="16"/>
                <w:szCs w:val="16"/>
              </w:rPr>
            </w:pPr>
          </w:p>
        </w:tc>
        <w:tc>
          <w:tcPr>
            <w:tcW w:w="0" w:type="auto"/>
          </w:tcPr>
          <w:p w14:paraId="4224E840">
            <w:pPr>
              <w:rPr>
                <w:sz w:val="16"/>
                <w:szCs w:val="16"/>
              </w:rPr>
            </w:pPr>
            <w:r>
              <w:rPr>
                <w:sz w:val="16"/>
                <w:szCs w:val="16"/>
              </w:rPr>
              <w:t>19</w:t>
            </w:r>
          </w:p>
        </w:tc>
        <w:tc>
          <w:tcPr>
            <w:tcW w:w="0" w:type="auto"/>
          </w:tcPr>
          <w:p w14:paraId="1CEEC65B">
            <w:pPr>
              <w:rPr>
                <w:sz w:val="16"/>
                <w:szCs w:val="16"/>
              </w:rPr>
            </w:pPr>
            <w:r>
              <w:rPr>
                <w:sz w:val="16"/>
                <w:szCs w:val="16"/>
              </w:rPr>
              <w:t>Sleep disturbances</w:t>
            </w:r>
          </w:p>
        </w:tc>
        <w:tc>
          <w:tcPr>
            <w:tcW w:w="0" w:type="auto"/>
          </w:tcPr>
          <w:p w14:paraId="0F3C4224">
            <w:pPr>
              <w:rPr>
                <w:sz w:val="16"/>
                <w:szCs w:val="16"/>
              </w:rPr>
            </w:pPr>
            <w:r>
              <w:rPr>
                <w:sz w:val="16"/>
                <w:szCs w:val="16"/>
              </w:rPr>
              <w:t>Nearly every day = 1; More than half the days = 0.66; Several days = 0.33; Not at all = 0</w:t>
            </w:r>
          </w:p>
        </w:tc>
        <w:tc>
          <w:tcPr>
            <w:tcW w:w="0" w:type="auto"/>
          </w:tcPr>
          <w:p w14:paraId="15C21195">
            <w:pPr>
              <w:rPr>
                <w:sz w:val="16"/>
                <w:szCs w:val="16"/>
              </w:rPr>
            </w:pPr>
            <w:r>
              <w:rPr>
                <w:sz w:val="16"/>
                <w:szCs w:val="16"/>
              </w:rPr>
              <w:t>Sleep problems common in depression and frailty</w:t>
            </w:r>
          </w:p>
        </w:tc>
      </w:tr>
      <w:tr w14:paraId="3BC9BD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74693CA">
            <w:pPr>
              <w:rPr>
                <w:sz w:val="16"/>
                <w:szCs w:val="16"/>
              </w:rPr>
            </w:pPr>
          </w:p>
        </w:tc>
        <w:tc>
          <w:tcPr>
            <w:tcW w:w="0" w:type="auto"/>
          </w:tcPr>
          <w:p w14:paraId="29A075BD">
            <w:pPr>
              <w:rPr>
                <w:sz w:val="16"/>
                <w:szCs w:val="16"/>
              </w:rPr>
            </w:pPr>
            <w:r>
              <w:rPr>
                <w:sz w:val="16"/>
                <w:szCs w:val="16"/>
              </w:rPr>
              <w:t>20</w:t>
            </w:r>
          </w:p>
        </w:tc>
        <w:tc>
          <w:tcPr>
            <w:tcW w:w="0" w:type="auto"/>
          </w:tcPr>
          <w:p w14:paraId="0BD1A6D6">
            <w:pPr>
              <w:rPr>
                <w:sz w:val="16"/>
                <w:szCs w:val="16"/>
              </w:rPr>
            </w:pPr>
            <w:r>
              <w:rPr>
                <w:sz w:val="16"/>
                <w:szCs w:val="16"/>
              </w:rPr>
              <w:t>Fatigue or low energy</w:t>
            </w:r>
          </w:p>
        </w:tc>
        <w:tc>
          <w:tcPr>
            <w:tcW w:w="0" w:type="auto"/>
          </w:tcPr>
          <w:p w14:paraId="04FA04B0">
            <w:pPr>
              <w:rPr>
                <w:sz w:val="16"/>
                <w:szCs w:val="16"/>
              </w:rPr>
            </w:pPr>
            <w:r>
              <w:rPr>
                <w:sz w:val="16"/>
                <w:szCs w:val="16"/>
              </w:rPr>
              <w:t>Nearly every day = 1; More than half the days = 0.66; Several days = 0.33; Not at all = 0</w:t>
            </w:r>
          </w:p>
        </w:tc>
        <w:tc>
          <w:tcPr>
            <w:tcW w:w="0" w:type="auto"/>
          </w:tcPr>
          <w:p w14:paraId="0692761C">
            <w:pPr>
              <w:rPr>
                <w:sz w:val="16"/>
                <w:szCs w:val="16"/>
              </w:rPr>
            </w:pPr>
            <w:r>
              <w:rPr>
                <w:sz w:val="16"/>
                <w:szCs w:val="16"/>
              </w:rPr>
              <w:t>Fatigue overlaps with physical frailty</w:t>
            </w:r>
          </w:p>
        </w:tc>
      </w:tr>
      <w:tr w14:paraId="0F99F5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566945B">
            <w:pPr>
              <w:rPr>
                <w:sz w:val="16"/>
                <w:szCs w:val="16"/>
              </w:rPr>
            </w:pPr>
          </w:p>
        </w:tc>
        <w:tc>
          <w:tcPr>
            <w:tcW w:w="0" w:type="auto"/>
          </w:tcPr>
          <w:p w14:paraId="0B5651D6">
            <w:pPr>
              <w:rPr>
                <w:sz w:val="16"/>
                <w:szCs w:val="16"/>
              </w:rPr>
            </w:pPr>
            <w:r>
              <w:rPr>
                <w:sz w:val="16"/>
                <w:szCs w:val="16"/>
              </w:rPr>
              <w:t>21</w:t>
            </w:r>
          </w:p>
        </w:tc>
        <w:tc>
          <w:tcPr>
            <w:tcW w:w="0" w:type="auto"/>
          </w:tcPr>
          <w:p w14:paraId="098E2C01">
            <w:pPr>
              <w:rPr>
                <w:sz w:val="16"/>
                <w:szCs w:val="16"/>
              </w:rPr>
            </w:pPr>
            <w:r>
              <w:rPr>
                <w:sz w:val="16"/>
                <w:szCs w:val="16"/>
              </w:rPr>
              <w:t>Appetite disturbance</w:t>
            </w:r>
          </w:p>
        </w:tc>
        <w:tc>
          <w:tcPr>
            <w:tcW w:w="0" w:type="auto"/>
          </w:tcPr>
          <w:p w14:paraId="2E3ACAC0">
            <w:pPr>
              <w:rPr>
                <w:sz w:val="16"/>
                <w:szCs w:val="16"/>
              </w:rPr>
            </w:pPr>
            <w:r>
              <w:rPr>
                <w:sz w:val="16"/>
                <w:szCs w:val="16"/>
              </w:rPr>
              <w:t>Nearly every day = 1; More than half the days = 0.66; Several days = 0.33; Not at all = 0</w:t>
            </w:r>
          </w:p>
        </w:tc>
        <w:tc>
          <w:tcPr>
            <w:tcW w:w="0" w:type="auto"/>
          </w:tcPr>
          <w:p w14:paraId="2080FDEB">
            <w:pPr>
              <w:rPr>
                <w:sz w:val="16"/>
                <w:szCs w:val="16"/>
              </w:rPr>
            </w:pPr>
            <w:r>
              <w:rPr>
                <w:sz w:val="16"/>
                <w:szCs w:val="16"/>
              </w:rPr>
              <w:t>Nutritional risk indicator</w:t>
            </w:r>
          </w:p>
        </w:tc>
      </w:tr>
      <w:tr w14:paraId="7085AE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07A02CB">
            <w:pPr>
              <w:rPr>
                <w:sz w:val="16"/>
                <w:szCs w:val="16"/>
              </w:rPr>
            </w:pPr>
          </w:p>
        </w:tc>
        <w:tc>
          <w:tcPr>
            <w:tcW w:w="0" w:type="auto"/>
          </w:tcPr>
          <w:p w14:paraId="03C9E19E">
            <w:pPr>
              <w:rPr>
                <w:sz w:val="16"/>
                <w:szCs w:val="16"/>
              </w:rPr>
            </w:pPr>
            <w:r>
              <w:rPr>
                <w:sz w:val="16"/>
                <w:szCs w:val="16"/>
              </w:rPr>
              <w:t>22</w:t>
            </w:r>
          </w:p>
        </w:tc>
        <w:tc>
          <w:tcPr>
            <w:tcW w:w="0" w:type="auto"/>
          </w:tcPr>
          <w:p w14:paraId="72E122E4">
            <w:pPr>
              <w:rPr>
                <w:sz w:val="16"/>
                <w:szCs w:val="16"/>
              </w:rPr>
            </w:pPr>
            <w:r>
              <w:rPr>
                <w:sz w:val="16"/>
                <w:szCs w:val="16"/>
              </w:rPr>
              <w:t>Negative self-perception</w:t>
            </w:r>
          </w:p>
        </w:tc>
        <w:tc>
          <w:tcPr>
            <w:tcW w:w="0" w:type="auto"/>
          </w:tcPr>
          <w:p w14:paraId="42048362">
            <w:pPr>
              <w:rPr>
                <w:sz w:val="16"/>
                <w:szCs w:val="16"/>
              </w:rPr>
            </w:pPr>
            <w:r>
              <w:rPr>
                <w:sz w:val="16"/>
                <w:szCs w:val="16"/>
              </w:rPr>
              <w:t>Nearly every day = 1; More than half the days = 0.66; Several days = 0.33; Not at all = 0</w:t>
            </w:r>
          </w:p>
        </w:tc>
        <w:tc>
          <w:tcPr>
            <w:tcW w:w="0" w:type="auto"/>
          </w:tcPr>
          <w:p w14:paraId="42311880">
            <w:pPr>
              <w:rPr>
                <w:sz w:val="16"/>
                <w:szCs w:val="16"/>
              </w:rPr>
            </w:pPr>
            <w:r>
              <w:rPr>
                <w:sz w:val="16"/>
                <w:szCs w:val="16"/>
              </w:rPr>
              <w:t>Self-esteem and mental health indicator</w:t>
            </w:r>
          </w:p>
        </w:tc>
      </w:tr>
      <w:tr w14:paraId="349DF3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3819A2F">
            <w:pPr>
              <w:rPr>
                <w:sz w:val="16"/>
                <w:szCs w:val="16"/>
              </w:rPr>
            </w:pPr>
          </w:p>
        </w:tc>
        <w:tc>
          <w:tcPr>
            <w:tcW w:w="0" w:type="auto"/>
          </w:tcPr>
          <w:p w14:paraId="2E04F064">
            <w:pPr>
              <w:rPr>
                <w:sz w:val="16"/>
                <w:szCs w:val="16"/>
              </w:rPr>
            </w:pPr>
            <w:r>
              <w:rPr>
                <w:sz w:val="16"/>
                <w:szCs w:val="16"/>
              </w:rPr>
              <w:t>23</w:t>
            </w:r>
          </w:p>
        </w:tc>
        <w:tc>
          <w:tcPr>
            <w:tcW w:w="0" w:type="auto"/>
          </w:tcPr>
          <w:p w14:paraId="0E86F4B6">
            <w:pPr>
              <w:rPr>
                <w:sz w:val="16"/>
                <w:szCs w:val="16"/>
              </w:rPr>
            </w:pPr>
            <w:r>
              <w:rPr>
                <w:sz w:val="16"/>
                <w:szCs w:val="16"/>
              </w:rPr>
              <w:t>Concentration difficulties</w:t>
            </w:r>
          </w:p>
        </w:tc>
        <w:tc>
          <w:tcPr>
            <w:tcW w:w="0" w:type="auto"/>
          </w:tcPr>
          <w:p w14:paraId="6A66AF6C">
            <w:pPr>
              <w:rPr>
                <w:sz w:val="16"/>
                <w:szCs w:val="16"/>
              </w:rPr>
            </w:pPr>
            <w:r>
              <w:rPr>
                <w:sz w:val="16"/>
                <w:szCs w:val="16"/>
              </w:rPr>
              <w:t>Nearly every day = 1; More than half the days = 0.66; Several days = 0.33; Not at all = 0</w:t>
            </w:r>
          </w:p>
        </w:tc>
        <w:tc>
          <w:tcPr>
            <w:tcW w:w="0" w:type="auto"/>
          </w:tcPr>
          <w:p w14:paraId="0064C31E">
            <w:pPr>
              <w:rPr>
                <w:sz w:val="16"/>
                <w:szCs w:val="16"/>
              </w:rPr>
            </w:pPr>
            <w:r>
              <w:rPr>
                <w:sz w:val="16"/>
                <w:szCs w:val="16"/>
              </w:rPr>
              <w:t>Cognitive aspect of depression</w:t>
            </w:r>
          </w:p>
        </w:tc>
      </w:tr>
      <w:tr w14:paraId="3E634B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A879FD5">
            <w:pPr>
              <w:rPr>
                <w:sz w:val="16"/>
                <w:szCs w:val="16"/>
              </w:rPr>
            </w:pPr>
            <w:r>
              <w:rPr>
                <w:b/>
                <w:bCs/>
                <w:sz w:val="16"/>
                <w:szCs w:val="16"/>
              </w:rPr>
              <w:t>Comorbidities</w:t>
            </w:r>
          </w:p>
        </w:tc>
        <w:tc>
          <w:tcPr>
            <w:tcW w:w="0" w:type="auto"/>
          </w:tcPr>
          <w:p w14:paraId="300B6800">
            <w:pPr>
              <w:rPr>
                <w:sz w:val="16"/>
                <w:szCs w:val="16"/>
              </w:rPr>
            </w:pPr>
          </w:p>
        </w:tc>
        <w:tc>
          <w:tcPr>
            <w:tcW w:w="0" w:type="auto"/>
          </w:tcPr>
          <w:p w14:paraId="40A195A0">
            <w:pPr>
              <w:rPr>
                <w:sz w:val="16"/>
                <w:szCs w:val="16"/>
              </w:rPr>
            </w:pPr>
          </w:p>
        </w:tc>
        <w:tc>
          <w:tcPr>
            <w:tcW w:w="0" w:type="auto"/>
          </w:tcPr>
          <w:p w14:paraId="11F5FBDC">
            <w:pPr>
              <w:rPr>
                <w:sz w:val="16"/>
                <w:szCs w:val="16"/>
              </w:rPr>
            </w:pPr>
          </w:p>
        </w:tc>
        <w:tc>
          <w:tcPr>
            <w:tcW w:w="0" w:type="auto"/>
          </w:tcPr>
          <w:p w14:paraId="24CBED82">
            <w:pPr>
              <w:rPr>
                <w:sz w:val="16"/>
                <w:szCs w:val="16"/>
              </w:rPr>
            </w:pPr>
          </w:p>
        </w:tc>
      </w:tr>
      <w:tr w14:paraId="531CCD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25DCF15">
            <w:pPr>
              <w:rPr>
                <w:sz w:val="16"/>
                <w:szCs w:val="16"/>
              </w:rPr>
            </w:pPr>
          </w:p>
        </w:tc>
        <w:tc>
          <w:tcPr>
            <w:tcW w:w="0" w:type="auto"/>
          </w:tcPr>
          <w:p w14:paraId="63DE134C">
            <w:pPr>
              <w:rPr>
                <w:sz w:val="16"/>
                <w:szCs w:val="16"/>
              </w:rPr>
            </w:pPr>
            <w:r>
              <w:rPr>
                <w:sz w:val="16"/>
                <w:szCs w:val="16"/>
              </w:rPr>
              <w:t>24</w:t>
            </w:r>
          </w:p>
        </w:tc>
        <w:tc>
          <w:tcPr>
            <w:tcW w:w="0" w:type="auto"/>
          </w:tcPr>
          <w:p w14:paraId="59972D11">
            <w:pPr>
              <w:rPr>
                <w:sz w:val="16"/>
                <w:szCs w:val="16"/>
              </w:rPr>
            </w:pPr>
            <w:r>
              <w:rPr>
                <w:sz w:val="16"/>
                <w:szCs w:val="16"/>
              </w:rPr>
              <w:t>Arthritis (self-reported physician diagnosis)</w:t>
            </w:r>
          </w:p>
        </w:tc>
        <w:tc>
          <w:tcPr>
            <w:tcW w:w="0" w:type="auto"/>
          </w:tcPr>
          <w:p w14:paraId="17A8C995">
            <w:pPr>
              <w:rPr>
                <w:sz w:val="16"/>
                <w:szCs w:val="16"/>
              </w:rPr>
            </w:pPr>
            <w:r>
              <w:rPr>
                <w:sz w:val="16"/>
                <w:szCs w:val="16"/>
              </w:rPr>
              <w:t>Confirmed diagnosis = 1; Borderline/suspect = 0.5; Absent = 0</w:t>
            </w:r>
          </w:p>
        </w:tc>
        <w:tc>
          <w:tcPr>
            <w:tcW w:w="0" w:type="auto"/>
          </w:tcPr>
          <w:p w14:paraId="414A1BE4">
            <w:pPr>
              <w:rPr>
                <w:sz w:val="16"/>
                <w:szCs w:val="16"/>
              </w:rPr>
            </w:pPr>
            <w:r>
              <w:rPr>
                <w:sz w:val="16"/>
                <w:szCs w:val="16"/>
              </w:rPr>
              <w:t>Musculoskeletal morbidity</w:t>
            </w:r>
          </w:p>
        </w:tc>
      </w:tr>
      <w:tr w14:paraId="7FE4D7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3084345">
            <w:pPr>
              <w:rPr>
                <w:sz w:val="16"/>
                <w:szCs w:val="16"/>
              </w:rPr>
            </w:pPr>
          </w:p>
        </w:tc>
        <w:tc>
          <w:tcPr>
            <w:tcW w:w="0" w:type="auto"/>
          </w:tcPr>
          <w:p w14:paraId="3F097BFE">
            <w:pPr>
              <w:rPr>
                <w:sz w:val="16"/>
                <w:szCs w:val="16"/>
              </w:rPr>
            </w:pPr>
            <w:r>
              <w:rPr>
                <w:sz w:val="16"/>
                <w:szCs w:val="16"/>
              </w:rPr>
              <w:t>25</w:t>
            </w:r>
          </w:p>
        </w:tc>
        <w:tc>
          <w:tcPr>
            <w:tcW w:w="0" w:type="auto"/>
          </w:tcPr>
          <w:p w14:paraId="69E69583">
            <w:pPr>
              <w:rPr>
                <w:sz w:val="16"/>
                <w:szCs w:val="16"/>
              </w:rPr>
            </w:pPr>
            <w:r>
              <w:rPr>
                <w:sz w:val="16"/>
                <w:szCs w:val="16"/>
              </w:rPr>
              <w:t>Thyroid disorder</w:t>
            </w:r>
          </w:p>
        </w:tc>
        <w:tc>
          <w:tcPr>
            <w:tcW w:w="0" w:type="auto"/>
          </w:tcPr>
          <w:p w14:paraId="4E02C56A">
            <w:pPr>
              <w:rPr>
                <w:sz w:val="16"/>
                <w:szCs w:val="16"/>
              </w:rPr>
            </w:pPr>
            <w:r>
              <w:rPr>
                <w:sz w:val="16"/>
                <w:szCs w:val="16"/>
              </w:rPr>
              <w:t>Confirmed diagnosis = 1; Borderline/suspect = 0.5; Absent = 0</w:t>
            </w:r>
          </w:p>
        </w:tc>
        <w:tc>
          <w:tcPr>
            <w:tcW w:w="0" w:type="auto"/>
          </w:tcPr>
          <w:p w14:paraId="5B5C52E4">
            <w:pPr>
              <w:rPr>
                <w:sz w:val="16"/>
                <w:szCs w:val="16"/>
              </w:rPr>
            </w:pPr>
            <w:r>
              <w:rPr>
                <w:sz w:val="16"/>
                <w:szCs w:val="16"/>
              </w:rPr>
              <w:t>Endocrine system disorder</w:t>
            </w:r>
          </w:p>
        </w:tc>
      </w:tr>
      <w:tr w14:paraId="7B0CB0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92998AA">
            <w:pPr>
              <w:rPr>
                <w:sz w:val="16"/>
                <w:szCs w:val="16"/>
              </w:rPr>
            </w:pPr>
          </w:p>
        </w:tc>
        <w:tc>
          <w:tcPr>
            <w:tcW w:w="0" w:type="auto"/>
          </w:tcPr>
          <w:p w14:paraId="1BD2756C">
            <w:pPr>
              <w:rPr>
                <w:sz w:val="16"/>
                <w:szCs w:val="16"/>
              </w:rPr>
            </w:pPr>
            <w:r>
              <w:rPr>
                <w:sz w:val="16"/>
                <w:szCs w:val="16"/>
              </w:rPr>
              <w:t>26</w:t>
            </w:r>
          </w:p>
        </w:tc>
        <w:tc>
          <w:tcPr>
            <w:tcW w:w="0" w:type="auto"/>
          </w:tcPr>
          <w:p w14:paraId="73EF6488">
            <w:pPr>
              <w:rPr>
                <w:sz w:val="16"/>
                <w:szCs w:val="16"/>
              </w:rPr>
            </w:pPr>
            <w:r>
              <w:rPr>
                <w:sz w:val="16"/>
                <w:szCs w:val="16"/>
              </w:rPr>
              <w:t>Chronic bronchitis</w:t>
            </w:r>
          </w:p>
        </w:tc>
        <w:tc>
          <w:tcPr>
            <w:tcW w:w="0" w:type="auto"/>
          </w:tcPr>
          <w:p w14:paraId="41F0AD5E">
            <w:pPr>
              <w:rPr>
                <w:sz w:val="16"/>
                <w:szCs w:val="16"/>
              </w:rPr>
            </w:pPr>
            <w:r>
              <w:rPr>
                <w:sz w:val="16"/>
                <w:szCs w:val="16"/>
              </w:rPr>
              <w:t>Confirmed diagnosis = 1; Borderline/suspect = 0.5; Absent = 0</w:t>
            </w:r>
          </w:p>
        </w:tc>
        <w:tc>
          <w:tcPr>
            <w:tcW w:w="0" w:type="auto"/>
          </w:tcPr>
          <w:p w14:paraId="4937C1A5">
            <w:pPr>
              <w:rPr>
                <w:sz w:val="16"/>
                <w:szCs w:val="16"/>
              </w:rPr>
            </w:pPr>
            <w:r>
              <w:rPr>
                <w:sz w:val="16"/>
                <w:szCs w:val="16"/>
              </w:rPr>
              <w:t>Respiratory system morbidity</w:t>
            </w:r>
          </w:p>
        </w:tc>
      </w:tr>
      <w:tr w14:paraId="60AA62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0D29B3C">
            <w:pPr>
              <w:rPr>
                <w:sz w:val="16"/>
                <w:szCs w:val="16"/>
              </w:rPr>
            </w:pPr>
          </w:p>
        </w:tc>
        <w:tc>
          <w:tcPr>
            <w:tcW w:w="0" w:type="auto"/>
          </w:tcPr>
          <w:p w14:paraId="1A9A1CBF">
            <w:pPr>
              <w:rPr>
                <w:sz w:val="16"/>
                <w:szCs w:val="16"/>
              </w:rPr>
            </w:pPr>
            <w:r>
              <w:rPr>
                <w:sz w:val="16"/>
                <w:szCs w:val="16"/>
              </w:rPr>
              <w:t>27</w:t>
            </w:r>
          </w:p>
        </w:tc>
        <w:tc>
          <w:tcPr>
            <w:tcW w:w="0" w:type="auto"/>
          </w:tcPr>
          <w:p w14:paraId="254D9DF6">
            <w:pPr>
              <w:rPr>
                <w:sz w:val="16"/>
                <w:szCs w:val="16"/>
              </w:rPr>
            </w:pPr>
            <w:r>
              <w:rPr>
                <w:sz w:val="16"/>
                <w:szCs w:val="16"/>
              </w:rPr>
              <w:t>Any cancer</w:t>
            </w:r>
          </w:p>
        </w:tc>
        <w:tc>
          <w:tcPr>
            <w:tcW w:w="0" w:type="auto"/>
          </w:tcPr>
          <w:p w14:paraId="2DB1A04A">
            <w:pPr>
              <w:rPr>
                <w:sz w:val="16"/>
                <w:szCs w:val="16"/>
              </w:rPr>
            </w:pPr>
            <w:r>
              <w:rPr>
                <w:sz w:val="16"/>
                <w:szCs w:val="16"/>
              </w:rPr>
              <w:t>Confirmed diagnosis = 1; Borderline/suspect = 0.5; Absent = 0</w:t>
            </w:r>
          </w:p>
        </w:tc>
        <w:tc>
          <w:tcPr>
            <w:tcW w:w="0" w:type="auto"/>
          </w:tcPr>
          <w:p w14:paraId="125EFA06">
            <w:pPr>
              <w:rPr>
                <w:sz w:val="16"/>
                <w:szCs w:val="16"/>
              </w:rPr>
            </w:pPr>
            <w:r>
              <w:rPr>
                <w:sz w:val="16"/>
                <w:szCs w:val="16"/>
              </w:rPr>
              <w:t>Major chronic disease</w:t>
            </w:r>
          </w:p>
        </w:tc>
      </w:tr>
      <w:tr w14:paraId="57D7F7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380EE43">
            <w:pPr>
              <w:rPr>
                <w:sz w:val="16"/>
                <w:szCs w:val="16"/>
              </w:rPr>
            </w:pPr>
          </w:p>
        </w:tc>
        <w:tc>
          <w:tcPr>
            <w:tcW w:w="0" w:type="auto"/>
          </w:tcPr>
          <w:p w14:paraId="044129C7">
            <w:pPr>
              <w:rPr>
                <w:sz w:val="16"/>
                <w:szCs w:val="16"/>
              </w:rPr>
            </w:pPr>
            <w:r>
              <w:rPr>
                <w:sz w:val="16"/>
                <w:szCs w:val="16"/>
              </w:rPr>
              <w:t>28</w:t>
            </w:r>
          </w:p>
        </w:tc>
        <w:tc>
          <w:tcPr>
            <w:tcW w:w="0" w:type="auto"/>
          </w:tcPr>
          <w:p w14:paraId="52EC7BED">
            <w:pPr>
              <w:rPr>
                <w:sz w:val="16"/>
                <w:szCs w:val="16"/>
              </w:rPr>
            </w:pPr>
            <w:r>
              <w:rPr>
                <w:sz w:val="16"/>
                <w:szCs w:val="16"/>
              </w:rPr>
              <w:t>Congestive heart failure</w:t>
            </w:r>
          </w:p>
        </w:tc>
        <w:tc>
          <w:tcPr>
            <w:tcW w:w="0" w:type="auto"/>
          </w:tcPr>
          <w:p w14:paraId="555B1B9F">
            <w:pPr>
              <w:rPr>
                <w:sz w:val="16"/>
                <w:szCs w:val="16"/>
              </w:rPr>
            </w:pPr>
            <w:r>
              <w:rPr>
                <w:sz w:val="16"/>
                <w:szCs w:val="16"/>
              </w:rPr>
              <w:t>Confirmed diagnosis = 1; Borderline/suspect = 0.5; Absent = 0</w:t>
            </w:r>
          </w:p>
        </w:tc>
        <w:tc>
          <w:tcPr>
            <w:tcW w:w="0" w:type="auto"/>
          </w:tcPr>
          <w:p w14:paraId="233F8B83">
            <w:pPr>
              <w:rPr>
                <w:sz w:val="16"/>
                <w:szCs w:val="16"/>
              </w:rPr>
            </w:pPr>
            <w:r>
              <w:rPr>
                <w:sz w:val="16"/>
                <w:szCs w:val="16"/>
              </w:rPr>
              <w:t>Cardiovascular morbidity</w:t>
            </w:r>
          </w:p>
        </w:tc>
      </w:tr>
      <w:tr w14:paraId="25C857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34D6408">
            <w:pPr>
              <w:rPr>
                <w:sz w:val="16"/>
                <w:szCs w:val="16"/>
              </w:rPr>
            </w:pPr>
          </w:p>
        </w:tc>
        <w:tc>
          <w:tcPr>
            <w:tcW w:w="0" w:type="auto"/>
          </w:tcPr>
          <w:p w14:paraId="1B0352F6">
            <w:pPr>
              <w:rPr>
                <w:sz w:val="16"/>
                <w:szCs w:val="16"/>
              </w:rPr>
            </w:pPr>
            <w:r>
              <w:rPr>
                <w:sz w:val="16"/>
                <w:szCs w:val="16"/>
              </w:rPr>
              <w:t>29</w:t>
            </w:r>
          </w:p>
        </w:tc>
        <w:tc>
          <w:tcPr>
            <w:tcW w:w="0" w:type="auto"/>
          </w:tcPr>
          <w:p w14:paraId="699268DA">
            <w:pPr>
              <w:rPr>
                <w:sz w:val="16"/>
                <w:szCs w:val="16"/>
              </w:rPr>
            </w:pPr>
            <w:r>
              <w:rPr>
                <w:sz w:val="16"/>
                <w:szCs w:val="16"/>
              </w:rPr>
              <w:t>Coronary heart disease</w:t>
            </w:r>
          </w:p>
        </w:tc>
        <w:tc>
          <w:tcPr>
            <w:tcW w:w="0" w:type="auto"/>
          </w:tcPr>
          <w:p w14:paraId="30CD69F5">
            <w:pPr>
              <w:rPr>
                <w:sz w:val="16"/>
                <w:szCs w:val="16"/>
              </w:rPr>
            </w:pPr>
            <w:r>
              <w:rPr>
                <w:sz w:val="16"/>
                <w:szCs w:val="16"/>
              </w:rPr>
              <w:t>Confirmed diagnosis = 1; Borderline/suspect = 0.5; Absent = 0</w:t>
            </w:r>
          </w:p>
        </w:tc>
        <w:tc>
          <w:tcPr>
            <w:tcW w:w="0" w:type="auto"/>
          </w:tcPr>
          <w:p w14:paraId="5366B205">
            <w:pPr>
              <w:rPr>
                <w:sz w:val="16"/>
                <w:szCs w:val="16"/>
              </w:rPr>
            </w:pPr>
            <w:r>
              <w:rPr>
                <w:sz w:val="16"/>
                <w:szCs w:val="16"/>
              </w:rPr>
              <w:t>Cardiovascular morbidity</w:t>
            </w:r>
          </w:p>
        </w:tc>
      </w:tr>
      <w:tr w14:paraId="735B4D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1DAB30C">
            <w:pPr>
              <w:rPr>
                <w:sz w:val="16"/>
                <w:szCs w:val="16"/>
              </w:rPr>
            </w:pPr>
          </w:p>
        </w:tc>
        <w:tc>
          <w:tcPr>
            <w:tcW w:w="0" w:type="auto"/>
          </w:tcPr>
          <w:p w14:paraId="0E138E7B">
            <w:pPr>
              <w:rPr>
                <w:sz w:val="16"/>
                <w:szCs w:val="16"/>
              </w:rPr>
            </w:pPr>
            <w:r>
              <w:rPr>
                <w:sz w:val="16"/>
                <w:szCs w:val="16"/>
              </w:rPr>
              <w:t>30</w:t>
            </w:r>
          </w:p>
        </w:tc>
        <w:tc>
          <w:tcPr>
            <w:tcW w:w="0" w:type="auto"/>
          </w:tcPr>
          <w:p w14:paraId="1F4DC43A">
            <w:pPr>
              <w:rPr>
                <w:sz w:val="16"/>
                <w:szCs w:val="16"/>
              </w:rPr>
            </w:pPr>
            <w:r>
              <w:rPr>
                <w:sz w:val="16"/>
                <w:szCs w:val="16"/>
              </w:rPr>
              <w:t>Angina pectoris</w:t>
            </w:r>
          </w:p>
        </w:tc>
        <w:tc>
          <w:tcPr>
            <w:tcW w:w="0" w:type="auto"/>
          </w:tcPr>
          <w:p w14:paraId="056D99C0">
            <w:pPr>
              <w:rPr>
                <w:sz w:val="16"/>
                <w:szCs w:val="16"/>
              </w:rPr>
            </w:pPr>
            <w:r>
              <w:rPr>
                <w:sz w:val="16"/>
                <w:szCs w:val="16"/>
              </w:rPr>
              <w:t>Confirmed diagnosis = 1; Borderline/suspect = 0.5; Absent = 0</w:t>
            </w:r>
          </w:p>
        </w:tc>
        <w:tc>
          <w:tcPr>
            <w:tcW w:w="0" w:type="auto"/>
          </w:tcPr>
          <w:p w14:paraId="58B00276">
            <w:pPr>
              <w:rPr>
                <w:sz w:val="16"/>
                <w:szCs w:val="16"/>
              </w:rPr>
            </w:pPr>
            <w:r>
              <w:rPr>
                <w:sz w:val="16"/>
                <w:szCs w:val="16"/>
              </w:rPr>
              <w:t>Cardiovascular morbidity</w:t>
            </w:r>
          </w:p>
        </w:tc>
      </w:tr>
      <w:tr w14:paraId="532831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0A79995">
            <w:pPr>
              <w:rPr>
                <w:sz w:val="16"/>
                <w:szCs w:val="16"/>
              </w:rPr>
            </w:pPr>
          </w:p>
        </w:tc>
        <w:tc>
          <w:tcPr>
            <w:tcW w:w="0" w:type="auto"/>
          </w:tcPr>
          <w:p w14:paraId="08BBA2E7">
            <w:pPr>
              <w:rPr>
                <w:sz w:val="16"/>
                <w:szCs w:val="16"/>
              </w:rPr>
            </w:pPr>
            <w:r>
              <w:rPr>
                <w:sz w:val="16"/>
                <w:szCs w:val="16"/>
              </w:rPr>
              <w:t>31</w:t>
            </w:r>
          </w:p>
        </w:tc>
        <w:tc>
          <w:tcPr>
            <w:tcW w:w="0" w:type="auto"/>
          </w:tcPr>
          <w:p w14:paraId="21652D1F">
            <w:pPr>
              <w:rPr>
                <w:sz w:val="16"/>
                <w:szCs w:val="16"/>
              </w:rPr>
            </w:pPr>
            <w:r>
              <w:rPr>
                <w:sz w:val="16"/>
                <w:szCs w:val="16"/>
              </w:rPr>
              <w:t>Myocardial infarction</w:t>
            </w:r>
          </w:p>
        </w:tc>
        <w:tc>
          <w:tcPr>
            <w:tcW w:w="0" w:type="auto"/>
          </w:tcPr>
          <w:p w14:paraId="4180B064">
            <w:pPr>
              <w:rPr>
                <w:sz w:val="16"/>
                <w:szCs w:val="16"/>
              </w:rPr>
            </w:pPr>
            <w:r>
              <w:rPr>
                <w:sz w:val="16"/>
                <w:szCs w:val="16"/>
              </w:rPr>
              <w:t>Confirmed diagnosis = 1; Borderline/suspect = 0.5; Absent = 0</w:t>
            </w:r>
          </w:p>
        </w:tc>
        <w:tc>
          <w:tcPr>
            <w:tcW w:w="0" w:type="auto"/>
          </w:tcPr>
          <w:p w14:paraId="00FBB3AA">
            <w:pPr>
              <w:rPr>
                <w:sz w:val="16"/>
                <w:szCs w:val="16"/>
              </w:rPr>
            </w:pPr>
            <w:r>
              <w:rPr>
                <w:sz w:val="16"/>
                <w:szCs w:val="16"/>
              </w:rPr>
              <w:t>Cardiovascular morbidity</w:t>
            </w:r>
          </w:p>
        </w:tc>
      </w:tr>
      <w:tr w14:paraId="233F93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7F5B8A5">
            <w:pPr>
              <w:rPr>
                <w:sz w:val="16"/>
                <w:szCs w:val="16"/>
              </w:rPr>
            </w:pPr>
          </w:p>
        </w:tc>
        <w:tc>
          <w:tcPr>
            <w:tcW w:w="0" w:type="auto"/>
          </w:tcPr>
          <w:p w14:paraId="38B95BD2">
            <w:pPr>
              <w:rPr>
                <w:sz w:val="16"/>
                <w:szCs w:val="16"/>
              </w:rPr>
            </w:pPr>
            <w:r>
              <w:rPr>
                <w:sz w:val="16"/>
                <w:szCs w:val="16"/>
              </w:rPr>
              <w:t>32</w:t>
            </w:r>
          </w:p>
        </w:tc>
        <w:tc>
          <w:tcPr>
            <w:tcW w:w="0" w:type="auto"/>
          </w:tcPr>
          <w:p w14:paraId="3A0464E0">
            <w:pPr>
              <w:rPr>
                <w:sz w:val="16"/>
                <w:szCs w:val="16"/>
              </w:rPr>
            </w:pPr>
            <w:r>
              <w:rPr>
                <w:sz w:val="16"/>
                <w:szCs w:val="16"/>
              </w:rPr>
              <w:t>Stroke</w:t>
            </w:r>
          </w:p>
        </w:tc>
        <w:tc>
          <w:tcPr>
            <w:tcW w:w="0" w:type="auto"/>
          </w:tcPr>
          <w:p w14:paraId="559EBA31">
            <w:pPr>
              <w:rPr>
                <w:sz w:val="16"/>
                <w:szCs w:val="16"/>
              </w:rPr>
            </w:pPr>
            <w:r>
              <w:rPr>
                <w:sz w:val="16"/>
                <w:szCs w:val="16"/>
              </w:rPr>
              <w:t>Confirmed diagnosis = 1; Borderline/suspect = 0.5; Absent = 0</w:t>
            </w:r>
          </w:p>
        </w:tc>
        <w:tc>
          <w:tcPr>
            <w:tcW w:w="0" w:type="auto"/>
          </w:tcPr>
          <w:p w14:paraId="4559DB51">
            <w:pPr>
              <w:rPr>
                <w:sz w:val="16"/>
                <w:szCs w:val="16"/>
              </w:rPr>
            </w:pPr>
            <w:r>
              <w:rPr>
                <w:sz w:val="16"/>
                <w:szCs w:val="16"/>
              </w:rPr>
              <w:t>Cerebrovascular morbidity</w:t>
            </w:r>
          </w:p>
        </w:tc>
      </w:tr>
      <w:tr w14:paraId="7B0649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905F216">
            <w:pPr>
              <w:rPr>
                <w:sz w:val="16"/>
                <w:szCs w:val="16"/>
              </w:rPr>
            </w:pPr>
          </w:p>
        </w:tc>
        <w:tc>
          <w:tcPr>
            <w:tcW w:w="0" w:type="auto"/>
          </w:tcPr>
          <w:p w14:paraId="54252DE0">
            <w:pPr>
              <w:rPr>
                <w:sz w:val="16"/>
                <w:szCs w:val="16"/>
              </w:rPr>
            </w:pPr>
            <w:r>
              <w:rPr>
                <w:sz w:val="16"/>
                <w:szCs w:val="16"/>
              </w:rPr>
              <w:t>33</w:t>
            </w:r>
          </w:p>
        </w:tc>
        <w:tc>
          <w:tcPr>
            <w:tcW w:w="0" w:type="auto"/>
          </w:tcPr>
          <w:p w14:paraId="315DDC31">
            <w:pPr>
              <w:rPr>
                <w:sz w:val="16"/>
                <w:szCs w:val="16"/>
              </w:rPr>
            </w:pPr>
            <w:r>
              <w:rPr>
                <w:sz w:val="16"/>
                <w:szCs w:val="16"/>
              </w:rPr>
              <w:t>Hypertension</w:t>
            </w:r>
          </w:p>
        </w:tc>
        <w:tc>
          <w:tcPr>
            <w:tcW w:w="0" w:type="auto"/>
          </w:tcPr>
          <w:p w14:paraId="78D51A44">
            <w:pPr>
              <w:rPr>
                <w:sz w:val="16"/>
                <w:szCs w:val="16"/>
              </w:rPr>
            </w:pPr>
            <w:r>
              <w:rPr>
                <w:sz w:val="16"/>
                <w:szCs w:val="16"/>
              </w:rPr>
              <w:t>Confirmed diagnosis = 1; Borderline/suspect = 0.5; Absent = 0</w:t>
            </w:r>
          </w:p>
        </w:tc>
        <w:tc>
          <w:tcPr>
            <w:tcW w:w="0" w:type="auto"/>
          </w:tcPr>
          <w:p w14:paraId="225D9412">
            <w:pPr>
              <w:rPr>
                <w:sz w:val="16"/>
                <w:szCs w:val="16"/>
              </w:rPr>
            </w:pPr>
            <w:r>
              <w:rPr>
                <w:sz w:val="16"/>
                <w:szCs w:val="16"/>
              </w:rPr>
              <w:t>Cardiovascular risk factor</w:t>
            </w:r>
          </w:p>
        </w:tc>
      </w:tr>
      <w:tr w14:paraId="19D923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B43B68D">
            <w:pPr>
              <w:rPr>
                <w:sz w:val="16"/>
                <w:szCs w:val="16"/>
              </w:rPr>
            </w:pPr>
          </w:p>
        </w:tc>
        <w:tc>
          <w:tcPr>
            <w:tcW w:w="0" w:type="auto"/>
          </w:tcPr>
          <w:p w14:paraId="2FBF0BE0">
            <w:pPr>
              <w:rPr>
                <w:sz w:val="16"/>
                <w:szCs w:val="16"/>
              </w:rPr>
            </w:pPr>
            <w:r>
              <w:rPr>
                <w:sz w:val="16"/>
                <w:szCs w:val="16"/>
              </w:rPr>
              <w:t>34</w:t>
            </w:r>
          </w:p>
        </w:tc>
        <w:tc>
          <w:tcPr>
            <w:tcW w:w="0" w:type="auto"/>
          </w:tcPr>
          <w:p w14:paraId="4F37633F">
            <w:pPr>
              <w:rPr>
                <w:sz w:val="16"/>
                <w:szCs w:val="16"/>
              </w:rPr>
            </w:pPr>
            <w:r>
              <w:rPr>
                <w:sz w:val="16"/>
                <w:szCs w:val="16"/>
              </w:rPr>
              <w:t>Diabetes</w:t>
            </w:r>
          </w:p>
        </w:tc>
        <w:tc>
          <w:tcPr>
            <w:tcW w:w="0" w:type="auto"/>
          </w:tcPr>
          <w:p w14:paraId="1AE73DAF">
            <w:pPr>
              <w:rPr>
                <w:sz w:val="16"/>
                <w:szCs w:val="16"/>
              </w:rPr>
            </w:pPr>
            <w:r>
              <w:rPr>
                <w:sz w:val="16"/>
                <w:szCs w:val="16"/>
              </w:rPr>
              <w:t>Confirmed diagnosis = 1; Borderline/suspect = 0.5; Absent = 0</w:t>
            </w:r>
          </w:p>
        </w:tc>
        <w:tc>
          <w:tcPr>
            <w:tcW w:w="0" w:type="auto"/>
          </w:tcPr>
          <w:p w14:paraId="3436153A">
            <w:pPr>
              <w:rPr>
                <w:sz w:val="16"/>
                <w:szCs w:val="16"/>
              </w:rPr>
            </w:pPr>
            <w:r>
              <w:rPr>
                <w:sz w:val="16"/>
                <w:szCs w:val="16"/>
              </w:rPr>
              <w:t>Metabolic disorder</w:t>
            </w:r>
          </w:p>
        </w:tc>
      </w:tr>
      <w:tr w14:paraId="350191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A3FE949">
            <w:pPr>
              <w:rPr>
                <w:sz w:val="16"/>
                <w:szCs w:val="16"/>
              </w:rPr>
            </w:pPr>
          </w:p>
        </w:tc>
        <w:tc>
          <w:tcPr>
            <w:tcW w:w="0" w:type="auto"/>
          </w:tcPr>
          <w:p w14:paraId="40E55FA0">
            <w:pPr>
              <w:rPr>
                <w:sz w:val="16"/>
                <w:szCs w:val="16"/>
              </w:rPr>
            </w:pPr>
            <w:r>
              <w:rPr>
                <w:sz w:val="16"/>
                <w:szCs w:val="16"/>
              </w:rPr>
              <w:t>35</w:t>
            </w:r>
          </w:p>
        </w:tc>
        <w:tc>
          <w:tcPr>
            <w:tcW w:w="0" w:type="auto"/>
          </w:tcPr>
          <w:p w14:paraId="3A924941">
            <w:pPr>
              <w:rPr>
                <w:sz w:val="16"/>
                <w:szCs w:val="16"/>
              </w:rPr>
            </w:pPr>
            <w:r>
              <w:rPr>
                <w:sz w:val="16"/>
                <w:szCs w:val="16"/>
              </w:rPr>
              <w:t>Chronic kidney disease</w:t>
            </w:r>
          </w:p>
        </w:tc>
        <w:tc>
          <w:tcPr>
            <w:tcW w:w="0" w:type="auto"/>
          </w:tcPr>
          <w:p w14:paraId="19110B12">
            <w:pPr>
              <w:rPr>
                <w:sz w:val="16"/>
                <w:szCs w:val="16"/>
              </w:rPr>
            </w:pPr>
            <w:r>
              <w:rPr>
                <w:sz w:val="16"/>
                <w:szCs w:val="16"/>
              </w:rPr>
              <w:t>Confirmed diagnosis = 1; Borderline/suspect = 0.5; Absent = 0</w:t>
            </w:r>
          </w:p>
        </w:tc>
        <w:tc>
          <w:tcPr>
            <w:tcW w:w="0" w:type="auto"/>
          </w:tcPr>
          <w:p w14:paraId="3DE27DD1">
            <w:pPr>
              <w:rPr>
                <w:sz w:val="16"/>
                <w:szCs w:val="16"/>
              </w:rPr>
            </w:pPr>
            <w:r>
              <w:rPr>
                <w:sz w:val="16"/>
                <w:szCs w:val="16"/>
              </w:rPr>
              <w:t>Renal system morbidity</w:t>
            </w:r>
          </w:p>
        </w:tc>
      </w:tr>
      <w:tr w14:paraId="7DF348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830BAD4">
            <w:pPr>
              <w:rPr>
                <w:sz w:val="16"/>
                <w:szCs w:val="16"/>
              </w:rPr>
            </w:pPr>
          </w:p>
        </w:tc>
        <w:tc>
          <w:tcPr>
            <w:tcW w:w="0" w:type="auto"/>
          </w:tcPr>
          <w:p w14:paraId="207C07CC">
            <w:pPr>
              <w:rPr>
                <w:sz w:val="16"/>
                <w:szCs w:val="16"/>
              </w:rPr>
            </w:pPr>
            <w:r>
              <w:rPr>
                <w:sz w:val="16"/>
                <w:szCs w:val="16"/>
              </w:rPr>
              <w:t>36</w:t>
            </w:r>
          </w:p>
        </w:tc>
        <w:tc>
          <w:tcPr>
            <w:tcW w:w="0" w:type="auto"/>
          </w:tcPr>
          <w:p w14:paraId="5143DA1A">
            <w:pPr>
              <w:rPr>
                <w:sz w:val="16"/>
                <w:szCs w:val="16"/>
              </w:rPr>
            </w:pPr>
            <w:r>
              <w:rPr>
                <w:sz w:val="16"/>
                <w:szCs w:val="16"/>
              </w:rPr>
              <w:t>Urinary incontinence</w:t>
            </w:r>
          </w:p>
        </w:tc>
        <w:tc>
          <w:tcPr>
            <w:tcW w:w="0" w:type="auto"/>
          </w:tcPr>
          <w:p w14:paraId="3312EBBE">
            <w:pPr>
              <w:rPr>
                <w:sz w:val="16"/>
                <w:szCs w:val="16"/>
              </w:rPr>
            </w:pPr>
            <w:r>
              <w:rPr>
                <w:sz w:val="16"/>
                <w:szCs w:val="16"/>
              </w:rPr>
              <w:t>Present = 1; Borderline/suspect = 0.5; Absent = 0</w:t>
            </w:r>
          </w:p>
        </w:tc>
        <w:tc>
          <w:tcPr>
            <w:tcW w:w="0" w:type="auto"/>
          </w:tcPr>
          <w:p w14:paraId="77EA98C2">
            <w:pPr>
              <w:rPr>
                <w:sz w:val="16"/>
                <w:szCs w:val="16"/>
              </w:rPr>
            </w:pPr>
            <w:r>
              <w:rPr>
                <w:sz w:val="16"/>
                <w:szCs w:val="16"/>
              </w:rPr>
              <w:t>Genitourinary dysfunction</w:t>
            </w:r>
          </w:p>
        </w:tc>
      </w:tr>
      <w:tr w14:paraId="096418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928CB18">
            <w:pPr>
              <w:rPr>
                <w:sz w:val="16"/>
                <w:szCs w:val="16"/>
              </w:rPr>
            </w:pPr>
            <w:r>
              <w:rPr>
                <w:b/>
                <w:bCs/>
                <w:sz w:val="16"/>
                <w:szCs w:val="16"/>
              </w:rPr>
              <w:t>Healthcare Utilization and General Health Status</w:t>
            </w:r>
          </w:p>
        </w:tc>
        <w:tc>
          <w:tcPr>
            <w:tcW w:w="0" w:type="auto"/>
          </w:tcPr>
          <w:p w14:paraId="2D0448F0">
            <w:pPr>
              <w:rPr>
                <w:sz w:val="16"/>
                <w:szCs w:val="16"/>
              </w:rPr>
            </w:pPr>
          </w:p>
        </w:tc>
        <w:tc>
          <w:tcPr>
            <w:tcW w:w="0" w:type="auto"/>
          </w:tcPr>
          <w:p w14:paraId="186EE459">
            <w:pPr>
              <w:rPr>
                <w:sz w:val="16"/>
                <w:szCs w:val="16"/>
              </w:rPr>
            </w:pPr>
          </w:p>
        </w:tc>
        <w:tc>
          <w:tcPr>
            <w:tcW w:w="0" w:type="auto"/>
          </w:tcPr>
          <w:p w14:paraId="713AF6E8">
            <w:pPr>
              <w:rPr>
                <w:sz w:val="16"/>
                <w:szCs w:val="16"/>
              </w:rPr>
            </w:pPr>
          </w:p>
        </w:tc>
        <w:tc>
          <w:tcPr>
            <w:tcW w:w="0" w:type="auto"/>
          </w:tcPr>
          <w:p w14:paraId="7E1F148B">
            <w:pPr>
              <w:rPr>
                <w:sz w:val="16"/>
                <w:szCs w:val="16"/>
              </w:rPr>
            </w:pPr>
          </w:p>
        </w:tc>
      </w:tr>
      <w:tr w14:paraId="223F64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01A1C84">
            <w:pPr>
              <w:rPr>
                <w:sz w:val="16"/>
                <w:szCs w:val="16"/>
              </w:rPr>
            </w:pPr>
          </w:p>
        </w:tc>
        <w:tc>
          <w:tcPr>
            <w:tcW w:w="0" w:type="auto"/>
          </w:tcPr>
          <w:p w14:paraId="64C4CC11">
            <w:pPr>
              <w:rPr>
                <w:sz w:val="16"/>
                <w:szCs w:val="16"/>
              </w:rPr>
            </w:pPr>
            <w:r>
              <w:rPr>
                <w:sz w:val="16"/>
                <w:szCs w:val="16"/>
              </w:rPr>
              <w:t>37</w:t>
            </w:r>
          </w:p>
        </w:tc>
        <w:tc>
          <w:tcPr>
            <w:tcW w:w="0" w:type="auto"/>
          </w:tcPr>
          <w:p w14:paraId="6CD59964">
            <w:pPr>
              <w:rPr>
                <w:sz w:val="16"/>
                <w:szCs w:val="16"/>
              </w:rPr>
            </w:pPr>
            <w:r>
              <w:rPr>
                <w:sz w:val="16"/>
                <w:szCs w:val="16"/>
              </w:rPr>
              <w:t>Self-rated overall health</w:t>
            </w:r>
          </w:p>
        </w:tc>
        <w:tc>
          <w:tcPr>
            <w:tcW w:w="0" w:type="auto"/>
          </w:tcPr>
          <w:p w14:paraId="596A7CC6">
            <w:pPr>
              <w:rPr>
                <w:sz w:val="16"/>
                <w:szCs w:val="16"/>
              </w:rPr>
            </w:pPr>
            <w:r>
              <w:rPr>
                <w:sz w:val="16"/>
                <w:szCs w:val="16"/>
              </w:rPr>
              <w:t>Fair or Poor = 1; Good, Very good, or Excellent = 0</w:t>
            </w:r>
          </w:p>
        </w:tc>
        <w:tc>
          <w:tcPr>
            <w:tcW w:w="0" w:type="auto"/>
          </w:tcPr>
          <w:p w14:paraId="6541A40D">
            <w:pPr>
              <w:rPr>
                <w:sz w:val="16"/>
                <w:szCs w:val="16"/>
              </w:rPr>
            </w:pPr>
            <w:r>
              <w:rPr>
                <w:sz w:val="16"/>
                <w:szCs w:val="16"/>
              </w:rPr>
              <w:t>Subjective health perception</w:t>
            </w:r>
          </w:p>
        </w:tc>
      </w:tr>
      <w:tr w14:paraId="5EBDBE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5065EDE">
            <w:pPr>
              <w:rPr>
                <w:sz w:val="16"/>
                <w:szCs w:val="16"/>
              </w:rPr>
            </w:pPr>
          </w:p>
        </w:tc>
        <w:tc>
          <w:tcPr>
            <w:tcW w:w="0" w:type="auto"/>
          </w:tcPr>
          <w:p w14:paraId="10726DED">
            <w:pPr>
              <w:rPr>
                <w:sz w:val="16"/>
                <w:szCs w:val="16"/>
              </w:rPr>
            </w:pPr>
            <w:r>
              <w:rPr>
                <w:sz w:val="16"/>
                <w:szCs w:val="16"/>
              </w:rPr>
              <w:t>38</w:t>
            </w:r>
          </w:p>
        </w:tc>
        <w:tc>
          <w:tcPr>
            <w:tcW w:w="0" w:type="auto"/>
          </w:tcPr>
          <w:p w14:paraId="10EFD991">
            <w:pPr>
              <w:rPr>
                <w:sz w:val="16"/>
                <w:szCs w:val="16"/>
              </w:rPr>
            </w:pPr>
            <w:r>
              <w:rPr>
                <w:sz w:val="16"/>
                <w:szCs w:val="16"/>
              </w:rPr>
              <w:t>Health compared to one year ago</w:t>
            </w:r>
          </w:p>
        </w:tc>
        <w:tc>
          <w:tcPr>
            <w:tcW w:w="0" w:type="auto"/>
          </w:tcPr>
          <w:p w14:paraId="5C7A598E">
            <w:pPr>
              <w:rPr>
                <w:sz w:val="16"/>
                <w:szCs w:val="16"/>
              </w:rPr>
            </w:pPr>
            <w:r>
              <w:rPr>
                <w:sz w:val="16"/>
                <w:szCs w:val="16"/>
              </w:rPr>
              <w:t>Worse = 1; Same or Better = 0</w:t>
            </w:r>
          </w:p>
        </w:tc>
        <w:tc>
          <w:tcPr>
            <w:tcW w:w="0" w:type="auto"/>
          </w:tcPr>
          <w:p w14:paraId="5CCA7A2C">
            <w:pPr>
              <w:rPr>
                <w:sz w:val="16"/>
                <w:szCs w:val="16"/>
              </w:rPr>
            </w:pPr>
            <w:r>
              <w:rPr>
                <w:sz w:val="16"/>
                <w:szCs w:val="16"/>
              </w:rPr>
              <w:t>Health trajectory indicator</w:t>
            </w:r>
          </w:p>
        </w:tc>
      </w:tr>
      <w:tr w14:paraId="45A74D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04DAFFE">
            <w:pPr>
              <w:rPr>
                <w:sz w:val="16"/>
                <w:szCs w:val="16"/>
              </w:rPr>
            </w:pPr>
          </w:p>
        </w:tc>
        <w:tc>
          <w:tcPr>
            <w:tcW w:w="0" w:type="auto"/>
          </w:tcPr>
          <w:p w14:paraId="2F655DDE">
            <w:pPr>
              <w:rPr>
                <w:sz w:val="16"/>
                <w:szCs w:val="16"/>
              </w:rPr>
            </w:pPr>
            <w:r>
              <w:rPr>
                <w:sz w:val="16"/>
                <w:szCs w:val="16"/>
              </w:rPr>
              <w:t>39</w:t>
            </w:r>
          </w:p>
        </w:tc>
        <w:tc>
          <w:tcPr>
            <w:tcW w:w="0" w:type="auto"/>
          </w:tcPr>
          <w:p w14:paraId="5ECEE922">
            <w:pPr>
              <w:rPr>
                <w:sz w:val="16"/>
                <w:szCs w:val="16"/>
              </w:rPr>
            </w:pPr>
            <w:r>
              <w:rPr>
                <w:sz w:val="16"/>
                <w:szCs w:val="16"/>
              </w:rPr>
              <w:t>Hospitalization in past 12 months</w:t>
            </w:r>
          </w:p>
        </w:tc>
        <w:tc>
          <w:tcPr>
            <w:tcW w:w="0" w:type="auto"/>
          </w:tcPr>
          <w:p w14:paraId="42D2B53D">
            <w:pPr>
              <w:rPr>
                <w:sz w:val="16"/>
                <w:szCs w:val="16"/>
              </w:rPr>
            </w:pPr>
            <w:r>
              <w:rPr>
                <w:sz w:val="16"/>
                <w:szCs w:val="16"/>
              </w:rPr>
              <w:t>Yes = 1; No = 0</w:t>
            </w:r>
          </w:p>
        </w:tc>
        <w:tc>
          <w:tcPr>
            <w:tcW w:w="0" w:type="auto"/>
          </w:tcPr>
          <w:p w14:paraId="287FB09D">
            <w:pPr>
              <w:rPr>
                <w:sz w:val="16"/>
                <w:szCs w:val="16"/>
              </w:rPr>
            </w:pPr>
            <w:r>
              <w:rPr>
                <w:sz w:val="16"/>
                <w:szCs w:val="16"/>
              </w:rPr>
              <w:t>Healthcare utilization and acute illness</w:t>
            </w:r>
          </w:p>
        </w:tc>
      </w:tr>
      <w:tr w14:paraId="4C9FE6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E5518DE">
            <w:pPr>
              <w:rPr>
                <w:sz w:val="16"/>
                <w:szCs w:val="16"/>
              </w:rPr>
            </w:pPr>
          </w:p>
        </w:tc>
        <w:tc>
          <w:tcPr>
            <w:tcW w:w="0" w:type="auto"/>
          </w:tcPr>
          <w:p w14:paraId="61A7CFAB">
            <w:pPr>
              <w:rPr>
                <w:sz w:val="16"/>
                <w:szCs w:val="16"/>
              </w:rPr>
            </w:pPr>
            <w:r>
              <w:rPr>
                <w:sz w:val="16"/>
                <w:szCs w:val="16"/>
              </w:rPr>
              <w:t>40</w:t>
            </w:r>
          </w:p>
        </w:tc>
        <w:tc>
          <w:tcPr>
            <w:tcW w:w="0" w:type="auto"/>
          </w:tcPr>
          <w:p w14:paraId="7DD6B6D9">
            <w:pPr>
              <w:rPr>
                <w:sz w:val="16"/>
                <w:szCs w:val="16"/>
              </w:rPr>
            </w:pPr>
            <w:r>
              <w:rPr>
                <w:sz w:val="16"/>
                <w:szCs w:val="16"/>
              </w:rPr>
              <w:t>Healthcare visits in past year</w:t>
            </w:r>
          </w:p>
        </w:tc>
        <w:tc>
          <w:tcPr>
            <w:tcW w:w="0" w:type="auto"/>
          </w:tcPr>
          <w:p w14:paraId="313199F8">
            <w:pPr>
              <w:rPr>
                <w:sz w:val="16"/>
                <w:szCs w:val="16"/>
              </w:rPr>
            </w:pPr>
            <w:r>
              <w:rPr>
                <w:sz w:val="16"/>
                <w:szCs w:val="16"/>
              </w:rPr>
              <w:t>None = 0; 1-5 visits = 0.5; &gt;5 visits = 1</w:t>
            </w:r>
          </w:p>
        </w:tc>
        <w:tc>
          <w:tcPr>
            <w:tcW w:w="0" w:type="auto"/>
          </w:tcPr>
          <w:p w14:paraId="56EC91BD">
            <w:pPr>
              <w:rPr>
                <w:sz w:val="16"/>
                <w:szCs w:val="16"/>
              </w:rPr>
            </w:pPr>
            <w:r>
              <w:rPr>
                <w:sz w:val="16"/>
                <w:szCs w:val="16"/>
              </w:rPr>
              <w:t>Healthcare service utilization pattern</w:t>
            </w:r>
          </w:p>
        </w:tc>
      </w:tr>
      <w:tr w14:paraId="1729A1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D6A5E06">
            <w:pPr>
              <w:rPr>
                <w:sz w:val="16"/>
                <w:szCs w:val="16"/>
              </w:rPr>
            </w:pPr>
          </w:p>
        </w:tc>
        <w:tc>
          <w:tcPr>
            <w:tcW w:w="0" w:type="auto"/>
          </w:tcPr>
          <w:p w14:paraId="64A5DCCD">
            <w:pPr>
              <w:rPr>
                <w:sz w:val="16"/>
                <w:szCs w:val="16"/>
              </w:rPr>
            </w:pPr>
            <w:r>
              <w:rPr>
                <w:sz w:val="16"/>
                <w:szCs w:val="16"/>
              </w:rPr>
              <w:t>41</w:t>
            </w:r>
          </w:p>
        </w:tc>
        <w:tc>
          <w:tcPr>
            <w:tcW w:w="0" w:type="auto"/>
          </w:tcPr>
          <w:p w14:paraId="4A148F65">
            <w:pPr>
              <w:rPr>
                <w:sz w:val="16"/>
                <w:szCs w:val="16"/>
              </w:rPr>
            </w:pPr>
            <w:r>
              <w:rPr>
                <w:sz w:val="16"/>
                <w:szCs w:val="16"/>
              </w:rPr>
              <w:t>Number of prescription medications</w:t>
            </w:r>
          </w:p>
        </w:tc>
        <w:tc>
          <w:tcPr>
            <w:tcW w:w="0" w:type="auto"/>
          </w:tcPr>
          <w:p w14:paraId="11CDF740">
            <w:pPr>
              <w:rPr>
                <w:sz w:val="16"/>
                <w:szCs w:val="16"/>
              </w:rPr>
            </w:pPr>
            <w:r>
              <w:rPr>
                <w:sz w:val="16"/>
                <w:szCs w:val="16"/>
              </w:rPr>
              <w:t>None = 0; 1-4 medications = 0.5; ≥5 medications = 1</w:t>
            </w:r>
          </w:p>
        </w:tc>
        <w:tc>
          <w:tcPr>
            <w:tcW w:w="0" w:type="auto"/>
          </w:tcPr>
          <w:p w14:paraId="259318C2">
            <w:pPr>
              <w:rPr>
                <w:sz w:val="16"/>
                <w:szCs w:val="16"/>
              </w:rPr>
            </w:pPr>
            <w:r>
              <w:rPr>
                <w:sz w:val="16"/>
                <w:szCs w:val="16"/>
              </w:rPr>
              <w:t>Polypharmacy and disease burden</w:t>
            </w:r>
          </w:p>
        </w:tc>
      </w:tr>
      <w:tr w14:paraId="6E519E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3216E24">
            <w:pPr>
              <w:rPr>
                <w:sz w:val="16"/>
                <w:szCs w:val="16"/>
              </w:rPr>
            </w:pPr>
            <w:r>
              <w:rPr>
                <w:b/>
                <w:bCs/>
                <w:sz w:val="16"/>
                <w:szCs w:val="16"/>
              </w:rPr>
              <w:t>Physical Performance and Anthropometric Measures</w:t>
            </w:r>
          </w:p>
        </w:tc>
        <w:tc>
          <w:tcPr>
            <w:tcW w:w="0" w:type="auto"/>
          </w:tcPr>
          <w:p w14:paraId="248B3BBD">
            <w:pPr>
              <w:rPr>
                <w:sz w:val="16"/>
                <w:szCs w:val="16"/>
              </w:rPr>
            </w:pPr>
          </w:p>
        </w:tc>
        <w:tc>
          <w:tcPr>
            <w:tcW w:w="0" w:type="auto"/>
          </w:tcPr>
          <w:p w14:paraId="0C7F8147">
            <w:pPr>
              <w:rPr>
                <w:sz w:val="16"/>
                <w:szCs w:val="16"/>
              </w:rPr>
            </w:pPr>
          </w:p>
        </w:tc>
        <w:tc>
          <w:tcPr>
            <w:tcW w:w="0" w:type="auto"/>
          </w:tcPr>
          <w:p w14:paraId="128F3C70">
            <w:pPr>
              <w:rPr>
                <w:sz w:val="16"/>
                <w:szCs w:val="16"/>
              </w:rPr>
            </w:pPr>
          </w:p>
        </w:tc>
        <w:tc>
          <w:tcPr>
            <w:tcW w:w="0" w:type="auto"/>
          </w:tcPr>
          <w:p w14:paraId="1C0E5EA5">
            <w:pPr>
              <w:rPr>
                <w:sz w:val="16"/>
                <w:szCs w:val="16"/>
              </w:rPr>
            </w:pPr>
          </w:p>
        </w:tc>
      </w:tr>
      <w:tr w14:paraId="5B608B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C2C4F0D">
            <w:pPr>
              <w:rPr>
                <w:sz w:val="16"/>
                <w:szCs w:val="16"/>
              </w:rPr>
            </w:pPr>
          </w:p>
        </w:tc>
        <w:tc>
          <w:tcPr>
            <w:tcW w:w="0" w:type="auto"/>
          </w:tcPr>
          <w:p w14:paraId="5AE17153">
            <w:pPr>
              <w:rPr>
                <w:sz w:val="16"/>
                <w:szCs w:val="16"/>
              </w:rPr>
            </w:pPr>
            <w:r>
              <w:rPr>
                <w:sz w:val="16"/>
                <w:szCs w:val="16"/>
              </w:rPr>
              <w:t>42</w:t>
            </w:r>
          </w:p>
        </w:tc>
        <w:tc>
          <w:tcPr>
            <w:tcW w:w="0" w:type="auto"/>
          </w:tcPr>
          <w:p w14:paraId="15C5618F">
            <w:pPr>
              <w:rPr>
                <w:sz w:val="16"/>
                <w:szCs w:val="16"/>
              </w:rPr>
            </w:pPr>
            <w:r>
              <w:rPr>
                <w:sz w:val="16"/>
                <w:szCs w:val="16"/>
              </w:rPr>
              <w:t>Body mass index (kg/m²)</w:t>
            </w:r>
          </w:p>
        </w:tc>
        <w:tc>
          <w:tcPr>
            <w:tcW w:w="0" w:type="auto"/>
          </w:tcPr>
          <w:p w14:paraId="503C6DB6">
            <w:pPr>
              <w:rPr>
                <w:sz w:val="16"/>
                <w:szCs w:val="16"/>
              </w:rPr>
            </w:pPr>
            <w:r>
              <w:rPr>
                <w:sz w:val="16"/>
                <w:szCs w:val="16"/>
              </w:rPr>
              <w:t>&lt;18.5 or ≥30 = 1; 25.0-29.9 = 0.5; 18.5-24.9 = 0</w:t>
            </w:r>
          </w:p>
        </w:tc>
        <w:tc>
          <w:tcPr>
            <w:tcW w:w="0" w:type="auto"/>
          </w:tcPr>
          <w:p w14:paraId="3949B2E3">
            <w:pPr>
              <w:rPr>
                <w:sz w:val="16"/>
                <w:szCs w:val="16"/>
              </w:rPr>
            </w:pPr>
            <w:r>
              <w:rPr>
                <w:sz w:val="16"/>
                <w:szCs w:val="16"/>
              </w:rPr>
              <w:t>Malnutrition or obesity indicator</w:t>
            </w:r>
          </w:p>
        </w:tc>
      </w:tr>
      <w:tr w14:paraId="212711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1C72518">
            <w:pPr>
              <w:rPr>
                <w:sz w:val="16"/>
                <w:szCs w:val="16"/>
              </w:rPr>
            </w:pPr>
          </w:p>
        </w:tc>
        <w:tc>
          <w:tcPr>
            <w:tcW w:w="0" w:type="auto"/>
          </w:tcPr>
          <w:p w14:paraId="6FE6DFF5">
            <w:pPr>
              <w:rPr>
                <w:sz w:val="16"/>
                <w:szCs w:val="16"/>
              </w:rPr>
            </w:pPr>
            <w:r>
              <w:rPr>
                <w:sz w:val="16"/>
                <w:szCs w:val="16"/>
              </w:rPr>
              <w:t>43</w:t>
            </w:r>
          </w:p>
        </w:tc>
        <w:tc>
          <w:tcPr>
            <w:tcW w:w="0" w:type="auto"/>
          </w:tcPr>
          <w:p w14:paraId="072ABCD5">
            <w:pPr>
              <w:rPr>
                <w:sz w:val="16"/>
                <w:szCs w:val="16"/>
              </w:rPr>
            </w:pPr>
            <w:r>
              <w:rPr>
                <w:sz w:val="16"/>
                <w:szCs w:val="16"/>
              </w:rPr>
              <w:t>Handgrip strength (kg)ᵃ</w:t>
            </w:r>
          </w:p>
        </w:tc>
        <w:tc>
          <w:tcPr>
            <w:tcW w:w="0" w:type="auto"/>
          </w:tcPr>
          <w:p w14:paraId="0D9AF08D">
            <w:pPr>
              <w:rPr>
                <w:sz w:val="16"/>
                <w:szCs w:val="16"/>
              </w:rPr>
            </w:pPr>
            <w:r>
              <w:rPr>
                <w:sz w:val="16"/>
                <w:szCs w:val="16"/>
              </w:rPr>
              <w:t>Below sex- and BMI-specific cutoff = 1; At or above cutoff = 0</w:t>
            </w:r>
          </w:p>
        </w:tc>
        <w:tc>
          <w:tcPr>
            <w:tcW w:w="0" w:type="auto"/>
          </w:tcPr>
          <w:p w14:paraId="0C0B1B68">
            <w:pPr>
              <w:rPr>
                <w:sz w:val="16"/>
                <w:szCs w:val="16"/>
              </w:rPr>
            </w:pPr>
            <w:r>
              <w:rPr>
                <w:sz w:val="16"/>
                <w:szCs w:val="16"/>
              </w:rPr>
              <w:t>Muscle strength and physical frailty</w:t>
            </w:r>
          </w:p>
        </w:tc>
      </w:tr>
      <w:tr w14:paraId="1CAA88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2D7B949">
            <w:pPr>
              <w:rPr>
                <w:sz w:val="16"/>
                <w:szCs w:val="16"/>
              </w:rPr>
            </w:pPr>
            <w:r>
              <w:rPr>
                <w:b/>
                <w:bCs/>
                <w:sz w:val="16"/>
                <w:szCs w:val="16"/>
              </w:rPr>
              <w:t>Laboratory Parameters</w:t>
            </w:r>
          </w:p>
        </w:tc>
        <w:tc>
          <w:tcPr>
            <w:tcW w:w="0" w:type="auto"/>
          </w:tcPr>
          <w:p w14:paraId="58EC1889">
            <w:pPr>
              <w:rPr>
                <w:sz w:val="16"/>
                <w:szCs w:val="16"/>
              </w:rPr>
            </w:pPr>
          </w:p>
        </w:tc>
        <w:tc>
          <w:tcPr>
            <w:tcW w:w="0" w:type="auto"/>
          </w:tcPr>
          <w:p w14:paraId="747612B6">
            <w:pPr>
              <w:rPr>
                <w:sz w:val="16"/>
                <w:szCs w:val="16"/>
              </w:rPr>
            </w:pPr>
          </w:p>
        </w:tc>
        <w:tc>
          <w:tcPr>
            <w:tcW w:w="0" w:type="auto"/>
          </w:tcPr>
          <w:p w14:paraId="70B8D33D">
            <w:pPr>
              <w:rPr>
                <w:sz w:val="16"/>
                <w:szCs w:val="16"/>
              </w:rPr>
            </w:pPr>
          </w:p>
        </w:tc>
        <w:tc>
          <w:tcPr>
            <w:tcW w:w="0" w:type="auto"/>
          </w:tcPr>
          <w:p w14:paraId="7D8CC690">
            <w:pPr>
              <w:rPr>
                <w:sz w:val="16"/>
                <w:szCs w:val="16"/>
              </w:rPr>
            </w:pPr>
          </w:p>
        </w:tc>
      </w:tr>
      <w:tr w14:paraId="2C4E57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54F48D6">
            <w:pPr>
              <w:rPr>
                <w:sz w:val="16"/>
                <w:szCs w:val="16"/>
              </w:rPr>
            </w:pPr>
          </w:p>
        </w:tc>
        <w:tc>
          <w:tcPr>
            <w:tcW w:w="0" w:type="auto"/>
          </w:tcPr>
          <w:p w14:paraId="5DAA1933">
            <w:pPr>
              <w:rPr>
                <w:sz w:val="16"/>
                <w:szCs w:val="16"/>
              </w:rPr>
            </w:pPr>
            <w:r>
              <w:rPr>
                <w:sz w:val="16"/>
                <w:szCs w:val="16"/>
              </w:rPr>
              <w:t>44</w:t>
            </w:r>
          </w:p>
        </w:tc>
        <w:tc>
          <w:tcPr>
            <w:tcW w:w="0" w:type="auto"/>
          </w:tcPr>
          <w:p w14:paraId="6195A319">
            <w:pPr>
              <w:rPr>
                <w:sz w:val="16"/>
                <w:szCs w:val="16"/>
              </w:rPr>
            </w:pPr>
            <w:r>
              <w:rPr>
                <w:sz w:val="16"/>
                <w:szCs w:val="16"/>
              </w:rPr>
              <w:t>Glycated hemoglobin (%)</w:t>
            </w:r>
          </w:p>
        </w:tc>
        <w:tc>
          <w:tcPr>
            <w:tcW w:w="0" w:type="auto"/>
          </w:tcPr>
          <w:p w14:paraId="449EF3A9">
            <w:pPr>
              <w:rPr>
                <w:sz w:val="16"/>
                <w:szCs w:val="16"/>
              </w:rPr>
            </w:pPr>
            <w:r>
              <w:rPr>
                <w:sz w:val="16"/>
                <w:szCs w:val="16"/>
              </w:rPr>
              <w:t>&gt;5.7% = 1; ≤5.7% = 0</w:t>
            </w:r>
          </w:p>
        </w:tc>
        <w:tc>
          <w:tcPr>
            <w:tcW w:w="0" w:type="auto"/>
          </w:tcPr>
          <w:p w14:paraId="20F684B8">
            <w:pPr>
              <w:rPr>
                <w:sz w:val="16"/>
                <w:szCs w:val="16"/>
              </w:rPr>
            </w:pPr>
            <w:r>
              <w:rPr>
                <w:sz w:val="16"/>
                <w:szCs w:val="16"/>
              </w:rPr>
              <w:t>Dysglycemia and diabetes risk</w:t>
            </w:r>
          </w:p>
        </w:tc>
      </w:tr>
      <w:tr w14:paraId="45C53F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46D1BEE">
            <w:pPr>
              <w:rPr>
                <w:sz w:val="16"/>
                <w:szCs w:val="16"/>
              </w:rPr>
            </w:pPr>
          </w:p>
        </w:tc>
        <w:tc>
          <w:tcPr>
            <w:tcW w:w="0" w:type="auto"/>
          </w:tcPr>
          <w:p w14:paraId="78D54D61">
            <w:pPr>
              <w:rPr>
                <w:sz w:val="16"/>
                <w:szCs w:val="16"/>
              </w:rPr>
            </w:pPr>
            <w:r>
              <w:rPr>
                <w:sz w:val="16"/>
                <w:szCs w:val="16"/>
              </w:rPr>
              <w:t>45</w:t>
            </w:r>
          </w:p>
        </w:tc>
        <w:tc>
          <w:tcPr>
            <w:tcW w:w="0" w:type="auto"/>
          </w:tcPr>
          <w:p w14:paraId="2A066CDD">
            <w:pPr>
              <w:rPr>
                <w:sz w:val="16"/>
                <w:szCs w:val="16"/>
              </w:rPr>
            </w:pPr>
            <w:r>
              <w:rPr>
                <w:sz w:val="16"/>
                <w:szCs w:val="16"/>
              </w:rPr>
              <w:t>Red blood cell count (×10⁶/μL)</w:t>
            </w:r>
          </w:p>
        </w:tc>
        <w:tc>
          <w:tcPr>
            <w:tcW w:w="0" w:type="auto"/>
          </w:tcPr>
          <w:p w14:paraId="538B200B">
            <w:pPr>
              <w:rPr>
                <w:sz w:val="16"/>
                <w:szCs w:val="16"/>
              </w:rPr>
            </w:pPr>
            <w:r>
              <w:rPr>
                <w:sz w:val="16"/>
                <w:szCs w:val="16"/>
              </w:rPr>
              <w:t>Outside normal rangeᵇ = 1; Within normal range = 0</w:t>
            </w:r>
          </w:p>
        </w:tc>
        <w:tc>
          <w:tcPr>
            <w:tcW w:w="0" w:type="auto"/>
          </w:tcPr>
          <w:p w14:paraId="1B5923F5">
            <w:pPr>
              <w:rPr>
                <w:sz w:val="16"/>
                <w:szCs w:val="16"/>
              </w:rPr>
            </w:pPr>
            <w:r>
              <w:rPr>
                <w:sz w:val="16"/>
                <w:szCs w:val="16"/>
              </w:rPr>
              <w:t>Anemia or polycythemia</w:t>
            </w:r>
          </w:p>
        </w:tc>
      </w:tr>
      <w:tr w14:paraId="46FDCE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3B1A49E2">
            <w:pPr>
              <w:rPr>
                <w:sz w:val="16"/>
                <w:szCs w:val="16"/>
              </w:rPr>
            </w:pPr>
          </w:p>
        </w:tc>
        <w:tc>
          <w:tcPr>
            <w:tcW w:w="0" w:type="auto"/>
          </w:tcPr>
          <w:p w14:paraId="7A9145EE">
            <w:pPr>
              <w:rPr>
                <w:sz w:val="16"/>
                <w:szCs w:val="16"/>
              </w:rPr>
            </w:pPr>
            <w:r>
              <w:rPr>
                <w:sz w:val="16"/>
                <w:szCs w:val="16"/>
              </w:rPr>
              <w:t>46</w:t>
            </w:r>
          </w:p>
        </w:tc>
        <w:tc>
          <w:tcPr>
            <w:tcW w:w="0" w:type="auto"/>
          </w:tcPr>
          <w:p w14:paraId="3234ABB4">
            <w:pPr>
              <w:rPr>
                <w:sz w:val="16"/>
                <w:szCs w:val="16"/>
              </w:rPr>
            </w:pPr>
            <w:r>
              <w:rPr>
                <w:sz w:val="16"/>
                <w:szCs w:val="16"/>
              </w:rPr>
              <w:t>Hemoglobin (g/dL)</w:t>
            </w:r>
          </w:p>
        </w:tc>
        <w:tc>
          <w:tcPr>
            <w:tcW w:w="0" w:type="auto"/>
          </w:tcPr>
          <w:p w14:paraId="29ABF621">
            <w:pPr>
              <w:rPr>
                <w:sz w:val="16"/>
                <w:szCs w:val="16"/>
              </w:rPr>
            </w:pPr>
            <w:r>
              <w:rPr>
                <w:sz w:val="16"/>
                <w:szCs w:val="16"/>
              </w:rPr>
              <w:t>Outside normal rangeᶜ = 1; Within normal range = 0</w:t>
            </w:r>
          </w:p>
        </w:tc>
        <w:tc>
          <w:tcPr>
            <w:tcW w:w="0" w:type="auto"/>
          </w:tcPr>
          <w:p w14:paraId="450E0C61">
            <w:pPr>
              <w:rPr>
                <w:sz w:val="16"/>
                <w:szCs w:val="16"/>
              </w:rPr>
            </w:pPr>
            <w:r>
              <w:rPr>
                <w:sz w:val="16"/>
                <w:szCs w:val="16"/>
              </w:rPr>
              <w:t>Oxygen-carrying capacity</w:t>
            </w:r>
          </w:p>
        </w:tc>
      </w:tr>
      <w:tr w14:paraId="05F191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1E8594D">
            <w:pPr>
              <w:rPr>
                <w:sz w:val="16"/>
                <w:szCs w:val="16"/>
              </w:rPr>
            </w:pPr>
          </w:p>
        </w:tc>
        <w:tc>
          <w:tcPr>
            <w:tcW w:w="0" w:type="auto"/>
          </w:tcPr>
          <w:p w14:paraId="19B68D0E">
            <w:pPr>
              <w:rPr>
                <w:sz w:val="16"/>
                <w:szCs w:val="16"/>
              </w:rPr>
            </w:pPr>
            <w:r>
              <w:rPr>
                <w:sz w:val="16"/>
                <w:szCs w:val="16"/>
              </w:rPr>
              <w:t>47</w:t>
            </w:r>
          </w:p>
        </w:tc>
        <w:tc>
          <w:tcPr>
            <w:tcW w:w="0" w:type="auto"/>
          </w:tcPr>
          <w:p w14:paraId="0B4E20C4">
            <w:pPr>
              <w:rPr>
                <w:sz w:val="16"/>
                <w:szCs w:val="16"/>
              </w:rPr>
            </w:pPr>
            <w:r>
              <w:rPr>
                <w:sz w:val="16"/>
                <w:szCs w:val="16"/>
              </w:rPr>
              <w:t>Red cell distribution width (%)</w:t>
            </w:r>
          </w:p>
        </w:tc>
        <w:tc>
          <w:tcPr>
            <w:tcW w:w="0" w:type="auto"/>
          </w:tcPr>
          <w:p w14:paraId="4F4BA80A">
            <w:pPr>
              <w:rPr>
                <w:sz w:val="16"/>
                <w:szCs w:val="16"/>
              </w:rPr>
            </w:pPr>
            <w:r>
              <w:rPr>
                <w:sz w:val="16"/>
                <w:szCs w:val="16"/>
              </w:rPr>
              <w:t>&lt;11.6% or &gt;14.6% = 1; 11.6-14.6% = 0</w:t>
            </w:r>
          </w:p>
        </w:tc>
        <w:tc>
          <w:tcPr>
            <w:tcW w:w="0" w:type="auto"/>
          </w:tcPr>
          <w:p w14:paraId="247A6140">
            <w:pPr>
              <w:rPr>
                <w:sz w:val="16"/>
                <w:szCs w:val="16"/>
              </w:rPr>
            </w:pPr>
            <w:r>
              <w:rPr>
                <w:sz w:val="16"/>
                <w:szCs w:val="16"/>
              </w:rPr>
              <w:t>RBC size variability, inflammatory marker</w:t>
            </w:r>
          </w:p>
        </w:tc>
      </w:tr>
      <w:tr w14:paraId="585F7C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nil"/>
            </w:tcBorders>
          </w:tcPr>
          <w:p w14:paraId="1F552C35">
            <w:pPr>
              <w:rPr>
                <w:sz w:val="16"/>
                <w:szCs w:val="16"/>
              </w:rPr>
            </w:pPr>
          </w:p>
        </w:tc>
        <w:tc>
          <w:tcPr>
            <w:tcW w:w="0" w:type="auto"/>
            <w:tcBorders>
              <w:bottom w:val="nil"/>
            </w:tcBorders>
          </w:tcPr>
          <w:p w14:paraId="218DBA5B">
            <w:pPr>
              <w:rPr>
                <w:sz w:val="16"/>
                <w:szCs w:val="16"/>
              </w:rPr>
            </w:pPr>
            <w:r>
              <w:rPr>
                <w:sz w:val="16"/>
                <w:szCs w:val="16"/>
              </w:rPr>
              <w:t>48</w:t>
            </w:r>
          </w:p>
        </w:tc>
        <w:tc>
          <w:tcPr>
            <w:tcW w:w="0" w:type="auto"/>
            <w:tcBorders>
              <w:bottom w:val="nil"/>
            </w:tcBorders>
          </w:tcPr>
          <w:p w14:paraId="55330B60">
            <w:pPr>
              <w:rPr>
                <w:sz w:val="16"/>
                <w:szCs w:val="16"/>
              </w:rPr>
            </w:pPr>
            <w:r>
              <w:rPr>
                <w:sz w:val="16"/>
                <w:szCs w:val="16"/>
              </w:rPr>
              <w:t>Lymphocyte percentage (%)</w:t>
            </w:r>
          </w:p>
        </w:tc>
        <w:tc>
          <w:tcPr>
            <w:tcW w:w="0" w:type="auto"/>
            <w:tcBorders>
              <w:bottom w:val="nil"/>
            </w:tcBorders>
          </w:tcPr>
          <w:p w14:paraId="2248454F">
            <w:pPr>
              <w:rPr>
                <w:sz w:val="16"/>
                <w:szCs w:val="16"/>
              </w:rPr>
            </w:pPr>
            <w:r>
              <w:rPr>
                <w:sz w:val="16"/>
                <w:szCs w:val="16"/>
              </w:rPr>
              <w:t>&lt;20% or &gt;40% = 1; 20-40% = 0</w:t>
            </w:r>
          </w:p>
        </w:tc>
        <w:tc>
          <w:tcPr>
            <w:tcW w:w="0" w:type="auto"/>
            <w:tcBorders>
              <w:bottom w:val="nil"/>
            </w:tcBorders>
          </w:tcPr>
          <w:p w14:paraId="49979C99">
            <w:pPr>
              <w:rPr>
                <w:sz w:val="16"/>
                <w:szCs w:val="16"/>
              </w:rPr>
            </w:pPr>
            <w:r>
              <w:rPr>
                <w:sz w:val="16"/>
                <w:szCs w:val="16"/>
              </w:rPr>
              <w:t>Immune function indicator</w:t>
            </w:r>
          </w:p>
        </w:tc>
      </w:tr>
      <w:tr w14:paraId="667974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nil"/>
              <w:bottom w:val="single" w:color="auto" w:sz="12" w:space="0"/>
            </w:tcBorders>
          </w:tcPr>
          <w:p w14:paraId="623A7820">
            <w:pPr>
              <w:rPr>
                <w:sz w:val="16"/>
                <w:szCs w:val="16"/>
              </w:rPr>
            </w:pPr>
          </w:p>
        </w:tc>
        <w:tc>
          <w:tcPr>
            <w:tcW w:w="0" w:type="auto"/>
            <w:tcBorders>
              <w:top w:val="nil"/>
              <w:bottom w:val="single" w:color="auto" w:sz="12" w:space="0"/>
            </w:tcBorders>
          </w:tcPr>
          <w:p w14:paraId="781F5F54">
            <w:pPr>
              <w:rPr>
                <w:sz w:val="16"/>
                <w:szCs w:val="16"/>
              </w:rPr>
            </w:pPr>
            <w:r>
              <w:rPr>
                <w:sz w:val="16"/>
                <w:szCs w:val="16"/>
              </w:rPr>
              <w:t>49</w:t>
            </w:r>
          </w:p>
        </w:tc>
        <w:tc>
          <w:tcPr>
            <w:tcW w:w="0" w:type="auto"/>
            <w:tcBorders>
              <w:top w:val="nil"/>
              <w:bottom w:val="single" w:color="auto" w:sz="12" w:space="0"/>
            </w:tcBorders>
          </w:tcPr>
          <w:p w14:paraId="66991572">
            <w:pPr>
              <w:rPr>
                <w:sz w:val="16"/>
                <w:szCs w:val="16"/>
              </w:rPr>
            </w:pPr>
            <w:r>
              <w:rPr>
                <w:sz w:val="16"/>
                <w:szCs w:val="16"/>
              </w:rPr>
              <w:t>Neutrophil percentage (%)</w:t>
            </w:r>
          </w:p>
        </w:tc>
        <w:tc>
          <w:tcPr>
            <w:tcW w:w="0" w:type="auto"/>
            <w:tcBorders>
              <w:top w:val="nil"/>
              <w:bottom w:val="single" w:color="auto" w:sz="12" w:space="0"/>
            </w:tcBorders>
          </w:tcPr>
          <w:p w14:paraId="19D8A10A">
            <w:pPr>
              <w:rPr>
                <w:sz w:val="16"/>
                <w:szCs w:val="16"/>
              </w:rPr>
            </w:pPr>
            <w:r>
              <w:rPr>
                <w:sz w:val="16"/>
                <w:szCs w:val="16"/>
              </w:rPr>
              <w:t>&lt;40% or &gt;80% = 1; 40-80% = 0</w:t>
            </w:r>
          </w:p>
        </w:tc>
        <w:tc>
          <w:tcPr>
            <w:tcW w:w="0" w:type="auto"/>
            <w:tcBorders>
              <w:top w:val="nil"/>
              <w:bottom w:val="single" w:color="auto" w:sz="12" w:space="0"/>
            </w:tcBorders>
          </w:tcPr>
          <w:p w14:paraId="26A6C251">
            <w:pPr>
              <w:rPr>
                <w:sz w:val="16"/>
                <w:szCs w:val="16"/>
              </w:rPr>
            </w:pPr>
            <w:r>
              <w:rPr>
                <w:sz w:val="16"/>
                <w:szCs w:val="16"/>
              </w:rPr>
              <w:t>Inflammatory/immune response</w:t>
            </w:r>
          </w:p>
        </w:tc>
      </w:tr>
    </w:tbl>
    <w:p w14:paraId="5C74024A">
      <w:pPr>
        <w:rPr>
          <w:b/>
          <w:bCs/>
        </w:rPr>
      </w:pPr>
      <w:r>
        <w:rPr>
          <w:b/>
          <w:bCs/>
        </w:rPr>
        <w:t>Footnotes:</w:t>
      </w:r>
    </w:p>
    <w:p w14:paraId="6988AD6B">
      <w:r>
        <w:t>FI was calculated as the ratio of deficits present to the total number of variables (49 items), with scores ranging from 0 to 1.</w:t>
      </w:r>
    </w:p>
    <w:p w14:paraId="3B71C839">
      <w:r>
        <w:t>ᵃ Sex- and BMI-specific cutoffs for low handgrip strength: males with BMI ≤24 kg/m², &lt;29 kg; BMI 24.1-28 kg/m², &lt;30 kg; BMI &gt;28 kg/m², &lt;32 kg; females with BMI ≤23 kg/m², &lt;17 kg; BMI 23.1-26 kg/m², &lt;17.3 kg; BMI 26.1-29 kg/m², &lt;18 kg; BMI &gt;29 kg/m², &lt;21 kg.</w:t>
      </w:r>
    </w:p>
    <w:p w14:paraId="171B1132">
      <w:r>
        <w:t>ᵇ Normal ranges for red blood cell count: 4.7-6.1 × 10⁶ cells/μL for males; 4.2-5.4 × 10⁶ cells/μL for females.</w:t>
      </w:r>
    </w:p>
    <w:p w14:paraId="046F6084">
      <w:r>
        <w:t>ᶜ Normal ranges for hemoglobin: 13.5-18.0 g/dL for males; 12.0-16.0 g/dL for females.</w:t>
      </w:r>
    </w:p>
    <w:p w14:paraId="3FD66804">
      <w:r>
        <w:t>Variables included in the FI met the following criteria: associated with health status, prevalence between 1% and 80%, increased with age, and had &lt;20% missing data. The FI construction followed the cumulative deficit approach described by Searle et al. and Hakeem et al.</w:t>
      </w:r>
    </w:p>
    <w:p w14:paraId="1F6146E9">
      <w:r>
        <w:t>ADL, activities of daily living; BMI, body mass index; FI, frailty index; PHQ-9, Patient Health Questionnaire-9.</w:t>
      </w:r>
    </w:p>
    <w:p w14:paraId="71EA09DF">
      <w:pPr>
        <w:pStyle w:val="4"/>
        <w:rPr>
          <w:rFonts w:ascii="Times New Roman" w:hAnsi="Times New Roman" w:cs="Times New Roman"/>
          <w:sz w:val="24"/>
          <w:szCs w:val="24"/>
        </w:rPr>
      </w:pPr>
      <w:bookmarkStart w:id="10" w:name="_Toc218184811"/>
      <w:r>
        <w:rPr>
          <w:rFonts w:ascii="Times New Roman" w:hAnsi="Times New Roman" w:cs="Times New Roman"/>
          <w:b/>
          <w:bCs/>
          <w:color w:val="auto"/>
          <w:sz w:val="24"/>
          <w:szCs w:val="24"/>
        </w:rPr>
        <w:t>Table S2</w:t>
      </w:r>
      <w:r>
        <w:rPr>
          <w:rFonts w:ascii="Times New Roman" w:hAnsi="Times New Roman" w:cs="Times New Roman"/>
          <w:color w:val="auto"/>
          <w:sz w:val="24"/>
          <w:szCs w:val="24"/>
        </w:rPr>
        <w:t xml:space="preserve"> Frequency and distribution of missing data among study variables</w:t>
      </w:r>
      <w:bookmarkEnd w:id="10"/>
      <w:r>
        <w:rPr>
          <w:rFonts w:ascii="Times New Roman" w:hAnsi="Times New Roman" w:cs="Times New Roman"/>
          <w:color w:val="auto"/>
          <w:sz w:val="24"/>
          <w:szCs w:val="24"/>
        </w:rPr>
        <w:t xml:space="preserve"> </w:t>
      </w:r>
    </w:p>
    <w:tbl>
      <w:tblPr>
        <w:tblStyle w:val="23"/>
        <w:tblW w:w="7741"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53"/>
        <w:gridCol w:w="1629"/>
        <w:gridCol w:w="2859"/>
      </w:tblGrid>
      <w:tr w14:paraId="7FCF6F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tcBorders>
              <w:top w:val="single" w:color="auto" w:sz="12" w:space="0"/>
              <w:bottom w:val="single" w:color="auto" w:sz="6" w:space="0"/>
            </w:tcBorders>
            <w:noWrap/>
          </w:tcPr>
          <w:p w14:paraId="3A8996D0">
            <w:pPr>
              <w:widowControl/>
              <w:jc w:val="left"/>
              <w:rPr>
                <w:rFonts w:cs="Times New Roman"/>
                <w:color w:val="000000"/>
                <w:kern w:val="0"/>
              </w:rPr>
            </w:pPr>
            <w:r>
              <w:rPr>
                <w:rFonts w:cs="Times New Roman"/>
                <w:color w:val="000000"/>
                <w:kern w:val="0"/>
              </w:rPr>
              <w:t>Variable</w:t>
            </w:r>
          </w:p>
        </w:tc>
        <w:tc>
          <w:tcPr>
            <w:tcW w:w="1629" w:type="dxa"/>
            <w:tcBorders>
              <w:top w:val="single" w:color="auto" w:sz="12" w:space="0"/>
              <w:bottom w:val="single" w:color="auto" w:sz="6" w:space="0"/>
            </w:tcBorders>
            <w:noWrap/>
          </w:tcPr>
          <w:p w14:paraId="4B6B8B7E">
            <w:pPr>
              <w:widowControl/>
              <w:jc w:val="center"/>
              <w:rPr>
                <w:rFonts w:cs="Times New Roman"/>
                <w:color w:val="000000"/>
                <w:kern w:val="0"/>
              </w:rPr>
            </w:pPr>
            <w:r>
              <w:rPr>
                <w:rFonts w:cs="Times New Roman"/>
                <w:color w:val="000000"/>
                <w:kern w:val="0"/>
              </w:rPr>
              <w:t>Missing, n</w:t>
            </w:r>
          </w:p>
        </w:tc>
        <w:tc>
          <w:tcPr>
            <w:tcW w:w="2859" w:type="dxa"/>
            <w:tcBorders>
              <w:top w:val="single" w:color="auto" w:sz="12" w:space="0"/>
              <w:bottom w:val="single" w:color="auto" w:sz="6" w:space="0"/>
            </w:tcBorders>
            <w:noWrap/>
          </w:tcPr>
          <w:p w14:paraId="77D34A1F">
            <w:pPr>
              <w:widowControl/>
              <w:jc w:val="center"/>
              <w:rPr>
                <w:rFonts w:cs="Times New Roman"/>
                <w:color w:val="000000"/>
                <w:kern w:val="0"/>
              </w:rPr>
            </w:pPr>
            <w:r>
              <w:rPr>
                <w:rFonts w:cs="Times New Roman"/>
                <w:color w:val="000000"/>
                <w:kern w:val="0"/>
              </w:rPr>
              <w:t>Missing, %</w:t>
            </w:r>
          </w:p>
        </w:tc>
      </w:tr>
      <w:tr w14:paraId="1AED58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tcBorders>
              <w:top w:val="single" w:color="auto" w:sz="6" w:space="0"/>
              <w:bottom w:val="nil"/>
            </w:tcBorders>
            <w:noWrap/>
          </w:tcPr>
          <w:p w14:paraId="54061A96">
            <w:pPr>
              <w:widowControl/>
              <w:jc w:val="left"/>
              <w:rPr>
                <w:rFonts w:cs="Times New Roman"/>
                <w:color w:val="000000"/>
                <w:kern w:val="0"/>
              </w:rPr>
            </w:pPr>
            <w:r>
              <w:rPr>
                <w:rFonts w:cs="Times New Roman"/>
                <w:color w:val="000000"/>
                <w:kern w:val="0"/>
              </w:rPr>
              <w:t>age</w:t>
            </w:r>
          </w:p>
        </w:tc>
        <w:tc>
          <w:tcPr>
            <w:tcW w:w="1629" w:type="dxa"/>
            <w:tcBorders>
              <w:top w:val="single" w:color="auto" w:sz="6" w:space="0"/>
              <w:bottom w:val="nil"/>
            </w:tcBorders>
            <w:noWrap/>
          </w:tcPr>
          <w:p w14:paraId="0936C297">
            <w:pPr>
              <w:widowControl/>
              <w:jc w:val="center"/>
              <w:rPr>
                <w:rFonts w:cs="Times New Roman"/>
                <w:color w:val="000000"/>
                <w:kern w:val="0"/>
              </w:rPr>
            </w:pPr>
            <w:r>
              <w:rPr>
                <w:rFonts w:cs="Times New Roman"/>
                <w:color w:val="000000"/>
                <w:kern w:val="0"/>
              </w:rPr>
              <w:t>0</w:t>
            </w:r>
          </w:p>
        </w:tc>
        <w:tc>
          <w:tcPr>
            <w:tcW w:w="2859" w:type="dxa"/>
            <w:tcBorders>
              <w:top w:val="single" w:color="auto" w:sz="6" w:space="0"/>
              <w:bottom w:val="nil"/>
            </w:tcBorders>
            <w:noWrap/>
          </w:tcPr>
          <w:p w14:paraId="14D3C305">
            <w:pPr>
              <w:widowControl/>
              <w:jc w:val="center"/>
              <w:rPr>
                <w:rFonts w:cs="Times New Roman"/>
                <w:color w:val="000000"/>
                <w:kern w:val="0"/>
              </w:rPr>
            </w:pPr>
            <w:r>
              <w:rPr>
                <w:rFonts w:cs="Times New Roman"/>
                <w:color w:val="000000"/>
                <w:kern w:val="0"/>
              </w:rPr>
              <w:t>0</w:t>
            </w:r>
          </w:p>
        </w:tc>
      </w:tr>
      <w:tr w14:paraId="4F6CEE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tcBorders>
              <w:top w:val="nil"/>
            </w:tcBorders>
            <w:noWrap/>
          </w:tcPr>
          <w:p w14:paraId="1E58D920">
            <w:pPr>
              <w:widowControl/>
              <w:jc w:val="left"/>
              <w:rPr>
                <w:rFonts w:cs="Times New Roman"/>
                <w:color w:val="000000"/>
                <w:kern w:val="0"/>
              </w:rPr>
            </w:pPr>
            <w:r>
              <w:rPr>
                <w:rFonts w:cs="Times New Roman"/>
                <w:color w:val="000000"/>
                <w:kern w:val="0"/>
              </w:rPr>
              <w:t>Sex</w:t>
            </w:r>
          </w:p>
        </w:tc>
        <w:tc>
          <w:tcPr>
            <w:tcW w:w="1629" w:type="dxa"/>
            <w:tcBorders>
              <w:top w:val="nil"/>
            </w:tcBorders>
            <w:noWrap/>
          </w:tcPr>
          <w:p w14:paraId="518E5CA4">
            <w:pPr>
              <w:widowControl/>
              <w:jc w:val="center"/>
              <w:rPr>
                <w:rFonts w:cs="Times New Roman"/>
                <w:color w:val="000000"/>
                <w:kern w:val="0"/>
              </w:rPr>
            </w:pPr>
            <w:r>
              <w:rPr>
                <w:rFonts w:cs="Times New Roman"/>
                <w:color w:val="000000"/>
                <w:kern w:val="0"/>
              </w:rPr>
              <w:t>0</w:t>
            </w:r>
          </w:p>
        </w:tc>
        <w:tc>
          <w:tcPr>
            <w:tcW w:w="2859" w:type="dxa"/>
            <w:tcBorders>
              <w:top w:val="nil"/>
            </w:tcBorders>
            <w:noWrap/>
          </w:tcPr>
          <w:p w14:paraId="5D84EC5F">
            <w:pPr>
              <w:widowControl/>
              <w:jc w:val="center"/>
              <w:rPr>
                <w:rFonts w:cs="Times New Roman"/>
                <w:color w:val="000000"/>
                <w:kern w:val="0"/>
              </w:rPr>
            </w:pPr>
            <w:r>
              <w:rPr>
                <w:rFonts w:cs="Times New Roman"/>
                <w:color w:val="000000"/>
                <w:kern w:val="0"/>
              </w:rPr>
              <w:t>0</w:t>
            </w:r>
          </w:p>
        </w:tc>
      </w:tr>
      <w:tr w14:paraId="7FCDF0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112E73A">
            <w:pPr>
              <w:widowControl/>
              <w:jc w:val="left"/>
              <w:rPr>
                <w:rFonts w:cs="Times New Roman"/>
                <w:color w:val="000000"/>
                <w:kern w:val="0"/>
              </w:rPr>
            </w:pPr>
            <w:r>
              <w:rPr>
                <w:rFonts w:cs="Times New Roman"/>
                <w:color w:val="000000"/>
                <w:kern w:val="0"/>
              </w:rPr>
              <w:t>Race</w:t>
            </w:r>
          </w:p>
        </w:tc>
        <w:tc>
          <w:tcPr>
            <w:tcW w:w="1629" w:type="dxa"/>
            <w:noWrap/>
          </w:tcPr>
          <w:p w14:paraId="6D3D55FD">
            <w:pPr>
              <w:widowControl/>
              <w:jc w:val="center"/>
              <w:rPr>
                <w:rFonts w:cs="Times New Roman"/>
                <w:color w:val="000000"/>
                <w:kern w:val="0"/>
              </w:rPr>
            </w:pPr>
            <w:r>
              <w:rPr>
                <w:rFonts w:cs="Times New Roman"/>
                <w:color w:val="000000"/>
                <w:kern w:val="0"/>
              </w:rPr>
              <w:t>0</w:t>
            </w:r>
          </w:p>
        </w:tc>
        <w:tc>
          <w:tcPr>
            <w:tcW w:w="2859" w:type="dxa"/>
            <w:noWrap/>
          </w:tcPr>
          <w:p w14:paraId="6518B468">
            <w:pPr>
              <w:widowControl/>
              <w:jc w:val="center"/>
              <w:rPr>
                <w:rFonts w:cs="Times New Roman"/>
                <w:color w:val="000000"/>
                <w:kern w:val="0"/>
              </w:rPr>
            </w:pPr>
            <w:r>
              <w:rPr>
                <w:rFonts w:cs="Times New Roman"/>
                <w:color w:val="000000"/>
                <w:kern w:val="0"/>
              </w:rPr>
              <w:t>0</w:t>
            </w:r>
          </w:p>
        </w:tc>
      </w:tr>
      <w:tr w14:paraId="40B2ED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1A8C1AC6">
            <w:pPr>
              <w:widowControl/>
              <w:jc w:val="left"/>
              <w:rPr>
                <w:rFonts w:cs="Times New Roman"/>
                <w:color w:val="000000"/>
                <w:kern w:val="0"/>
              </w:rPr>
            </w:pPr>
            <w:r>
              <w:rPr>
                <w:rFonts w:cs="Times New Roman"/>
                <w:color w:val="000000"/>
                <w:kern w:val="0"/>
              </w:rPr>
              <w:t>Marital Status</w:t>
            </w:r>
          </w:p>
        </w:tc>
        <w:tc>
          <w:tcPr>
            <w:tcW w:w="1629" w:type="dxa"/>
            <w:noWrap/>
          </w:tcPr>
          <w:p w14:paraId="0BEBEDE2">
            <w:pPr>
              <w:widowControl/>
              <w:jc w:val="center"/>
              <w:rPr>
                <w:rFonts w:cs="Times New Roman"/>
                <w:color w:val="000000"/>
                <w:kern w:val="0"/>
              </w:rPr>
            </w:pPr>
            <w:r>
              <w:rPr>
                <w:rFonts w:cs="Times New Roman"/>
                <w:color w:val="000000"/>
                <w:kern w:val="0"/>
              </w:rPr>
              <w:t>4</w:t>
            </w:r>
          </w:p>
        </w:tc>
        <w:tc>
          <w:tcPr>
            <w:tcW w:w="2859" w:type="dxa"/>
            <w:noWrap/>
          </w:tcPr>
          <w:p w14:paraId="7511A34E">
            <w:pPr>
              <w:widowControl/>
              <w:jc w:val="center"/>
              <w:rPr>
                <w:rFonts w:cs="Times New Roman"/>
                <w:color w:val="000000"/>
                <w:kern w:val="0"/>
              </w:rPr>
            </w:pPr>
            <w:r>
              <w:rPr>
                <w:rFonts w:cs="Times New Roman"/>
                <w:color w:val="000000"/>
                <w:kern w:val="0"/>
              </w:rPr>
              <w:t>0.03</w:t>
            </w:r>
          </w:p>
        </w:tc>
      </w:tr>
      <w:tr w14:paraId="512086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B609FC2">
            <w:pPr>
              <w:widowControl/>
              <w:jc w:val="left"/>
              <w:rPr>
                <w:rFonts w:cs="Times New Roman"/>
                <w:color w:val="000000"/>
                <w:kern w:val="0"/>
              </w:rPr>
            </w:pPr>
            <w:r>
              <w:rPr>
                <w:rFonts w:cs="Times New Roman"/>
                <w:color w:val="000000"/>
                <w:kern w:val="0"/>
              </w:rPr>
              <w:t>Education level</w:t>
            </w:r>
          </w:p>
        </w:tc>
        <w:tc>
          <w:tcPr>
            <w:tcW w:w="1629" w:type="dxa"/>
            <w:noWrap/>
          </w:tcPr>
          <w:p w14:paraId="34DDACB2">
            <w:pPr>
              <w:widowControl/>
              <w:jc w:val="center"/>
              <w:rPr>
                <w:rFonts w:cs="Times New Roman"/>
                <w:color w:val="000000"/>
                <w:kern w:val="0"/>
              </w:rPr>
            </w:pPr>
            <w:r>
              <w:rPr>
                <w:rFonts w:cs="Times New Roman"/>
                <w:color w:val="000000"/>
                <w:kern w:val="0"/>
              </w:rPr>
              <w:t>16</w:t>
            </w:r>
          </w:p>
        </w:tc>
        <w:tc>
          <w:tcPr>
            <w:tcW w:w="2859" w:type="dxa"/>
            <w:noWrap/>
          </w:tcPr>
          <w:p w14:paraId="3736ECA0">
            <w:pPr>
              <w:widowControl/>
              <w:jc w:val="center"/>
              <w:rPr>
                <w:rFonts w:cs="Times New Roman"/>
                <w:color w:val="000000"/>
                <w:kern w:val="0"/>
              </w:rPr>
            </w:pPr>
            <w:r>
              <w:rPr>
                <w:rFonts w:cs="Times New Roman"/>
                <w:color w:val="000000"/>
                <w:kern w:val="0"/>
              </w:rPr>
              <w:t>0.11</w:t>
            </w:r>
          </w:p>
        </w:tc>
      </w:tr>
      <w:tr w14:paraId="4129B1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67CCF915">
            <w:pPr>
              <w:widowControl/>
              <w:jc w:val="left"/>
              <w:rPr>
                <w:rFonts w:cs="Times New Roman"/>
                <w:color w:val="000000"/>
                <w:kern w:val="0"/>
              </w:rPr>
            </w:pPr>
            <w:r>
              <w:rPr>
                <w:rFonts w:cs="Times New Roman"/>
                <w:color w:val="000000"/>
                <w:kern w:val="0"/>
              </w:rPr>
              <w:t>Smoke status</w:t>
            </w:r>
          </w:p>
        </w:tc>
        <w:tc>
          <w:tcPr>
            <w:tcW w:w="1629" w:type="dxa"/>
            <w:noWrap/>
          </w:tcPr>
          <w:p w14:paraId="3D7C94EA">
            <w:pPr>
              <w:widowControl/>
              <w:jc w:val="center"/>
              <w:rPr>
                <w:rFonts w:cs="Times New Roman"/>
                <w:color w:val="000000"/>
                <w:kern w:val="0"/>
              </w:rPr>
            </w:pPr>
            <w:r>
              <w:rPr>
                <w:rFonts w:cs="Times New Roman"/>
                <w:color w:val="000000"/>
                <w:kern w:val="0"/>
              </w:rPr>
              <w:t>15</w:t>
            </w:r>
          </w:p>
        </w:tc>
        <w:tc>
          <w:tcPr>
            <w:tcW w:w="2859" w:type="dxa"/>
            <w:noWrap/>
          </w:tcPr>
          <w:p w14:paraId="6F699944">
            <w:pPr>
              <w:widowControl/>
              <w:jc w:val="center"/>
              <w:rPr>
                <w:rFonts w:cs="Times New Roman"/>
                <w:color w:val="000000"/>
                <w:kern w:val="0"/>
              </w:rPr>
            </w:pPr>
            <w:r>
              <w:rPr>
                <w:rFonts w:cs="Times New Roman"/>
                <w:color w:val="000000"/>
                <w:kern w:val="0"/>
              </w:rPr>
              <w:t>0.10</w:t>
            </w:r>
          </w:p>
        </w:tc>
      </w:tr>
      <w:tr w14:paraId="22AB4A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7794E9E3">
            <w:pPr>
              <w:widowControl/>
              <w:jc w:val="left"/>
              <w:rPr>
                <w:rFonts w:cs="Times New Roman"/>
                <w:color w:val="000000"/>
                <w:kern w:val="0"/>
              </w:rPr>
            </w:pPr>
            <w:r>
              <w:rPr>
                <w:rFonts w:cs="Times New Roman"/>
                <w:color w:val="000000"/>
                <w:kern w:val="0"/>
              </w:rPr>
              <w:t>Drink</w:t>
            </w:r>
          </w:p>
        </w:tc>
        <w:tc>
          <w:tcPr>
            <w:tcW w:w="1629" w:type="dxa"/>
            <w:noWrap/>
          </w:tcPr>
          <w:p w14:paraId="26DDB32F">
            <w:pPr>
              <w:widowControl/>
              <w:jc w:val="center"/>
              <w:rPr>
                <w:rFonts w:cs="Times New Roman"/>
                <w:color w:val="000000"/>
                <w:kern w:val="0"/>
              </w:rPr>
            </w:pPr>
            <w:r>
              <w:rPr>
                <w:rFonts w:cs="Times New Roman"/>
                <w:color w:val="000000"/>
                <w:kern w:val="0"/>
              </w:rPr>
              <w:t>3213</w:t>
            </w:r>
          </w:p>
        </w:tc>
        <w:tc>
          <w:tcPr>
            <w:tcW w:w="2859" w:type="dxa"/>
            <w:noWrap/>
          </w:tcPr>
          <w:p w14:paraId="222FE685">
            <w:pPr>
              <w:widowControl/>
              <w:jc w:val="center"/>
              <w:rPr>
                <w:rFonts w:cs="Times New Roman"/>
                <w:color w:val="000000"/>
                <w:kern w:val="0"/>
              </w:rPr>
            </w:pPr>
            <w:r>
              <w:rPr>
                <w:rFonts w:cs="Times New Roman"/>
                <w:color w:val="000000"/>
                <w:kern w:val="0"/>
              </w:rPr>
              <w:t>21.36</w:t>
            </w:r>
          </w:p>
        </w:tc>
      </w:tr>
      <w:tr w14:paraId="1B4263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068C17A">
            <w:pPr>
              <w:widowControl/>
              <w:jc w:val="left"/>
              <w:rPr>
                <w:rFonts w:cs="Times New Roman"/>
                <w:color w:val="000000"/>
                <w:kern w:val="0"/>
              </w:rPr>
            </w:pPr>
            <w:r>
              <w:rPr>
                <w:rFonts w:cs="Times New Roman"/>
                <w:color w:val="000000"/>
                <w:kern w:val="0"/>
              </w:rPr>
              <w:t>BMI</w:t>
            </w:r>
          </w:p>
        </w:tc>
        <w:tc>
          <w:tcPr>
            <w:tcW w:w="1629" w:type="dxa"/>
            <w:noWrap/>
          </w:tcPr>
          <w:p w14:paraId="6DD31892">
            <w:pPr>
              <w:widowControl/>
              <w:jc w:val="center"/>
              <w:rPr>
                <w:rFonts w:cs="Times New Roman"/>
                <w:color w:val="000000"/>
                <w:kern w:val="0"/>
              </w:rPr>
            </w:pPr>
            <w:r>
              <w:rPr>
                <w:rFonts w:cs="Times New Roman"/>
                <w:color w:val="000000"/>
                <w:kern w:val="0"/>
              </w:rPr>
              <w:t>193</w:t>
            </w:r>
          </w:p>
        </w:tc>
        <w:tc>
          <w:tcPr>
            <w:tcW w:w="2859" w:type="dxa"/>
            <w:noWrap/>
          </w:tcPr>
          <w:p w14:paraId="56627C2B">
            <w:pPr>
              <w:widowControl/>
              <w:jc w:val="center"/>
              <w:rPr>
                <w:rFonts w:cs="Times New Roman"/>
                <w:color w:val="000000"/>
                <w:kern w:val="0"/>
              </w:rPr>
            </w:pPr>
            <w:r>
              <w:rPr>
                <w:rFonts w:cs="Times New Roman"/>
                <w:color w:val="000000"/>
                <w:kern w:val="0"/>
              </w:rPr>
              <w:t>1.28</w:t>
            </w:r>
          </w:p>
        </w:tc>
      </w:tr>
      <w:tr w14:paraId="70F4CB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5CEE06D8">
            <w:pPr>
              <w:widowControl/>
              <w:jc w:val="left"/>
              <w:rPr>
                <w:rFonts w:cs="Times New Roman"/>
                <w:color w:val="000000"/>
                <w:kern w:val="0"/>
              </w:rPr>
            </w:pPr>
            <w:r>
              <w:rPr>
                <w:rFonts w:cs="Times New Roman"/>
                <w:color w:val="000000"/>
                <w:kern w:val="0"/>
              </w:rPr>
              <w:t>PIR</w:t>
            </w:r>
          </w:p>
        </w:tc>
        <w:tc>
          <w:tcPr>
            <w:tcW w:w="1629" w:type="dxa"/>
            <w:noWrap/>
          </w:tcPr>
          <w:p w14:paraId="32898508">
            <w:pPr>
              <w:widowControl/>
              <w:jc w:val="center"/>
              <w:rPr>
                <w:rFonts w:cs="Times New Roman"/>
                <w:color w:val="000000"/>
                <w:kern w:val="0"/>
              </w:rPr>
            </w:pPr>
            <w:r>
              <w:rPr>
                <w:rFonts w:cs="Times New Roman"/>
                <w:color w:val="000000"/>
                <w:kern w:val="0"/>
              </w:rPr>
              <w:t>1300</w:t>
            </w:r>
          </w:p>
        </w:tc>
        <w:tc>
          <w:tcPr>
            <w:tcW w:w="2859" w:type="dxa"/>
            <w:noWrap/>
          </w:tcPr>
          <w:p w14:paraId="60C14159">
            <w:pPr>
              <w:widowControl/>
              <w:jc w:val="center"/>
              <w:rPr>
                <w:rFonts w:cs="Times New Roman"/>
                <w:color w:val="000000"/>
                <w:kern w:val="0"/>
              </w:rPr>
            </w:pPr>
            <w:r>
              <w:rPr>
                <w:rFonts w:cs="Times New Roman"/>
                <w:color w:val="000000"/>
                <w:kern w:val="0"/>
              </w:rPr>
              <w:t>8.64</w:t>
            </w:r>
          </w:p>
        </w:tc>
      </w:tr>
      <w:tr w14:paraId="5534A8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7A1F6646">
            <w:pPr>
              <w:widowControl/>
              <w:jc w:val="left"/>
              <w:rPr>
                <w:rFonts w:cs="Times New Roman"/>
                <w:color w:val="000000"/>
                <w:kern w:val="0"/>
              </w:rPr>
            </w:pPr>
            <w:r>
              <w:rPr>
                <w:rFonts w:cs="Times New Roman"/>
                <w:color w:val="000000"/>
                <w:kern w:val="0"/>
              </w:rPr>
              <w:t>Hypertension</w:t>
            </w:r>
          </w:p>
        </w:tc>
        <w:tc>
          <w:tcPr>
            <w:tcW w:w="1629" w:type="dxa"/>
            <w:noWrap/>
          </w:tcPr>
          <w:p w14:paraId="21A38BA2">
            <w:pPr>
              <w:widowControl/>
              <w:jc w:val="center"/>
              <w:rPr>
                <w:rFonts w:cs="Times New Roman"/>
                <w:color w:val="000000"/>
                <w:kern w:val="0"/>
              </w:rPr>
            </w:pPr>
            <w:r>
              <w:rPr>
                <w:rFonts w:cs="Times New Roman"/>
                <w:color w:val="000000"/>
                <w:kern w:val="0"/>
              </w:rPr>
              <w:t>22</w:t>
            </w:r>
          </w:p>
        </w:tc>
        <w:tc>
          <w:tcPr>
            <w:tcW w:w="2859" w:type="dxa"/>
            <w:noWrap/>
          </w:tcPr>
          <w:p w14:paraId="1A30979A">
            <w:pPr>
              <w:widowControl/>
              <w:jc w:val="center"/>
              <w:rPr>
                <w:rFonts w:cs="Times New Roman"/>
                <w:color w:val="000000"/>
                <w:kern w:val="0"/>
              </w:rPr>
            </w:pPr>
            <w:r>
              <w:rPr>
                <w:rFonts w:cs="Times New Roman"/>
                <w:color w:val="000000"/>
                <w:kern w:val="0"/>
              </w:rPr>
              <w:t>0.15</w:t>
            </w:r>
          </w:p>
        </w:tc>
      </w:tr>
      <w:tr w14:paraId="41CF8D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6041EFA7">
            <w:pPr>
              <w:widowControl/>
              <w:jc w:val="left"/>
              <w:rPr>
                <w:rFonts w:cs="Times New Roman"/>
                <w:color w:val="000000"/>
                <w:kern w:val="0"/>
              </w:rPr>
            </w:pPr>
            <w:r>
              <w:rPr>
                <w:rFonts w:cs="Times New Roman"/>
                <w:color w:val="000000"/>
                <w:kern w:val="0"/>
              </w:rPr>
              <w:t>Diabetes</w:t>
            </w:r>
          </w:p>
        </w:tc>
        <w:tc>
          <w:tcPr>
            <w:tcW w:w="1629" w:type="dxa"/>
            <w:noWrap/>
          </w:tcPr>
          <w:p w14:paraId="5C93CC28">
            <w:pPr>
              <w:widowControl/>
              <w:jc w:val="center"/>
              <w:rPr>
                <w:rFonts w:cs="Times New Roman"/>
                <w:color w:val="000000"/>
                <w:kern w:val="0"/>
              </w:rPr>
            </w:pPr>
            <w:r>
              <w:rPr>
                <w:rFonts w:cs="Times New Roman"/>
                <w:color w:val="000000"/>
                <w:kern w:val="0"/>
              </w:rPr>
              <w:t>204</w:t>
            </w:r>
          </w:p>
        </w:tc>
        <w:tc>
          <w:tcPr>
            <w:tcW w:w="2859" w:type="dxa"/>
            <w:noWrap/>
          </w:tcPr>
          <w:p w14:paraId="2D0C095A">
            <w:pPr>
              <w:widowControl/>
              <w:jc w:val="center"/>
              <w:rPr>
                <w:rFonts w:cs="Times New Roman"/>
                <w:color w:val="000000"/>
                <w:kern w:val="0"/>
              </w:rPr>
            </w:pPr>
            <w:r>
              <w:rPr>
                <w:rFonts w:cs="Times New Roman"/>
                <w:color w:val="000000"/>
                <w:kern w:val="0"/>
              </w:rPr>
              <w:t>1.37</w:t>
            </w:r>
          </w:p>
        </w:tc>
      </w:tr>
      <w:tr w14:paraId="404E22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52865FD9">
            <w:pPr>
              <w:widowControl/>
              <w:jc w:val="left"/>
              <w:rPr>
                <w:rFonts w:cs="Times New Roman"/>
                <w:color w:val="000000"/>
                <w:kern w:val="0"/>
              </w:rPr>
            </w:pPr>
            <w:r>
              <w:rPr>
                <w:rFonts w:cs="Times New Roman"/>
                <w:color w:val="000000"/>
                <w:kern w:val="0"/>
              </w:rPr>
              <w:t>Stroke</w:t>
            </w:r>
          </w:p>
        </w:tc>
        <w:tc>
          <w:tcPr>
            <w:tcW w:w="1629" w:type="dxa"/>
            <w:noWrap/>
          </w:tcPr>
          <w:p w14:paraId="0817F23C">
            <w:pPr>
              <w:widowControl/>
              <w:jc w:val="center"/>
              <w:rPr>
                <w:rFonts w:cs="Times New Roman"/>
                <w:color w:val="000000"/>
                <w:kern w:val="0"/>
              </w:rPr>
            </w:pPr>
            <w:r>
              <w:rPr>
                <w:rFonts w:cs="Times New Roman"/>
                <w:color w:val="000000"/>
                <w:kern w:val="0"/>
              </w:rPr>
              <w:t>16</w:t>
            </w:r>
          </w:p>
        </w:tc>
        <w:tc>
          <w:tcPr>
            <w:tcW w:w="2859" w:type="dxa"/>
            <w:noWrap/>
          </w:tcPr>
          <w:p w14:paraId="19B49894">
            <w:pPr>
              <w:widowControl/>
              <w:jc w:val="center"/>
              <w:rPr>
                <w:rFonts w:cs="Times New Roman"/>
                <w:color w:val="000000"/>
                <w:kern w:val="0"/>
              </w:rPr>
            </w:pPr>
            <w:r>
              <w:rPr>
                <w:rFonts w:cs="Times New Roman"/>
                <w:color w:val="000000"/>
                <w:kern w:val="0"/>
              </w:rPr>
              <w:t>0.11</w:t>
            </w:r>
          </w:p>
        </w:tc>
      </w:tr>
      <w:tr w14:paraId="6CC9B4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109840C6">
            <w:pPr>
              <w:widowControl/>
              <w:jc w:val="left"/>
              <w:rPr>
                <w:rFonts w:cs="Times New Roman"/>
                <w:color w:val="000000"/>
                <w:kern w:val="0"/>
              </w:rPr>
            </w:pPr>
            <w:r>
              <w:rPr>
                <w:rFonts w:cs="Times New Roman"/>
                <w:color w:val="000000"/>
                <w:kern w:val="0"/>
              </w:rPr>
              <w:t>BUN</w:t>
            </w:r>
          </w:p>
        </w:tc>
        <w:tc>
          <w:tcPr>
            <w:tcW w:w="1629" w:type="dxa"/>
            <w:noWrap/>
          </w:tcPr>
          <w:p w14:paraId="3BF9ACAB">
            <w:pPr>
              <w:widowControl/>
              <w:jc w:val="center"/>
              <w:rPr>
                <w:rFonts w:cs="Times New Roman"/>
                <w:color w:val="000000"/>
                <w:kern w:val="0"/>
              </w:rPr>
            </w:pPr>
            <w:r>
              <w:rPr>
                <w:rFonts w:cs="Times New Roman"/>
                <w:color w:val="000000"/>
                <w:kern w:val="0"/>
              </w:rPr>
              <w:t>54</w:t>
            </w:r>
          </w:p>
        </w:tc>
        <w:tc>
          <w:tcPr>
            <w:tcW w:w="2859" w:type="dxa"/>
            <w:noWrap/>
          </w:tcPr>
          <w:p w14:paraId="7461F38F">
            <w:pPr>
              <w:widowControl/>
              <w:jc w:val="center"/>
              <w:rPr>
                <w:rFonts w:cs="Times New Roman"/>
                <w:color w:val="000000"/>
                <w:kern w:val="0"/>
              </w:rPr>
            </w:pPr>
            <w:r>
              <w:rPr>
                <w:rFonts w:cs="Times New Roman"/>
                <w:color w:val="000000"/>
                <w:kern w:val="0"/>
              </w:rPr>
              <w:t>0.36</w:t>
            </w:r>
          </w:p>
        </w:tc>
      </w:tr>
      <w:tr w14:paraId="17F7FF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11120CAD">
            <w:pPr>
              <w:widowControl/>
              <w:jc w:val="left"/>
              <w:rPr>
                <w:rFonts w:cs="Times New Roman"/>
                <w:color w:val="000000"/>
                <w:kern w:val="0"/>
              </w:rPr>
            </w:pPr>
            <w:r>
              <w:rPr>
                <w:rFonts w:cs="Times New Roman"/>
                <w:color w:val="000000"/>
                <w:kern w:val="0"/>
              </w:rPr>
              <w:t>Scr</w:t>
            </w:r>
          </w:p>
        </w:tc>
        <w:tc>
          <w:tcPr>
            <w:tcW w:w="1629" w:type="dxa"/>
            <w:noWrap/>
          </w:tcPr>
          <w:p w14:paraId="7C7CF2BB">
            <w:pPr>
              <w:widowControl/>
              <w:jc w:val="center"/>
              <w:rPr>
                <w:rFonts w:cs="Times New Roman"/>
                <w:color w:val="000000"/>
                <w:kern w:val="0"/>
              </w:rPr>
            </w:pPr>
            <w:r>
              <w:rPr>
                <w:rFonts w:cs="Times New Roman"/>
                <w:color w:val="000000"/>
                <w:kern w:val="0"/>
              </w:rPr>
              <w:t>53</w:t>
            </w:r>
          </w:p>
        </w:tc>
        <w:tc>
          <w:tcPr>
            <w:tcW w:w="2859" w:type="dxa"/>
            <w:noWrap/>
          </w:tcPr>
          <w:p w14:paraId="6078DE60">
            <w:pPr>
              <w:widowControl/>
              <w:jc w:val="center"/>
              <w:rPr>
                <w:rFonts w:cs="Times New Roman"/>
                <w:color w:val="000000"/>
                <w:kern w:val="0"/>
              </w:rPr>
            </w:pPr>
            <w:r>
              <w:rPr>
                <w:rFonts w:cs="Times New Roman"/>
                <w:color w:val="000000"/>
                <w:kern w:val="0"/>
              </w:rPr>
              <w:t>0.35</w:t>
            </w:r>
          </w:p>
        </w:tc>
      </w:tr>
      <w:tr w14:paraId="1F0BB7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005A703">
            <w:pPr>
              <w:widowControl/>
              <w:jc w:val="left"/>
              <w:rPr>
                <w:rFonts w:cs="Times New Roman"/>
                <w:color w:val="000000"/>
                <w:kern w:val="0"/>
              </w:rPr>
            </w:pPr>
            <w:r>
              <w:rPr>
                <w:rFonts w:cs="Times New Roman"/>
                <w:color w:val="000000"/>
                <w:kern w:val="0"/>
              </w:rPr>
              <w:t>eGFR</w:t>
            </w:r>
          </w:p>
        </w:tc>
        <w:tc>
          <w:tcPr>
            <w:tcW w:w="1629" w:type="dxa"/>
            <w:noWrap/>
          </w:tcPr>
          <w:p w14:paraId="13E4D803">
            <w:pPr>
              <w:widowControl/>
              <w:jc w:val="center"/>
              <w:rPr>
                <w:rFonts w:cs="Times New Roman"/>
                <w:color w:val="000000"/>
                <w:kern w:val="0"/>
              </w:rPr>
            </w:pPr>
            <w:r>
              <w:rPr>
                <w:rFonts w:cs="Times New Roman"/>
                <w:color w:val="000000"/>
                <w:kern w:val="0"/>
              </w:rPr>
              <w:t>53</w:t>
            </w:r>
          </w:p>
        </w:tc>
        <w:tc>
          <w:tcPr>
            <w:tcW w:w="2859" w:type="dxa"/>
            <w:noWrap/>
          </w:tcPr>
          <w:p w14:paraId="4D3FAE3A">
            <w:pPr>
              <w:widowControl/>
              <w:jc w:val="center"/>
              <w:rPr>
                <w:rFonts w:cs="Times New Roman"/>
                <w:color w:val="000000"/>
                <w:kern w:val="0"/>
              </w:rPr>
            </w:pPr>
            <w:r>
              <w:rPr>
                <w:rFonts w:cs="Times New Roman"/>
                <w:color w:val="000000"/>
                <w:kern w:val="0"/>
              </w:rPr>
              <w:t>0.35</w:t>
            </w:r>
          </w:p>
        </w:tc>
      </w:tr>
      <w:tr w14:paraId="4CBEDC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1F848CDF">
            <w:pPr>
              <w:widowControl/>
              <w:jc w:val="left"/>
              <w:rPr>
                <w:rFonts w:cs="Times New Roman"/>
                <w:color w:val="000000"/>
                <w:kern w:val="0"/>
              </w:rPr>
            </w:pPr>
            <w:r>
              <w:rPr>
                <w:rFonts w:cs="Times New Roman"/>
                <w:color w:val="000000"/>
                <w:kern w:val="0"/>
              </w:rPr>
              <w:t>HbA1c</w:t>
            </w:r>
          </w:p>
        </w:tc>
        <w:tc>
          <w:tcPr>
            <w:tcW w:w="1629" w:type="dxa"/>
            <w:noWrap/>
          </w:tcPr>
          <w:p w14:paraId="3B1D16D0">
            <w:pPr>
              <w:widowControl/>
              <w:jc w:val="center"/>
              <w:rPr>
                <w:rFonts w:cs="Times New Roman"/>
                <w:color w:val="000000"/>
                <w:kern w:val="0"/>
              </w:rPr>
            </w:pPr>
            <w:r>
              <w:rPr>
                <w:rFonts w:cs="Times New Roman"/>
                <w:color w:val="000000"/>
                <w:kern w:val="0"/>
              </w:rPr>
              <w:t>27</w:t>
            </w:r>
          </w:p>
        </w:tc>
        <w:tc>
          <w:tcPr>
            <w:tcW w:w="2859" w:type="dxa"/>
            <w:noWrap/>
          </w:tcPr>
          <w:p w14:paraId="6600EE32">
            <w:pPr>
              <w:widowControl/>
              <w:jc w:val="center"/>
              <w:rPr>
                <w:rFonts w:cs="Times New Roman"/>
                <w:color w:val="000000"/>
                <w:kern w:val="0"/>
              </w:rPr>
            </w:pPr>
            <w:r>
              <w:rPr>
                <w:rFonts w:cs="Times New Roman"/>
                <w:color w:val="000000"/>
                <w:kern w:val="0"/>
              </w:rPr>
              <w:t>0.18</w:t>
            </w:r>
          </w:p>
        </w:tc>
      </w:tr>
      <w:tr w14:paraId="78C1C8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512534B0">
            <w:pPr>
              <w:widowControl/>
              <w:jc w:val="left"/>
              <w:rPr>
                <w:rFonts w:cs="Times New Roman"/>
                <w:color w:val="000000"/>
                <w:kern w:val="0"/>
              </w:rPr>
            </w:pPr>
            <w:r>
              <w:rPr>
                <w:rFonts w:cs="Times New Roman"/>
                <w:color w:val="000000"/>
                <w:kern w:val="0"/>
              </w:rPr>
              <w:t>FBG</w:t>
            </w:r>
          </w:p>
        </w:tc>
        <w:tc>
          <w:tcPr>
            <w:tcW w:w="1629" w:type="dxa"/>
            <w:noWrap/>
          </w:tcPr>
          <w:p w14:paraId="1B631B3B">
            <w:pPr>
              <w:widowControl/>
              <w:jc w:val="center"/>
              <w:rPr>
                <w:rFonts w:cs="Times New Roman"/>
                <w:color w:val="000000"/>
                <w:kern w:val="0"/>
              </w:rPr>
            </w:pPr>
            <w:r>
              <w:rPr>
                <w:rFonts w:cs="Times New Roman"/>
                <w:color w:val="000000"/>
                <w:kern w:val="0"/>
              </w:rPr>
              <w:t>0</w:t>
            </w:r>
          </w:p>
        </w:tc>
        <w:tc>
          <w:tcPr>
            <w:tcW w:w="2859" w:type="dxa"/>
            <w:noWrap/>
          </w:tcPr>
          <w:p w14:paraId="4418715D">
            <w:pPr>
              <w:widowControl/>
              <w:jc w:val="center"/>
              <w:rPr>
                <w:rFonts w:cs="Times New Roman"/>
                <w:color w:val="000000"/>
                <w:kern w:val="0"/>
              </w:rPr>
            </w:pPr>
            <w:r>
              <w:rPr>
                <w:rFonts w:cs="Times New Roman"/>
                <w:color w:val="000000"/>
                <w:kern w:val="0"/>
              </w:rPr>
              <w:t>0</w:t>
            </w:r>
          </w:p>
        </w:tc>
      </w:tr>
      <w:tr w14:paraId="70E0EF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3D42A198">
            <w:pPr>
              <w:widowControl/>
              <w:jc w:val="left"/>
              <w:rPr>
                <w:rFonts w:cs="Times New Roman"/>
                <w:color w:val="000000"/>
                <w:kern w:val="0"/>
              </w:rPr>
            </w:pPr>
            <w:r>
              <w:rPr>
                <w:rFonts w:cs="Times New Roman"/>
                <w:color w:val="000000"/>
                <w:kern w:val="0"/>
              </w:rPr>
              <w:t>TG</w:t>
            </w:r>
          </w:p>
        </w:tc>
        <w:tc>
          <w:tcPr>
            <w:tcW w:w="1629" w:type="dxa"/>
            <w:noWrap/>
          </w:tcPr>
          <w:p w14:paraId="403E14C4">
            <w:pPr>
              <w:widowControl/>
              <w:jc w:val="center"/>
              <w:rPr>
                <w:rFonts w:cs="Times New Roman"/>
                <w:color w:val="000000"/>
                <w:kern w:val="0"/>
              </w:rPr>
            </w:pPr>
            <w:r>
              <w:rPr>
                <w:rFonts w:cs="Times New Roman"/>
                <w:color w:val="000000"/>
                <w:kern w:val="0"/>
              </w:rPr>
              <w:t>0</w:t>
            </w:r>
          </w:p>
        </w:tc>
        <w:tc>
          <w:tcPr>
            <w:tcW w:w="2859" w:type="dxa"/>
            <w:noWrap/>
          </w:tcPr>
          <w:p w14:paraId="28AF8729">
            <w:pPr>
              <w:widowControl/>
              <w:jc w:val="center"/>
              <w:rPr>
                <w:rFonts w:cs="Times New Roman"/>
                <w:color w:val="000000"/>
                <w:kern w:val="0"/>
              </w:rPr>
            </w:pPr>
            <w:r>
              <w:rPr>
                <w:rFonts w:cs="Times New Roman"/>
                <w:color w:val="000000"/>
                <w:kern w:val="0"/>
              </w:rPr>
              <w:t>0</w:t>
            </w:r>
          </w:p>
        </w:tc>
      </w:tr>
      <w:tr w14:paraId="5E0E22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0045B0C1">
            <w:pPr>
              <w:widowControl/>
              <w:jc w:val="left"/>
              <w:rPr>
                <w:rFonts w:cs="Times New Roman"/>
                <w:color w:val="000000"/>
                <w:kern w:val="0"/>
              </w:rPr>
            </w:pPr>
            <w:r>
              <w:rPr>
                <w:rFonts w:cs="Times New Roman"/>
                <w:color w:val="000000"/>
                <w:kern w:val="0"/>
              </w:rPr>
              <w:t>TyG</w:t>
            </w:r>
          </w:p>
        </w:tc>
        <w:tc>
          <w:tcPr>
            <w:tcW w:w="1629" w:type="dxa"/>
            <w:noWrap/>
          </w:tcPr>
          <w:p w14:paraId="0C9A9031">
            <w:pPr>
              <w:widowControl/>
              <w:jc w:val="center"/>
              <w:rPr>
                <w:rFonts w:cs="Times New Roman"/>
                <w:color w:val="000000"/>
                <w:kern w:val="0"/>
              </w:rPr>
            </w:pPr>
            <w:r>
              <w:rPr>
                <w:rFonts w:cs="Times New Roman"/>
                <w:color w:val="000000"/>
                <w:kern w:val="0"/>
              </w:rPr>
              <w:t>0</w:t>
            </w:r>
          </w:p>
        </w:tc>
        <w:tc>
          <w:tcPr>
            <w:tcW w:w="2859" w:type="dxa"/>
            <w:noWrap/>
          </w:tcPr>
          <w:p w14:paraId="209A647F">
            <w:pPr>
              <w:widowControl/>
              <w:jc w:val="center"/>
              <w:rPr>
                <w:rFonts w:cs="Times New Roman"/>
                <w:color w:val="000000"/>
                <w:kern w:val="0"/>
              </w:rPr>
            </w:pPr>
            <w:r>
              <w:rPr>
                <w:rFonts w:cs="Times New Roman"/>
                <w:color w:val="000000"/>
                <w:kern w:val="0"/>
              </w:rPr>
              <w:t>0</w:t>
            </w:r>
          </w:p>
        </w:tc>
      </w:tr>
      <w:tr w14:paraId="6108EA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5F5F0E5D">
            <w:pPr>
              <w:widowControl/>
              <w:jc w:val="left"/>
              <w:rPr>
                <w:rFonts w:cs="Times New Roman"/>
                <w:color w:val="000000"/>
                <w:kern w:val="0"/>
              </w:rPr>
            </w:pPr>
            <w:r>
              <w:rPr>
                <w:rFonts w:cs="Times New Roman"/>
                <w:color w:val="000000"/>
                <w:kern w:val="0"/>
              </w:rPr>
              <w:t>FI</w:t>
            </w:r>
          </w:p>
        </w:tc>
        <w:tc>
          <w:tcPr>
            <w:tcW w:w="1629" w:type="dxa"/>
            <w:noWrap/>
          </w:tcPr>
          <w:p w14:paraId="5CB6FEB8">
            <w:pPr>
              <w:widowControl/>
              <w:jc w:val="center"/>
              <w:rPr>
                <w:rFonts w:cs="Times New Roman"/>
                <w:color w:val="000000"/>
                <w:kern w:val="0"/>
              </w:rPr>
            </w:pPr>
            <w:r>
              <w:rPr>
                <w:rFonts w:cs="Times New Roman"/>
                <w:color w:val="000000"/>
                <w:kern w:val="0"/>
              </w:rPr>
              <w:t>0</w:t>
            </w:r>
          </w:p>
        </w:tc>
        <w:tc>
          <w:tcPr>
            <w:tcW w:w="2859" w:type="dxa"/>
            <w:noWrap/>
          </w:tcPr>
          <w:p w14:paraId="7356B920">
            <w:pPr>
              <w:widowControl/>
              <w:jc w:val="center"/>
              <w:rPr>
                <w:rFonts w:cs="Times New Roman"/>
                <w:color w:val="000000"/>
                <w:kern w:val="0"/>
              </w:rPr>
            </w:pPr>
            <w:r>
              <w:rPr>
                <w:rFonts w:cs="Times New Roman"/>
                <w:color w:val="000000"/>
                <w:kern w:val="0"/>
              </w:rPr>
              <w:t>0</w:t>
            </w:r>
          </w:p>
        </w:tc>
      </w:tr>
      <w:tr w14:paraId="04245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E0A9DE0">
            <w:pPr>
              <w:widowControl/>
              <w:jc w:val="left"/>
              <w:rPr>
                <w:rFonts w:cs="Times New Roman"/>
                <w:color w:val="000000"/>
                <w:kern w:val="0"/>
              </w:rPr>
            </w:pPr>
            <w:r>
              <w:rPr>
                <w:rFonts w:cs="Times New Roman"/>
                <w:color w:val="000000"/>
                <w:kern w:val="0"/>
              </w:rPr>
              <w:t>TyGFI</w:t>
            </w:r>
          </w:p>
        </w:tc>
        <w:tc>
          <w:tcPr>
            <w:tcW w:w="1629" w:type="dxa"/>
            <w:noWrap/>
          </w:tcPr>
          <w:p w14:paraId="68576274">
            <w:pPr>
              <w:widowControl/>
              <w:jc w:val="center"/>
              <w:rPr>
                <w:rFonts w:cs="Times New Roman"/>
                <w:color w:val="000000"/>
                <w:kern w:val="0"/>
              </w:rPr>
            </w:pPr>
            <w:r>
              <w:rPr>
                <w:rFonts w:cs="Times New Roman"/>
                <w:color w:val="000000"/>
                <w:kern w:val="0"/>
              </w:rPr>
              <w:t>0</w:t>
            </w:r>
          </w:p>
        </w:tc>
        <w:tc>
          <w:tcPr>
            <w:tcW w:w="2859" w:type="dxa"/>
            <w:noWrap/>
          </w:tcPr>
          <w:p w14:paraId="7B68F24D">
            <w:pPr>
              <w:widowControl/>
              <w:jc w:val="center"/>
              <w:rPr>
                <w:rFonts w:cs="Times New Roman"/>
                <w:color w:val="000000"/>
                <w:kern w:val="0"/>
              </w:rPr>
            </w:pPr>
            <w:r>
              <w:rPr>
                <w:rFonts w:cs="Times New Roman"/>
                <w:color w:val="000000"/>
                <w:kern w:val="0"/>
              </w:rPr>
              <w:t>0</w:t>
            </w:r>
          </w:p>
        </w:tc>
      </w:tr>
      <w:tr w14:paraId="2D2744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025C389F">
            <w:pPr>
              <w:widowControl/>
              <w:jc w:val="left"/>
              <w:rPr>
                <w:rFonts w:cs="Times New Roman"/>
                <w:color w:val="000000"/>
                <w:kern w:val="0"/>
              </w:rPr>
            </w:pPr>
            <w:r>
              <w:rPr>
                <w:rFonts w:cs="Times New Roman"/>
                <w:color w:val="000000"/>
                <w:kern w:val="0"/>
              </w:rPr>
              <w:t>All-cause mortality</w:t>
            </w:r>
          </w:p>
        </w:tc>
        <w:tc>
          <w:tcPr>
            <w:tcW w:w="1629" w:type="dxa"/>
            <w:noWrap/>
          </w:tcPr>
          <w:p w14:paraId="26F4EE26">
            <w:pPr>
              <w:widowControl/>
              <w:jc w:val="center"/>
              <w:rPr>
                <w:rFonts w:cs="Times New Roman"/>
                <w:color w:val="000000"/>
                <w:kern w:val="0"/>
              </w:rPr>
            </w:pPr>
            <w:r>
              <w:rPr>
                <w:rFonts w:cs="Times New Roman"/>
                <w:color w:val="000000"/>
                <w:kern w:val="0"/>
              </w:rPr>
              <w:t>0</w:t>
            </w:r>
          </w:p>
        </w:tc>
        <w:tc>
          <w:tcPr>
            <w:tcW w:w="2859" w:type="dxa"/>
            <w:noWrap/>
          </w:tcPr>
          <w:p w14:paraId="1D60FF1A">
            <w:pPr>
              <w:widowControl/>
              <w:jc w:val="center"/>
              <w:rPr>
                <w:rFonts w:cs="Times New Roman"/>
                <w:color w:val="000000"/>
                <w:kern w:val="0"/>
              </w:rPr>
            </w:pPr>
            <w:r>
              <w:rPr>
                <w:rFonts w:cs="Times New Roman"/>
                <w:color w:val="000000"/>
                <w:kern w:val="0"/>
              </w:rPr>
              <w:t>0</w:t>
            </w:r>
          </w:p>
        </w:tc>
      </w:tr>
      <w:tr w14:paraId="25D30A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56691070">
            <w:pPr>
              <w:widowControl/>
              <w:jc w:val="left"/>
              <w:rPr>
                <w:rFonts w:cs="Times New Roman"/>
                <w:color w:val="000000"/>
                <w:kern w:val="0"/>
              </w:rPr>
            </w:pPr>
            <w:r>
              <w:rPr>
                <w:rFonts w:cs="Times New Roman"/>
                <w:color w:val="000000"/>
                <w:kern w:val="0"/>
              </w:rPr>
              <w:t>CVD mortality</w:t>
            </w:r>
          </w:p>
        </w:tc>
        <w:tc>
          <w:tcPr>
            <w:tcW w:w="1629" w:type="dxa"/>
            <w:noWrap/>
          </w:tcPr>
          <w:p w14:paraId="17A8815D">
            <w:pPr>
              <w:widowControl/>
              <w:jc w:val="center"/>
              <w:rPr>
                <w:rFonts w:cs="Times New Roman"/>
                <w:color w:val="000000"/>
                <w:kern w:val="0"/>
              </w:rPr>
            </w:pPr>
            <w:r>
              <w:rPr>
                <w:rFonts w:cs="Times New Roman"/>
                <w:color w:val="000000"/>
                <w:kern w:val="0"/>
              </w:rPr>
              <w:t>0</w:t>
            </w:r>
          </w:p>
        </w:tc>
        <w:tc>
          <w:tcPr>
            <w:tcW w:w="2859" w:type="dxa"/>
            <w:noWrap/>
          </w:tcPr>
          <w:p w14:paraId="36779D1C">
            <w:pPr>
              <w:widowControl/>
              <w:jc w:val="center"/>
              <w:rPr>
                <w:rFonts w:cs="Times New Roman"/>
                <w:color w:val="000000"/>
                <w:kern w:val="0"/>
              </w:rPr>
            </w:pPr>
            <w:r>
              <w:rPr>
                <w:rFonts w:cs="Times New Roman"/>
                <w:color w:val="000000"/>
                <w:kern w:val="0"/>
              </w:rPr>
              <w:t>0</w:t>
            </w:r>
          </w:p>
        </w:tc>
      </w:tr>
      <w:tr w14:paraId="1E8386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3253" w:type="dxa"/>
            <w:noWrap/>
          </w:tcPr>
          <w:p w14:paraId="2C3BF863">
            <w:pPr>
              <w:widowControl/>
              <w:jc w:val="left"/>
              <w:rPr>
                <w:rFonts w:cs="Times New Roman"/>
                <w:color w:val="000000"/>
                <w:kern w:val="0"/>
              </w:rPr>
            </w:pPr>
            <w:r>
              <w:rPr>
                <w:rFonts w:cs="Times New Roman"/>
                <w:color w:val="000000"/>
                <w:kern w:val="0"/>
              </w:rPr>
              <w:t>CKM</w:t>
            </w:r>
          </w:p>
        </w:tc>
        <w:tc>
          <w:tcPr>
            <w:tcW w:w="1629" w:type="dxa"/>
            <w:noWrap/>
          </w:tcPr>
          <w:p w14:paraId="13B4B2FA">
            <w:pPr>
              <w:widowControl/>
              <w:jc w:val="center"/>
              <w:rPr>
                <w:rFonts w:cs="Times New Roman"/>
                <w:color w:val="000000"/>
                <w:kern w:val="0"/>
              </w:rPr>
            </w:pPr>
            <w:r>
              <w:rPr>
                <w:rFonts w:cs="Times New Roman"/>
                <w:color w:val="000000"/>
                <w:kern w:val="0"/>
              </w:rPr>
              <w:t>0</w:t>
            </w:r>
          </w:p>
        </w:tc>
        <w:tc>
          <w:tcPr>
            <w:tcW w:w="2859" w:type="dxa"/>
            <w:noWrap/>
          </w:tcPr>
          <w:p w14:paraId="1642DF77">
            <w:pPr>
              <w:widowControl/>
              <w:jc w:val="center"/>
              <w:rPr>
                <w:rFonts w:cs="Times New Roman"/>
                <w:color w:val="000000"/>
                <w:kern w:val="0"/>
              </w:rPr>
            </w:pPr>
            <w:r>
              <w:rPr>
                <w:rFonts w:cs="Times New Roman"/>
                <w:color w:val="000000"/>
                <w:kern w:val="0"/>
              </w:rPr>
              <w:t>0</w:t>
            </w:r>
          </w:p>
        </w:tc>
      </w:tr>
    </w:tbl>
    <w:p w14:paraId="36B8FA41">
      <w:pPr>
        <w:rPr>
          <w:rFonts w:cs="Times New Roman"/>
        </w:rPr>
      </w:pPr>
      <w:r>
        <w:rPr>
          <w:rFonts w:cs="Times New Roman"/>
        </w:rPr>
        <w:t>BMI, body mass index; PIR, poverty income ratio; BUN, blood urea nitrogen; Scr, serum creatinine; eGFR, estimated glomerular filtration rate; HbA1c, glycosylated hemoglobin type A1c; FBG, fasting blood glucose; TG, triglyceride; TyG, triglyceride-glucose index; FI, frailty index;</w:t>
      </w:r>
      <w:r>
        <w:rPr>
          <w:rFonts w:hint="eastAsia" w:cs="Times New Roman"/>
        </w:rPr>
        <w:t xml:space="preserve"> </w:t>
      </w:r>
      <w:r>
        <w:rPr>
          <w:rFonts w:cs="Times New Roman"/>
        </w:rPr>
        <w:t>CKM, cardiovascular-kidney-metabolic.</w:t>
      </w:r>
    </w:p>
    <w:p w14:paraId="71656F4B">
      <w:pPr>
        <w:rPr>
          <w:rFonts w:cs="Times New Roman"/>
          <w:b/>
          <w:bCs/>
        </w:rPr>
      </w:pPr>
    </w:p>
    <w:p w14:paraId="5B6B8EB9">
      <w:pPr>
        <w:pStyle w:val="3"/>
        <w:rPr>
          <w:rFonts w:ascii="Times New Roman" w:hAnsi="Times New Roman" w:cs="Times New Roman" w:eastAsiaTheme="minorEastAsia"/>
          <w:b/>
          <w:bCs/>
          <w:color w:val="auto"/>
          <w:sz w:val="28"/>
          <w:szCs w:val="28"/>
        </w:rPr>
      </w:pPr>
    </w:p>
    <w:p w14:paraId="484F406C">
      <w:pPr>
        <w:pStyle w:val="3"/>
        <w:rPr>
          <w:rFonts w:ascii="Times New Roman" w:hAnsi="Times New Roman" w:cs="Times New Roman" w:eastAsiaTheme="minorEastAsia"/>
          <w:b/>
          <w:bCs/>
          <w:color w:val="auto"/>
          <w:sz w:val="28"/>
          <w:szCs w:val="28"/>
        </w:rPr>
      </w:pPr>
    </w:p>
    <w:p w14:paraId="23675AAF">
      <w:pPr>
        <w:pStyle w:val="3"/>
        <w:rPr>
          <w:rFonts w:ascii="Times New Roman" w:hAnsi="Times New Roman" w:cs="Times New Roman" w:eastAsiaTheme="minorEastAsia"/>
          <w:b/>
          <w:bCs/>
          <w:color w:val="auto"/>
          <w:sz w:val="28"/>
          <w:szCs w:val="28"/>
        </w:rPr>
      </w:pPr>
    </w:p>
    <w:p w14:paraId="4F0EB12F"/>
    <w:p w14:paraId="01B0281A"/>
    <w:p w14:paraId="5DFF209F"/>
    <w:p w14:paraId="1F934FEE"/>
    <w:p w14:paraId="716E119C"/>
    <w:p w14:paraId="26A677B3"/>
    <w:p w14:paraId="5B4AC267"/>
    <w:p w14:paraId="5E10C1FB"/>
    <w:p w14:paraId="43EEAED9"/>
    <w:p w14:paraId="36B68D8E"/>
    <w:p w14:paraId="14614872"/>
    <w:p w14:paraId="7324F84E">
      <w:pPr>
        <w:pStyle w:val="3"/>
      </w:pPr>
      <w:bookmarkStart w:id="11" w:name="_Toc218184812"/>
      <w:r>
        <w:rPr>
          <w:rFonts w:ascii="Times New Roman" w:hAnsi="Times New Roman" w:cs="Times New Roman" w:eastAsiaTheme="minorEastAsia"/>
          <w:b/>
          <w:bCs/>
          <w:color w:val="auto"/>
          <w:sz w:val="28"/>
          <w:szCs w:val="28"/>
        </w:rPr>
        <w:t xml:space="preserve">II.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Unadjusted </w:t>
      </w:r>
      <w:r>
        <w:rPr>
          <w:rFonts w:hint="eastAsia" w:ascii="Times New Roman" w:hAnsi="Times New Roman" w:cs="Times New Roman"/>
          <w:b/>
          <w:bCs/>
          <w:color w:val="auto"/>
          <w:sz w:val="28"/>
          <w:szCs w:val="28"/>
        </w:rPr>
        <w:t>a</w:t>
      </w:r>
      <w:r>
        <w:rPr>
          <w:rFonts w:ascii="Times New Roman" w:hAnsi="Times New Roman" w:cs="Times New Roman"/>
          <w:b/>
          <w:bCs/>
          <w:color w:val="auto"/>
          <w:sz w:val="28"/>
          <w:szCs w:val="28"/>
        </w:rPr>
        <w:t xml:space="preserve">ssociation </w:t>
      </w:r>
      <w:r>
        <w:rPr>
          <w:rFonts w:hint="eastAsia" w:ascii="Times New Roman" w:hAnsi="Times New Roman" w:cs="Times New Roman"/>
          <w:b/>
          <w:bCs/>
          <w:color w:val="auto"/>
          <w:sz w:val="28"/>
          <w:szCs w:val="28"/>
        </w:rPr>
        <w:t>b</w:t>
      </w:r>
      <w:r>
        <w:rPr>
          <w:rFonts w:ascii="Times New Roman" w:hAnsi="Times New Roman" w:cs="Times New Roman"/>
          <w:b/>
          <w:bCs/>
          <w:color w:val="auto"/>
          <w:sz w:val="28"/>
          <w:szCs w:val="28"/>
        </w:rPr>
        <w:t xml:space="preserve">etween </w:t>
      </w:r>
      <w:r>
        <w:rPr>
          <w:rFonts w:hint="eastAsia" w:ascii="Times New Roman" w:hAnsi="Times New Roman" w:cs="Times New Roman"/>
          <w:b/>
          <w:bCs/>
          <w:color w:val="auto"/>
          <w:sz w:val="28"/>
          <w:szCs w:val="28"/>
        </w:rPr>
        <w:t>b</w:t>
      </w:r>
      <w:r>
        <w:rPr>
          <w:rFonts w:ascii="Times New Roman" w:hAnsi="Times New Roman" w:cs="Times New Roman"/>
          <w:b/>
          <w:bCs/>
          <w:color w:val="auto"/>
          <w:sz w:val="28"/>
          <w:szCs w:val="28"/>
        </w:rPr>
        <w:t xml:space="preserve">aseline </w:t>
      </w:r>
      <w:r>
        <w:rPr>
          <w:rFonts w:hint="eastAsia" w:ascii="Times New Roman" w:hAnsi="Times New Roman" w:cs="Times New Roman"/>
          <w:b/>
          <w:bCs/>
          <w:color w:val="auto"/>
          <w:sz w:val="28"/>
          <w:szCs w:val="28"/>
        </w:rPr>
        <w:t>v</w:t>
      </w:r>
      <w:r>
        <w:rPr>
          <w:rFonts w:ascii="Times New Roman" w:hAnsi="Times New Roman" w:cs="Times New Roman"/>
          <w:b/>
          <w:bCs/>
          <w:color w:val="auto"/>
          <w:sz w:val="28"/>
          <w:szCs w:val="28"/>
        </w:rPr>
        <w:t xml:space="preserve">ariables and </w:t>
      </w:r>
      <w:r>
        <w:rPr>
          <w:rFonts w:hint="eastAsia" w:ascii="Times New Roman" w:hAnsi="Times New Roman" w:cs="Times New Roman"/>
          <w:b/>
          <w:bCs/>
          <w:color w:val="auto"/>
          <w:sz w:val="28"/>
          <w:szCs w:val="28"/>
        </w:rPr>
        <w:t>m</w:t>
      </w:r>
      <w:r>
        <w:rPr>
          <w:rFonts w:ascii="Times New Roman" w:hAnsi="Times New Roman" w:cs="Times New Roman"/>
          <w:b/>
          <w:bCs/>
          <w:color w:val="auto"/>
          <w:sz w:val="28"/>
          <w:szCs w:val="28"/>
        </w:rPr>
        <w:t>ortality</w:t>
      </w:r>
      <w:bookmarkEnd w:id="11"/>
      <w:r>
        <w:rPr>
          <w:rFonts w:ascii="Times New Roman" w:hAnsi="Times New Roman" w:cs="Times New Roman"/>
          <w:b/>
          <w:bCs/>
          <w:color w:val="auto"/>
          <w:sz w:val="28"/>
          <w:szCs w:val="28"/>
        </w:rPr>
        <w:fldChar w:fldCharType="end"/>
      </w:r>
    </w:p>
    <w:p w14:paraId="6C56BFB2">
      <w:pPr>
        <w:pStyle w:val="3"/>
        <w:rPr>
          <w:rFonts w:ascii="Times New Roman" w:hAnsi="Times New Roman" w:cs="Times New Roman"/>
          <w:b/>
          <w:bCs/>
          <w:color w:val="auto"/>
          <w:sz w:val="24"/>
          <w:szCs w:val="24"/>
        </w:rPr>
      </w:pPr>
    </w:p>
    <w:p w14:paraId="5704F724">
      <w:pPr>
        <w:pStyle w:val="3"/>
        <w:ind w:firstLine="120" w:firstLineChars="50"/>
        <w:rPr>
          <w:rFonts w:ascii="Times New Roman" w:hAnsi="Times New Roman" w:cs="Times New Roman" w:eastAsiaTheme="minorEastAsia"/>
          <w:b/>
          <w:bCs/>
          <w:color w:val="auto"/>
          <w:sz w:val="28"/>
          <w:szCs w:val="28"/>
        </w:rPr>
      </w:pPr>
      <w:bookmarkStart w:id="12" w:name="_Toc218184813"/>
      <w:r>
        <w:rPr>
          <w:rFonts w:ascii="Times New Roman" w:hAnsi="Times New Roman" w:cs="Times New Roman"/>
          <w:b/>
          <w:bCs/>
          <w:color w:val="auto"/>
          <w:sz w:val="24"/>
          <w:szCs w:val="24"/>
        </w:rPr>
        <w:t>Table S3</w:t>
      </w:r>
      <w:r>
        <w:rPr>
          <w:rFonts w:ascii="Times New Roman" w:hAnsi="Times New Roman" w:cs="Times New Roman"/>
          <w:color w:val="auto"/>
          <w:sz w:val="24"/>
          <w:szCs w:val="24"/>
        </w:rPr>
        <w:t xml:space="preserve"> The unadjusted association between baseline variables and all-cause mortality (n = 15044).</w:t>
      </w:r>
      <w:bookmarkEnd w:id="12"/>
      <w:r>
        <w:rPr>
          <w:rFonts w:ascii="Times New Roman" w:hAnsi="Times New Roman" w:cs="Times New Roman"/>
          <w:color w:val="auto"/>
          <w:sz w:val="24"/>
          <w:szCs w:val="24"/>
        </w:rPr>
        <w:t xml:space="preserve"> </w:t>
      </w:r>
    </w:p>
    <w:tbl>
      <w:tblPr>
        <w:tblStyle w:val="23"/>
        <w:tblW w:w="811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3"/>
        <w:gridCol w:w="1837"/>
        <w:gridCol w:w="2593"/>
        <w:gridCol w:w="1130"/>
      </w:tblGrid>
      <w:tr w14:paraId="7E6825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Borders>
              <w:top w:val="single" w:color="auto" w:sz="8" w:space="0"/>
              <w:bottom w:val="single" w:color="auto" w:sz="4" w:space="0"/>
            </w:tcBorders>
          </w:tcPr>
          <w:p w14:paraId="7489F412">
            <w:pPr>
              <w:rPr>
                <w:rFonts w:cs="Times New Roman"/>
                <w:color w:val="auto"/>
                <w:kern w:val="0"/>
                <w:sz w:val="18"/>
                <w:szCs w:val="18"/>
              </w:rPr>
            </w:pPr>
            <w:r>
              <w:rPr>
                <w:rFonts w:cs="Times New Roman"/>
                <w:color w:val="auto"/>
                <w:kern w:val="0"/>
                <w:sz w:val="18"/>
                <w:szCs w:val="18"/>
              </w:rPr>
              <w:t>Exposure</w:t>
            </w:r>
          </w:p>
        </w:tc>
        <w:tc>
          <w:tcPr>
            <w:tcW w:w="1837" w:type="dxa"/>
            <w:tcBorders>
              <w:top w:val="single" w:color="auto" w:sz="8" w:space="0"/>
              <w:bottom w:val="single" w:color="auto" w:sz="4" w:space="0"/>
            </w:tcBorders>
          </w:tcPr>
          <w:p w14:paraId="6B654821">
            <w:pPr>
              <w:jc w:val="center"/>
              <w:rPr>
                <w:rFonts w:cs="Times New Roman"/>
                <w:color w:val="auto"/>
                <w:kern w:val="0"/>
                <w:sz w:val="18"/>
                <w:szCs w:val="18"/>
              </w:rPr>
            </w:pPr>
            <w:r>
              <w:rPr>
                <w:rFonts w:cs="Times New Roman"/>
                <w:color w:val="auto"/>
                <w:kern w:val="0"/>
                <w:sz w:val="18"/>
                <w:szCs w:val="18"/>
              </w:rPr>
              <w:t>Statistics</w:t>
            </w:r>
          </w:p>
        </w:tc>
        <w:tc>
          <w:tcPr>
            <w:tcW w:w="2593" w:type="dxa"/>
            <w:tcBorders>
              <w:top w:val="single" w:color="auto" w:sz="8" w:space="0"/>
              <w:bottom w:val="single" w:color="auto" w:sz="4" w:space="0"/>
            </w:tcBorders>
          </w:tcPr>
          <w:p w14:paraId="278D01EA">
            <w:pPr>
              <w:jc w:val="center"/>
              <w:rPr>
                <w:rFonts w:cs="Times New Roman"/>
                <w:color w:val="auto"/>
                <w:kern w:val="0"/>
                <w:sz w:val="18"/>
                <w:szCs w:val="18"/>
              </w:rPr>
            </w:pPr>
            <w:r>
              <w:rPr>
                <w:rFonts w:cs="Times New Roman"/>
                <w:color w:val="auto"/>
                <w:kern w:val="0"/>
                <w:sz w:val="18"/>
                <w:szCs w:val="18"/>
              </w:rPr>
              <w:t>Hazard ratio (95% CI)</w:t>
            </w:r>
          </w:p>
        </w:tc>
        <w:tc>
          <w:tcPr>
            <w:tcW w:w="1130" w:type="dxa"/>
            <w:tcBorders>
              <w:top w:val="single" w:color="auto" w:sz="8" w:space="0"/>
              <w:bottom w:val="single" w:color="auto" w:sz="4" w:space="0"/>
            </w:tcBorders>
          </w:tcPr>
          <w:p w14:paraId="678F4572">
            <w:pPr>
              <w:jc w:val="center"/>
              <w:rPr>
                <w:rFonts w:cs="Times New Roman"/>
                <w:color w:val="auto"/>
                <w:kern w:val="0"/>
                <w:sz w:val="18"/>
                <w:szCs w:val="18"/>
              </w:rPr>
            </w:pPr>
            <w:r>
              <w:rPr>
                <w:rFonts w:cs="Times New Roman"/>
                <w:i/>
                <w:iCs/>
                <w:color w:val="auto"/>
                <w:kern w:val="0"/>
                <w:sz w:val="18"/>
                <w:szCs w:val="18"/>
              </w:rPr>
              <w:t>P</w:t>
            </w:r>
            <w:r>
              <w:rPr>
                <w:rFonts w:cs="Times New Roman"/>
                <w:color w:val="auto"/>
                <w:kern w:val="0"/>
                <w:sz w:val="18"/>
                <w:szCs w:val="18"/>
              </w:rPr>
              <w:t xml:space="preserve"> value</w:t>
            </w:r>
          </w:p>
        </w:tc>
      </w:tr>
      <w:tr w14:paraId="01E911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Borders>
              <w:top w:val="single" w:color="auto" w:sz="4" w:space="0"/>
              <w:bottom w:val="nil"/>
            </w:tcBorders>
          </w:tcPr>
          <w:p w14:paraId="7C78EEC0">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GFI</w:t>
            </w:r>
          </w:p>
        </w:tc>
        <w:tc>
          <w:tcPr>
            <w:tcW w:w="1837" w:type="dxa"/>
            <w:tcBorders>
              <w:top w:val="single" w:color="auto" w:sz="4" w:space="0"/>
              <w:bottom w:val="nil"/>
            </w:tcBorders>
          </w:tcPr>
          <w:p w14:paraId="466C246D">
            <w:pPr>
              <w:jc w:val="center"/>
              <w:rPr>
                <w:rFonts w:cs="Times New Roman"/>
                <w:color w:val="auto"/>
                <w:kern w:val="0"/>
                <w:sz w:val="18"/>
                <w:szCs w:val="18"/>
              </w:rPr>
            </w:pPr>
            <w:r>
              <w:rPr>
                <w:rFonts w:cs="Times New Roman"/>
                <w:color w:val="auto"/>
                <w:kern w:val="0"/>
                <w:sz w:val="18"/>
                <w:szCs w:val="18"/>
              </w:rPr>
              <w:t>1.34 ± 0.91</w:t>
            </w:r>
          </w:p>
        </w:tc>
        <w:tc>
          <w:tcPr>
            <w:tcW w:w="2593" w:type="dxa"/>
            <w:tcBorders>
              <w:top w:val="single" w:color="auto" w:sz="4" w:space="0"/>
              <w:bottom w:val="nil"/>
            </w:tcBorders>
          </w:tcPr>
          <w:p w14:paraId="3DBE39FF">
            <w:pPr>
              <w:jc w:val="center"/>
              <w:rPr>
                <w:rFonts w:cs="Times New Roman"/>
                <w:color w:val="auto"/>
                <w:kern w:val="0"/>
                <w:sz w:val="18"/>
                <w:szCs w:val="18"/>
              </w:rPr>
            </w:pPr>
            <w:r>
              <w:rPr>
                <w:rFonts w:cs="Times New Roman"/>
                <w:color w:val="auto"/>
                <w:kern w:val="0"/>
                <w:sz w:val="18"/>
                <w:szCs w:val="18"/>
              </w:rPr>
              <w:t>1.99 (1.91, 2.06)</w:t>
            </w:r>
          </w:p>
        </w:tc>
        <w:tc>
          <w:tcPr>
            <w:tcW w:w="1130" w:type="dxa"/>
            <w:tcBorders>
              <w:top w:val="single" w:color="auto" w:sz="4" w:space="0"/>
              <w:bottom w:val="nil"/>
            </w:tcBorders>
          </w:tcPr>
          <w:p w14:paraId="45C3C1A8">
            <w:pPr>
              <w:jc w:val="center"/>
              <w:rPr>
                <w:rFonts w:cs="Times New Roman"/>
                <w:color w:val="auto"/>
                <w:kern w:val="0"/>
                <w:sz w:val="18"/>
                <w:szCs w:val="18"/>
              </w:rPr>
            </w:pPr>
            <w:r>
              <w:rPr>
                <w:rFonts w:cs="Times New Roman"/>
                <w:color w:val="auto"/>
                <w:kern w:val="0"/>
                <w:sz w:val="18"/>
                <w:szCs w:val="18"/>
              </w:rPr>
              <w:t>&lt;0.0001</w:t>
            </w:r>
          </w:p>
        </w:tc>
      </w:tr>
      <w:tr w14:paraId="161805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Borders>
              <w:top w:val="nil"/>
            </w:tcBorders>
          </w:tcPr>
          <w:p w14:paraId="6554933D">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GFI tertile</w:t>
            </w:r>
          </w:p>
        </w:tc>
        <w:tc>
          <w:tcPr>
            <w:tcW w:w="1837" w:type="dxa"/>
            <w:tcBorders>
              <w:top w:val="nil"/>
            </w:tcBorders>
          </w:tcPr>
          <w:p w14:paraId="78A16CA4">
            <w:pPr>
              <w:jc w:val="center"/>
              <w:rPr>
                <w:rFonts w:cs="Times New Roman"/>
                <w:color w:val="auto"/>
                <w:kern w:val="0"/>
                <w:sz w:val="18"/>
                <w:szCs w:val="18"/>
              </w:rPr>
            </w:pPr>
          </w:p>
        </w:tc>
        <w:tc>
          <w:tcPr>
            <w:tcW w:w="2593" w:type="dxa"/>
            <w:tcBorders>
              <w:top w:val="nil"/>
            </w:tcBorders>
          </w:tcPr>
          <w:p w14:paraId="63D1CC7B">
            <w:pPr>
              <w:jc w:val="center"/>
              <w:rPr>
                <w:rFonts w:cs="Times New Roman"/>
                <w:color w:val="auto"/>
                <w:kern w:val="0"/>
                <w:sz w:val="18"/>
                <w:szCs w:val="18"/>
              </w:rPr>
            </w:pPr>
          </w:p>
        </w:tc>
        <w:tc>
          <w:tcPr>
            <w:tcW w:w="1130" w:type="dxa"/>
            <w:tcBorders>
              <w:top w:val="nil"/>
            </w:tcBorders>
          </w:tcPr>
          <w:p w14:paraId="029E8319">
            <w:pPr>
              <w:jc w:val="center"/>
              <w:rPr>
                <w:rFonts w:cs="Times New Roman"/>
                <w:color w:val="auto"/>
                <w:kern w:val="0"/>
                <w:sz w:val="18"/>
                <w:szCs w:val="18"/>
              </w:rPr>
            </w:pPr>
          </w:p>
        </w:tc>
      </w:tr>
      <w:tr w14:paraId="3E2C26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29B2B7B">
            <w:pPr>
              <w:rPr>
                <w:rFonts w:cs="Times New Roman"/>
                <w:color w:val="auto"/>
                <w:kern w:val="0"/>
                <w:sz w:val="18"/>
                <w:szCs w:val="18"/>
              </w:rPr>
            </w:pPr>
            <w:r>
              <w:rPr>
                <w:rFonts w:cs="Times New Roman"/>
                <w:color w:val="auto"/>
                <w:kern w:val="0"/>
                <w:sz w:val="18"/>
                <w:szCs w:val="18"/>
              </w:rPr>
              <w:t>   Low</w:t>
            </w:r>
          </w:p>
        </w:tc>
        <w:tc>
          <w:tcPr>
            <w:tcW w:w="1837" w:type="dxa"/>
          </w:tcPr>
          <w:p w14:paraId="05DFCBF4">
            <w:pPr>
              <w:jc w:val="center"/>
              <w:rPr>
                <w:rFonts w:cs="Times New Roman"/>
                <w:color w:val="auto"/>
                <w:kern w:val="0"/>
                <w:sz w:val="18"/>
                <w:szCs w:val="18"/>
              </w:rPr>
            </w:pPr>
            <w:r>
              <w:rPr>
                <w:rFonts w:cs="Times New Roman"/>
                <w:color w:val="auto"/>
                <w:kern w:val="0"/>
                <w:sz w:val="18"/>
                <w:szCs w:val="18"/>
              </w:rPr>
              <w:t>5015 (33.34%)</w:t>
            </w:r>
          </w:p>
        </w:tc>
        <w:tc>
          <w:tcPr>
            <w:tcW w:w="2593" w:type="dxa"/>
          </w:tcPr>
          <w:p w14:paraId="75A000F1">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16510B53">
            <w:pPr>
              <w:jc w:val="center"/>
              <w:rPr>
                <w:rFonts w:cs="Times New Roman"/>
                <w:color w:val="auto"/>
                <w:kern w:val="0"/>
                <w:sz w:val="18"/>
                <w:szCs w:val="18"/>
              </w:rPr>
            </w:pPr>
          </w:p>
        </w:tc>
      </w:tr>
      <w:tr w14:paraId="05AC1C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ED4852D">
            <w:pPr>
              <w:rPr>
                <w:rFonts w:cs="Times New Roman"/>
                <w:color w:val="auto"/>
                <w:kern w:val="0"/>
                <w:sz w:val="18"/>
                <w:szCs w:val="18"/>
              </w:rPr>
            </w:pPr>
            <w:r>
              <w:rPr>
                <w:rFonts w:cs="Times New Roman"/>
                <w:color w:val="auto"/>
                <w:kern w:val="0"/>
                <w:sz w:val="18"/>
                <w:szCs w:val="18"/>
              </w:rPr>
              <w:t>   Middle</w:t>
            </w:r>
          </w:p>
        </w:tc>
        <w:tc>
          <w:tcPr>
            <w:tcW w:w="1837" w:type="dxa"/>
          </w:tcPr>
          <w:p w14:paraId="7A05F060">
            <w:pPr>
              <w:jc w:val="center"/>
              <w:rPr>
                <w:rFonts w:cs="Times New Roman"/>
                <w:color w:val="auto"/>
                <w:kern w:val="0"/>
                <w:sz w:val="18"/>
                <w:szCs w:val="18"/>
              </w:rPr>
            </w:pPr>
            <w:r>
              <w:rPr>
                <w:rFonts w:cs="Times New Roman"/>
                <w:color w:val="auto"/>
                <w:kern w:val="0"/>
                <w:sz w:val="18"/>
                <w:szCs w:val="18"/>
              </w:rPr>
              <w:t>5014 (33.33%)</w:t>
            </w:r>
          </w:p>
        </w:tc>
        <w:tc>
          <w:tcPr>
            <w:tcW w:w="2593" w:type="dxa"/>
          </w:tcPr>
          <w:p w14:paraId="50E39BB2">
            <w:pPr>
              <w:jc w:val="center"/>
              <w:rPr>
                <w:rFonts w:cs="Times New Roman"/>
                <w:color w:val="auto"/>
                <w:kern w:val="0"/>
                <w:sz w:val="18"/>
                <w:szCs w:val="18"/>
              </w:rPr>
            </w:pPr>
            <w:r>
              <w:rPr>
                <w:rFonts w:cs="Times New Roman"/>
                <w:color w:val="auto"/>
                <w:kern w:val="0"/>
                <w:sz w:val="18"/>
                <w:szCs w:val="18"/>
              </w:rPr>
              <w:t>2.53 (2.10, 3.04)</w:t>
            </w:r>
          </w:p>
        </w:tc>
        <w:tc>
          <w:tcPr>
            <w:tcW w:w="1130" w:type="dxa"/>
          </w:tcPr>
          <w:p w14:paraId="46D8C937">
            <w:pPr>
              <w:jc w:val="center"/>
              <w:rPr>
                <w:rFonts w:cs="Times New Roman"/>
                <w:color w:val="auto"/>
                <w:kern w:val="0"/>
                <w:sz w:val="18"/>
                <w:szCs w:val="18"/>
              </w:rPr>
            </w:pPr>
            <w:r>
              <w:rPr>
                <w:rFonts w:cs="Times New Roman"/>
                <w:color w:val="auto"/>
                <w:kern w:val="0"/>
                <w:sz w:val="18"/>
                <w:szCs w:val="18"/>
              </w:rPr>
              <w:t>&lt;0.0001</w:t>
            </w:r>
          </w:p>
        </w:tc>
      </w:tr>
      <w:tr w14:paraId="233298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6D79617">
            <w:pPr>
              <w:rPr>
                <w:rFonts w:cs="Times New Roman"/>
                <w:color w:val="auto"/>
                <w:kern w:val="0"/>
                <w:sz w:val="18"/>
                <w:szCs w:val="18"/>
              </w:rPr>
            </w:pPr>
            <w:r>
              <w:rPr>
                <w:rFonts w:cs="Times New Roman"/>
                <w:color w:val="auto"/>
                <w:kern w:val="0"/>
                <w:sz w:val="18"/>
                <w:szCs w:val="18"/>
              </w:rPr>
              <w:t>   High</w:t>
            </w:r>
          </w:p>
        </w:tc>
        <w:tc>
          <w:tcPr>
            <w:tcW w:w="1837" w:type="dxa"/>
          </w:tcPr>
          <w:p w14:paraId="07A5CDDF">
            <w:pPr>
              <w:jc w:val="center"/>
              <w:rPr>
                <w:rFonts w:cs="Times New Roman"/>
                <w:color w:val="auto"/>
                <w:kern w:val="0"/>
                <w:sz w:val="18"/>
                <w:szCs w:val="18"/>
              </w:rPr>
            </w:pPr>
            <w:r>
              <w:rPr>
                <w:rFonts w:cs="Times New Roman"/>
                <w:color w:val="auto"/>
                <w:kern w:val="0"/>
                <w:sz w:val="18"/>
                <w:szCs w:val="18"/>
              </w:rPr>
              <w:t>5015 (33.34%)</w:t>
            </w:r>
          </w:p>
        </w:tc>
        <w:tc>
          <w:tcPr>
            <w:tcW w:w="2593" w:type="dxa"/>
          </w:tcPr>
          <w:p w14:paraId="7ED78B7F">
            <w:pPr>
              <w:jc w:val="center"/>
              <w:rPr>
                <w:rFonts w:cs="Times New Roman"/>
                <w:color w:val="auto"/>
                <w:kern w:val="0"/>
                <w:sz w:val="18"/>
                <w:szCs w:val="18"/>
              </w:rPr>
            </w:pPr>
            <w:r>
              <w:rPr>
                <w:rFonts w:cs="Times New Roman"/>
                <w:color w:val="auto"/>
                <w:kern w:val="0"/>
                <w:sz w:val="18"/>
                <w:szCs w:val="18"/>
              </w:rPr>
              <w:t>7.75 (6.55, 9.16)</w:t>
            </w:r>
          </w:p>
        </w:tc>
        <w:tc>
          <w:tcPr>
            <w:tcW w:w="1130" w:type="dxa"/>
          </w:tcPr>
          <w:p w14:paraId="2E0F7CC7">
            <w:pPr>
              <w:jc w:val="center"/>
              <w:rPr>
                <w:rFonts w:cs="Times New Roman"/>
                <w:color w:val="auto"/>
                <w:kern w:val="0"/>
                <w:sz w:val="18"/>
                <w:szCs w:val="18"/>
              </w:rPr>
            </w:pPr>
            <w:r>
              <w:rPr>
                <w:rFonts w:cs="Times New Roman"/>
                <w:color w:val="auto"/>
                <w:kern w:val="0"/>
                <w:sz w:val="18"/>
                <w:szCs w:val="18"/>
              </w:rPr>
              <w:t>&lt;0.0001</w:t>
            </w:r>
          </w:p>
        </w:tc>
      </w:tr>
      <w:tr w14:paraId="33DF9F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7177857">
            <w:pPr>
              <w:rPr>
                <w:rFonts w:cs="Times New Roman"/>
                <w:color w:val="auto"/>
                <w:kern w:val="0"/>
                <w:sz w:val="18"/>
                <w:szCs w:val="18"/>
              </w:rPr>
            </w:pPr>
            <w:r>
              <w:rPr>
                <w:rFonts w:cs="Times New Roman"/>
                <w:color w:val="auto"/>
                <w:kern w:val="0"/>
                <w:sz w:val="18"/>
                <w:szCs w:val="18"/>
              </w:rPr>
              <w:t>A</w:t>
            </w:r>
            <w:r>
              <w:rPr>
                <w:rFonts w:hint="eastAsia" w:cs="Times New Roman"/>
                <w:color w:val="auto"/>
                <w:kern w:val="0"/>
                <w:sz w:val="18"/>
                <w:szCs w:val="18"/>
              </w:rPr>
              <w:t>ge, years</w:t>
            </w:r>
          </w:p>
        </w:tc>
        <w:tc>
          <w:tcPr>
            <w:tcW w:w="1837" w:type="dxa"/>
          </w:tcPr>
          <w:p w14:paraId="0A707F7F">
            <w:pPr>
              <w:jc w:val="center"/>
              <w:rPr>
                <w:rFonts w:cs="Times New Roman"/>
                <w:color w:val="auto"/>
                <w:kern w:val="0"/>
                <w:sz w:val="18"/>
                <w:szCs w:val="18"/>
              </w:rPr>
            </w:pPr>
            <w:r>
              <w:rPr>
                <w:rFonts w:cs="Times New Roman"/>
                <w:color w:val="auto"/>
                <w:kern w:val="0"/>
                <w:sz w:val="18"/>
                <w:szCs w:val="18"/>
              </w:rPr>
              <w:t>50.62 ± 17.67</w:t>
            </w:r>
          </w:p>
        </w:tc>
        <w:tc>
          <w:tcPr>
            <w:tcW w:w="2593" w:type="dxa"/>
          </w:tcPr>
          <w:p w14:paraId="18D7CF1B">
            <w:pPr>
              <w:jc w:val="center"/>
              <w:rPr>
                <w:rFonts w:cs="Times New Roman"/>
                <w:color w:val="auto"/>
                <w:kern w:val="0"/>
                <w:sz w:val="18"/>
                <w:szCs w:val="18"/>
              </w:rPr>
            </w:pPr>
            <w:r>
              <w:rPr>
                <w:rFonts w:cs="Times New Roman"/>
                <w:color w:val="auto"/>
                <w:kern w:val="0"/>
                <w:sz w:val="18"/>
                <w:szCs w:val="18"/>
              </w:rPr>
              <w:t>1.10 (1.09, 1.10)</w:t>
            </w:r>
          </w:p>
        </w:tc>
        <w:tc>
          <w:tcPr>
            <w:tcW w:w="1130" w:type="dxa"/>
          </w:tcPr>
          <w:p w14:paraId="2A30F97B">
            <w:pPr>
              <w:jc w:val="center"/>
              <w:rPr>
                <w:rFonts w:cs="Times New Roman"/>
                <w:color w:val="auto"/>
                <w:kern w:val="0"/>
                <w:sz w:val="18"/>
                <w:szCs w:val="18"/>
              </w:rPr>
            </w:pPr>
            <w:r>
              <w:rPr>
                <w:rFonts w:cs="Times New Roman"/>
                <w:color w:val="auto"/>
                <w:kern w:val="0"/>
                <w:sz w:val="18"/>
                <w:szCs w:val="18"/>
              </w:rPr>
              <w:t>&lt;0.0001</w:t>
            </w:r>
          </w:p>
        </w:tc>
      </w:tr>
      <w:tr w14:paraId="432B10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50162B2">
            <w:pPr>
              <w:rPr>
                <w:rFonts w:cs="Times New Roman"/>
                <w:color w:val="auto"/>
                <w:kern w:val="0"/>
                <w:sz w:val="18"/>
                <w:szCs w:val="18"/>
              </w:rPr>
            </w:pPr>
            <w:r>
              <w:rPr>
                <w:rFonts w:cs="Times New Roman"/>
                <w:color w:val="auto"/>
                <w:kern w:val="0"/>
                <w:sz w:val="18"/>
                <w:szCs w:val="18"/>
              </w:rPr>
              <w:t>S</w:t>
            </w:r>
            <w:r>
              <w:rPr>
                <w:rFonts w:hint="eastAsia" w:cs="Times New Roman"/>
                <w:color w:val="auto"/>
                <w:kern w:val="0"/>
                <w:sz w:val="18"/>
                <w:szCs w:val="18"/>
              </w:rPr>
              <w:t xml:space="preserve">ex, </w:t>
            </w:r>
            <w:r>
              <w:rPr>
                <w:rFonts w:cs="Times New Roman"/>
                <w:color w:val="auto"/>
                <w:kern w:val="0"/>
                <w:sz w:val="18"/>
                <w:szCs w:val="18"/>
              </w:rPr>
              <w:t>(%)</w:t>
            </w:r>
          </w:p>
        </w:tc>
        <w:tc>
          <w:tcPr>
            <w:tcW w:w="1837" w:type="dxa"/>
          </w:tcPr>
          <w:p w14:paraId="4134127E">
            <w:pPr>
              <w:jc w:val="center"/>
              <w:rPr>
                <w:rFonts w:cs="Times New Roman"/>
                <w:color w:val="auto"/>
                <w:kern w:val="0"/>
                <w:sz w:val="18"/>
                <w:szCs w:val="18"/>
              </w:rPr>
            </w:pPr>
          </w:p>
        </w:tc>
        <w:tc>
          <w:tcPr>
            <w:tcW w:w="2593" w:type="dxa"/>
          </w:tcPr>
          <w:p w14:paraId="05B63EB9">
            <w:pPr>
              <w:jc w:val="center"/>
              <w:rPr>
                <w:rFonts w:cs="Times New Roman"/>
                <w:color w:val="auto"/>
                <w:kern w:val="0"/>
                <w:sz w:val="18"/>
                <w:szCs w:val="18"/>
              </w:rPr>
            </w:pPr>
          </w:p>
        </w:tc>
        <w:tc>
          <w:tcPr>
            <w:tcW w:w="1130" w:type="dxa"/>
          </w:tcPr>
          <w:p w14:paraId="3B90F59B">
            <w:pPr>
              <w:jc w:val="center"/>
              <w:rPr>
                <w:rFonts w:cs="Times New Roman"/>
                <w:color w:val="auto"/>
                <w:kern w:val="0"/>
                <w:sz w:val="18"/>
                <w:szCs w:val="18"/>
              </w:rPr>
            </w:pPr>
          </w:p>
        </w:tc>
      </w:tr>
      <w:tr w14:paraId="0B42F1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6196D03">
            <w:pPr>
              <w:ind w:firstLine="180" w:firstLineChars="100"/>
              <w:rPr>
                <w:rFonts w:cs="Times New Roman"/>
                <w:color w:val="auto"/>
                <w:kern w:val="0"/>
                <w:sz w:val="18"/>
                <w:szCs w:val="18"/>
              </w:rPr>
            </w:pPr>
            <w:r>
              <w:rPr>
                <w:rFonts w:hint="eastAsia" w:cs="Times New Roman"/>
                <w:color w:val="auto"/>
                <w:kern w:val="0"/>
                <w:sz w:val="18"/>
                <w:szCs w:val="18"/>
              </w:rPr>
              <w:t>Male</w:t>
            </w:r>
          </w:p>
        </w:tc>
        <w:tc>
          <w:tcPr>
            <w:tcW w:w="1837" w:type="dxa"/>
          </w:tcPr>
          <w:p w14:paraId="7877E8EC">
            <w:pPr>
              <w:jc w:val="center"/>
              <w:rPr>
                <w:rFonts w:cs="Times New Roman"/>
                <w:color w:val="auto"/>
                <w:kern w:val="0"/>
                <w:sz w:val="18"/>
                <w:szCs w:val="18"/>
              </w:rPr>
            </w:pPr>
            <w:r>
              <w:rPr>
                <w:rFonts w:cs="Times New Roman"/>
                <w:color w:val="auto"/>
                <w:kern w:val="0"/>
                <w:sz w:val="18"/>
                <w:szCs w:val="18"/>
              </w:rPr>
              <w:t>7388 (49.11%)</w:t>
            </w:r>
          </w:p>
        </w:tc>
        <w:tc>
          <w:tcPr>
            <w:tcW w:w="2593" w:type="dxa"/>
          </w:tcPr>
          <w:p w14:paraId="2B2FA7F6">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5E4B5684">
            <w:pPr>
              <w:jc w:val="center"/>
              <w:rPr>
                <w:rFonts w:cs="Times New Roman"/>
                <w:color w:val="auto"/>
                <w:kern w:val="0"/>
                <w:sz w:val="18"/>
                <w:szCs w:val="18"/>
              </w:rPr>
            </w:pPr>
          </w:p>
        </w:tc>
      </w:tr>
      <w:tr w14:paraId="61E177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228428C">
            <w:pPr>
              <w:ind w:firstLine="180" w:firstLineChars="100"/>
              <w:rPr>
                <w:rFonts w:cs="Times New Roman"/>
                <w:color w:val="auto"/>
                <w:kern w:val="0"/>
                <w:sz w:val="18"/>
                <w:szCs w:val="18"/>
              </w:rPr>
            </w:pPr>
            <w:r>
              <w:rPr>
                <w:rFonts w:hint="eastAsia" w:cs="Times New Roman"/>
                <w:color w:val="auto"/>
                <w:kern w:val="0"/>
                <w:sz w:val="18"/>
                <w:szCs w:val="18"/>
              </w:rPr>
              <w:t>Female</w:t>
            </w:r>
          </w:p>
        </w:tc>
        <w:tc>
          <w:tcPr>
            <w:tcW w:w="1837" w:type="dxa"/>
          </w:tcPr>
          <w:p w14:paraId="7D8DAF00">
            <w:pPr>
              <w:jc w:val="center"/>
              <w:rPr>
                <w:rFonts w:cs="Times New Roman"/>
                <w:color w:val="auto"/>
                <w:kern w:val="0"/>
                <w:sz w:val="18"/>
                <w:szCs w:val="18"/>
              </w:rPr>
            </w:pPr>
            <w:r>
              <w:rPr>
                <w:rFonts w:cs="Times New Roman"/>
                <w:color w:val="auto"/>
                <w:kern w:val="0"/>
                <w:sz w:val="18"/>
                <w:szCs w:val="18"/>
              </w:rPr>
              <w:t>7656 (50.89%)</w:t>
            </w:r>
          </w:p>
        </w:tc>
        <w:tc>
          <w:tcPr>
            <w:tcW w:w="2593" w:type="dxa"/>
          </w:tcPr>
          <w:p w14:paraId="3F7F9168">
            <w:pPr>
              <w:jc w:val="center"/>
              <w:rPr>
                <w:rFonts w:cs="Times New Roman"/>
                <w:color w:val="auto"/>
                <w:kern w:val="0"/>
                <w:sz w:val="18"/>
                <w:szCs w:val="18"/>
              </w:rPr>
            </w:pPr>
            <w:r>
              <w:rPr>
                <w:rFonts w:cs="Times New Roman"/>
                <w:color w:val="auto"/>
                <w:kern w:val="0"/>
                <w:sz w:val="18"/>
                <w:szCs w:val="18"/>
              </w:rPr>
              <w:t>0.71 (0.64, 0.78)</w:t>
            </w:r>
          </w:p>
        </w:tc>
        <w:tc>
          <w:tcPr>
            <w:tcW w:w="1130" w:type="dxa"/>
          </w:tcPr>
          <w:p w14:paraId="1BFA06BE">
            <w:pPr>
              <w:jc w:val="center"/>
              <w:rPr>
                <w:rFonts w:cs="Times New Roman"/>
                <w:color w:val="auto"/>
                <w:kern w:val="0"/>
                <w:sz w:val="18"/>
                <w:szCs w:val="18"/>
              </w:rPr>
            </w:pPr>
            <w:r>
              <w:rPr>
                <w:rFonts w:cs="Times New Roman"/>
                <w:color w:val="auto"/>
                <w:kern w:val="0"/>
                <w:sz w:val="18"/>
                <w:szCs w:val="18"/>
              </w:rPr>
              <w:t>&lt;0.0001</w:t>
            </w:r>
          </w:p>
        </w:tc>
      </w:tr>
      <w:tr w14:paraId="4D70D6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1A6A0A4">
            <w:pPr>
              <w:rPr>
                <w:rFonts w:cs="Times New Roman"/>
                <w:color w:val="auto"/>
                <w:kern w:val="0"/>
                <w:sz w:val="18"/>
                <w:szCs w:val="18"/>
              </w:rPr>
            </w:pPr>
            <w:r>
              <w:rPr>
                <w:rFonts w:cs="Times New Roman"/>
                <w:color w:val="auto"/>
                <w:kern w:val="0"/>
                <w:sz w:val="18"/>
                <w:szCs w:val="18"/>
              </w:rPr>
              <w:t>R</w:t>
            </w:r>
            <w:r>
              <w:rPr>
                <w:rFonts w:hint="eastAsia" w:cs="Times New Roman"/>
                <w:color w:val="auto"/>
                <w:kern w:val="0"/>
                <w:sz w:val="18"/>
                <w:szCs w:val="18"/>
              </w:rPr>
              <w:t>ace, (%)</w:t>
            </w:r>
          </w:p>
        </w:tc>
        <w:tc>
          <w:tcPr>
            <w:tcW w:w="1837" w:type="dxa"/>
          </w:tcPr>
          <w:p w14:paraId="106D8780">
            <w:pPr>
              <w:jc w:val="center"/>
              <w:rPr>
                <w:rFonts w:cs="Times New Roman"/>
                <w:color w:val="auto"/>
                <w:kern w:val="0"/>
                <w:sz w:val="18"/>
                <w:szCs w:val="18"/>
              </w:rPr>
            </w:pPr>
          </w:p>
        </w:tc>
        <w:tc>
          <w:tcPr>
            <w:tcW w:w="2593" w:type="dxa"/>
          </w:tcPr>
          <w:p w14:paraId="54F3FDC2">
            <w:pPr>
              <w:jc w:val="center"/>
              <w:rPr>
                <w:rFonts w:cs="Times New Roman"/>
                <w:color w:val="auto"/>
                <w:kern w:val="0"/>
                <w:sz w:val="18"/>
                <w:szCs w:val="18"/>
              </w:rPr>
            </w:pPr>
          </w:p>
        </w:tc>
        <w:tc>
          <w:tcPr>
            <w:tcW w:w="1130" w:type="dxa"/>
          </w:tcPr>
          <w:p w14:paraId="2F5AE786">
            <w:pPr>
              <w:jc w:val="center"/>
              <w:rPr>
                <w:rFonts w:cs="Times New Roman"/>
                <w:color w:val="auto"/>
                <w:kern w:val="0"/>
                <w:sz w:val="18"/>
                <w:szCs w:val="18"/>
              </w:rPr>
            </w:pPr>
          </w:p>
        </w:tc>
      </w:tr>
      <w:tr w14:paraId="3B145C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7CE859E6">
            <w:pPr>
              <w:ind w:firstLine="180" w:firstLineChars="100"/>
              <w:rPr>
                <w:rFonts w:cs="Times New Roman"/>
                <w:color w:val="auto"/>
                <w:kern w:val="0"/>
                <w:sz w:val="18"/>
                <w:szCs w:val="18"/>
              </w:rPr>
            </w:pPr>
            <w:r>
              <w:rPr>
                <w:rFonts w:cs="Times New Roman"/>
                <w:color w:val="auto"/>
                <w:kern w:val="0"/>
                <w:sz w:val="18"/>
                <w:szCs w:val="18"/>
              </w:rPr>
              <w:t>Mexican American</w:t>
            </w:r>
          </w:p>
        </w:tc>
        <w:tc>
          <w:tcPr>
            <w:tcW w:w="1837" w:type="dxa"/>
          </w:tcPr>
          <w:p w14:paraId="78CDCF74">
            <w:pPr>
              <w:jc w:val="center"/>
              <w:rPr>
                <w:rFonts w:cs="Times New Roman"/>
                <w:color w:val="auto"/>
                <w:kern w:val="0"/>
                <w:sz w:val="18"/>
                <w:szCs w:val="18"/>
              </w:rPr>
            </w:pPr>
            <w:r>
              <w:rPr>
                <w:rFonts w:cs="Times New Roman"/>
                <w:color w:val="auto"/>
                <w:kern w:val="0"/>
                <w:sz w:val="18"/>
                <w:szCs w:val="18"/>
              </w:rPr>
              <w:t>2370 (15.75%)</w:t>
            </w:r>
          </w:p>
        </w:tc>
        <w:tc>
          <w:tcPr>
            <w:tcW w:w="2593" w:type="dxa"/>
          </w:tcPr>
          <w:p w14:paraId="0A9C7B92">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303D4F34">
            <w:pPr>
              <w:jc w:val="center"/>
              <w:rPr>
                <w:rFonts w:cs="Times New Roman"/>
                <w:color w:val="auto"/>
                <w:kern w:val="0"/>
                <w:sz w:val="18"/>
                <w:szCs w:val="18"/>
              </w:rPr>
            </w:pPr>
          </w:p>
        </w:tc>
      </w:tr>
      <w:tr w14:paraId="6CE5D8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72B8A76">
            <w:pPr>
              <w:ind w:firstLine="180" w:firstLineChars="100"/>
              <w:rPr>
                <w:rFonts w:cs="Times New Roman"/>
                <w:color w:val="auto"/>
                <w:kern w:val="0"/>
                <w:sz w:val="18"/>
                <w:szCs w:val="18"/>
              </w:rPr>
            </w:pPr>
            <w:r>
              <w:rPr>
                <w:rFonts w:cs="Times New Roman"/>
                <w:color w:val="auto"/>
                <w:kern w:val="0"/>
                <w:sz w:val="18"/>
                <w:szCs w:val="18"/>
              </w:rPr>
              <w:t>Non-Hispanic White</w:t>
            </w:r>
          </w:p>
        </w:tc>
        <w:tc>
          <w:tcPr>
            <w:tcW w:w="1837" w:type="dxa"/>
          </w:tcPr>
          <w:p w14:paraId="7C6B8CCE">
            <w:pPr>
              <w:jc w:val="center"/>
              <w:rPr>
                <w:rFonts w:cs="Times New Roman"/>
                <w:color w:val="auto"/>
                <w:kern w:val="0"/>
                <w:sz w:val="18"/>
                <w:szCs w:val="18"/>
              </w:rPr>
            </w:pPr>
            <w:r>
              <w:rPr>
                <w:rFonts w:cs="Times New Roman"/>
                <w:color w:val="auto"/>
                <w:kern w:val="0"/>
                <w:sz w:val="18"/>
                <w:szCs w:val="18"/>
              </w:rPr>
              <w:t>1524 (10.13%)</w:t>
            </w:r>
          </w:p>
        </w:tc>
        <w:tc>
          <w:tcPr>
            <w:tcW w:w="2593" w:type="dxa"/>
          </w:tcPr>
          <w:p w14:paraId="4505C707">
            <w:pPr>
              <w:jc w:val="center"/>
              <w:rPr>
                <w:rFonts w:cs="Times New Roman"/>
                <w:color w:val="auto"/>
                <w:kern w:val="0"/>
                <w:sz w:val="18"/>
                <w:szCs w:val="18"/>
              </w:rPr>
            </w:pPr>
            <w:r>
              <w:rPr>
                <w:rFonts w:cs="Times New Roman"/>
                <w:color w:val="auto"/>
                <w:kern w:val="0"/>
                <w:sz w:val="18"/>
                <w:szCs w:val="18"/>
              </w:rPr>
              <w:t>1.08 (0.82, 1.42)</w:t>
            </w:r>
          </w:p>
        </w:tc>
        <w:tc>
          <w:tcPr>
            <w:tcW w:w="1130" w:type="dxa"/>
          </w:tcPr>
          <w:p w14:paraId="09B12BB1">
            <w:pPr>
              <w:jc w:val="center"/>
              <w:rPr>
                <w:rFonts w:cs="Times New Roman"/>
                <w:color w:val="auto"/>
                <w:kern w:val="0"/>
                <w:sz w:val="18"/>
                <w:szCs w:val="18"/>
              </w:rPr>
            </w:pPr>
            <w:r>
              <w:rPr>
                <w:rFonts w:cs="Times New Roman"/>
                <w:color w:val="auto"/>
                <w:kern w:val="0"/>
                <w:sz w:val="18"/>
                <w:szCs w:val="18"/>
              </w:rPr>
              <w:t>0.6018</w:t>
            </w:r>
          </w:p>
        </w:tc>
      </w:tr>
      <w:tr w14:paraId="4F4DBF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48A03D21">
            <w:pPr>
              <w:ind w:firstLine="180" w:firstLineChars="100"/>
              <w:rPr>
                <w:rFonts w:cs="Times New Roman"/>
                <w:color w:val="auto"/>
                <w:kern w:val="0"/>
                <w:sz w:val="18"/>
                <w:szCs w:val="18"/>
              </w:rPr>
            </w:pPr>
            <w:r>
              <w:rPr>
                <w:rFonts w:cs="Times New Roman"/>
                <w:color w:val="auto"/>
                <w:kern w:val="0"/>
                <w:sz w:val="18"/>
                <w:szCs w:val="18"/>
              </w:rPr>
              <w:t>Non-Hispanic Black</w:t>
            </w:r>
          </w:p>
        </w:tc>
        <w:tc>
          <w:tcPr>
            <w:tcW w:w="1837" w:type="dxa"/>
          </w:tcPr>
          <w:p w14:paraId="4655F32E">
            <w:pPr>
              <w:jc w:val="center"/>
              <w:rPr>
                <w:rFonts w:cs="Times New Roman"/>
                <w:color w:val="auto"/>
                <w:kern w:val="0"/>
                <w:sz w:val="18"/>
                <w:szCs w:val="18"/>
              </w:rPr>
            </w:pPr>
            <w:r>
              <w:rPr>
                <w:rFonts w:cs="Times New Roman"/>
                <w:color w:val="auto"/>
                <w:kern w:val="0"/>
                <w:sz w:val="18"/>
                <w:szCs w:val="18"/>
              </w:rPr>
              <w:t>6339 (42.14%)</w:t>
            </w:r>
          </w:p>
        </w:tc>
        <w:tc>
          <w:tcPr>
            <w:tcW w:w="2593" w:type="dxa"/>
          </w:tcPr>
          <w:p w14:paraId="6A5EFD88">
            <w:pPr>
              <w:jc w:val="center"/>
              <w:rPr>
                <w:rFonts w:cs="Times New Roman"/>
                <w:color w:val="auto"/>
                <w:kern w:val="0"/>
                <w:sz w:val="18"/>
                <w:szCs w:val="18"/>
              </w:rPr>
            </w:pPr>
            <w:r>
              <w:rPr>
                <w:rFonts w:cs="Times New Roman"/>
                <w:color w:val="auto"/>
                <w:kern w:val="0"/>
                <w:sz w:val="18"/>
                <w:szCs w:val="18"/>
              </w:rPr>
              <w:t>2.96 (2.48, 3.54)</w:t>
            </w:r>
          </w:p>
        </w:tc>
        <w:tc>
          <w:tcPr>
            <w:tcW w:w="1130" w:type="dxa"/>
          </w:tcPr>
          <w:p w14:paraId="593131BB">
            <w:pPr>
              <w:jc w:val="center"/>
              <w:rPr>
                <w:rFonts w:cs="Times New Roman"/>
                <w:color w:val="auto"/>
                <w:kern w:val="0"/>
                <w:sz w:val="18"/>
                <w:szCs w:val="18"/>
              </w:rPr>
            </w:pPr>
            <w:r>
              <w:rPr>
                <w:rFonts w:cs="Times New Roman"/>
                <w:color w:val="auto"/>
                <w:kern w:val="0"/>
                <w:sz w:val="18"/>
                <w:szCs w:val="18"/>
              </w:rPr>
              <w:t>&lt;0.0001</w:t>
            </w:r>
          </w:p>
        </w:tc>
      </w:tr>
      <w:tr w14:paraId="6264DE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74AFF9A8">
            <w:pPr>
              <w:ind w:firstLine="180" w:firstLineChars="100"/>
              <w:rPr>
                <w:rFonts w:cs="Times New Roman"/>
                <w:color w:val="auto"/>
                <w:kern w:val="0"/>
                <w:sz w:val="18"/>
                <w:szCs w:val="18"/>
              </w:rPr>
            </w:pPr>
            <w:r>
              <w:rPr>
                <w:rFonts w:cs="Times New Roman"/>
                <w:color w:val="auto"/>
                <w:kern w:val="0"/>
                <w:sz w:val="18"/>
                <w:szCs w:val="18"/>
              </w:rPr>
              <w:t>Other Hispanic</w:t>
            </w:r>
          </w:p>
        </w:tc>
        <w:tc>
          <w:tcPr>
            <w:tcW w:w="1837" w:type="dxa"/>
          </w:tcPr>
          <w:p w14:paraId="1E098D55">
            <w:pPr>
              <w:jc w:val="center"/>
              <w:rPr>
                <w:rFonts w:cs="Times New Roman"/>
                <w:color w:val="auto"/>
                <w:kern w:val="0"/>
                <w:sz w:val="18"/>
                <w:szCs w:val="18"/>
              </w:rPr>
            </w:pPr>
            <w:r>
              <w:rPr>
                <w:rFonts w:cs="Times New Roman"/>
                <w:color w:val="auto"/>
                <w:kern w:val="0"/>
                <w:sz w:val="18"/>
                <w:szCs w:val="18"/>
              </w:rPr>
              <w:t>3026 (20.11%)</w:t>
            </w:r>
          </w:p>
        </w:tc>
        <w:tc>
          <w:tcPr>
            <w:tcW w:w="2593" w:type="dxa"/>
          </w:tcPr>
          <w:p w14:paraId="6F7FAD8C">
            <w:pPr>
              <w:jc w:val="center"/>
              <w:rPr>
                <w:rFonts w:cs="Times New Roman"/>
                <w:color w:val="auto"/>
                <w:kern w:val="0"/>
                <w:sz w:val="18"/>
                <w:szCs w:val="18"/>
              </w:rPr>
            </w:pPr>
            <w:r>
              <w:rPr>
                <w:rFonts w:cs="Times New Roman"/>
                <w:color w:val="auto"/>
                <w:kern w:val="0"/>
                <w:sz w:val="18"/>
                <w:szCs w:val="18"/>
              </w:rPr>
              <w:t>1.93 (1.57, 2.36)</w:t>
            </w:r>
          </w:p>
        </w:tc>
        <w:tc>
          <w:tcPr>
            <w:tcW w:w="1130" w:type="dxa"/>
          </w:tcPr>
          <w:p w14:paraId="1031D27E">
            <w:pPr>
              <w:jc w:val="center"/>
              <w:rPr>
                <w:rFonts w:cs="Times New Roman"/>
                <w:color w:val="auto"/>
                <w:kern w:val="0"/>
                <w:sz w:val="18"/>
                <w:szCs w:val="18"/>
              </w:rPr>
            </w:pPr>
            <w:r>
              <w:rPr>
                <w:rFonts w:cs="Times New Roman"/>
                <w:color w:val="auto"/>
                <w:kern w:val="0"/>
                <w:sz w:val="18"/>
                <w:szCs w:val="18"/>
              </w:rPr>
              <w:t>&lt;0.0001</w:t>
            </w:r>
          </w:p>
        </w:tc>
      </w:tr>
      <w:tr w14:paraId="216680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52B2ED79">
            <w:pPr>
              <w:ind w:firstLine="180" w:firstLineChars="100"/>
              <w:rPr>
                <w:rFonts w:cs="Times New Roman"/>
                <w:color w:val="auto"/>
                <w:kern w:val="0"/>
                <w:sz w:val="18"/>
                <w:szCs w:val="18"/>
              </w:rPr>
            </w:pPr>
            <w:r>
              <w:rPr>
                <w:rFonts w:cs="Times New Roman"/>
                <w:color w:val="auto"/>
                <w:kern w:val="0"/>
                <w:sz w:val="18"/>
                <w:szCs w:val="18"/>
              </w:rPr>
              <w:t>Other races</w:t>
            </w:r>
          </w:p>
        </w:tc>
        <w:tc>
          <w:tcPr>
            <w:tcW w:w="1837" w:type="dxa"/>
          </w:tcPr>
          <w:p w14:paraId="354D1F70">
            <w:pPr>
              <w:jc w:val="center"/>
              <w:rPr>
                <w:rFonts w:cs="Times New Roman"/>
                <w:color w:val="auto"/>
                <w:kern w:val="0"/>
                <w:sz w:val="18"/>
                <w:szCs w:val="18"/>
              </w:rPr>
            </w:pPr>
            <w:r>
              <w:rPr>
                <w:rFonts w:cs="Times New Roman"/>
                <w:color w:val="auto"/>
                <w:kern w:val="0"/>
                <w:sz w:val="18"/>
                <w:szCs w:val="18"/>
              </w:rPr>
              <w:t>1785 (11.87%)</w:t>
            </w:r>
          </w:p>
        </w:tc>
        <w:tc>
          <w:tcPr>
            <w:tcW w:w="2593" w:type="dxa"/>
          </w:tcPr>
          <w:p w14:paraId="6ABBD56A">
            <w:pPr>
              <w:jc w:val="center"/>
              <w:rPr>
                <w:rFonts w:cs="Times New Roman"/>
                <w:color w:val="auto"/>
                <w:kern w:val="0"/>
                <w:sz w:val="18"/>
                <w:szCs w:val="18"/>
              </w:rPr>
            </w:pPr>
            <w:r>
              <w:rPr>
                <w:rFonts w:cs="Times New Roman"/>
                <w:color w:val="auto"/>
                <w:kern w:val="0"/>
                <w:sz w:val="18"/>
                <w:szCs w:val="18"/>
              </w:rPr>
              <w:t>0.93 (0.70, 1.25)</w:t>
            </w:r>
          </w:p>
        </w:tc>
        <w:tc>
          <w:tcPr>
            <w:tcW w:w="1130" w:type="dxa"/>
          </w:tcPr>
          <w:p w14:paraId="42F73985">
            <w:pPr>
              <w:jc w:val="center"/>
              <w:rPr>
                <w:rFonts w:cs="Times New Roman"/>
                <w:color w:val="auto"/>
                <w:kern w:val="0"/>
                <w:sz w:val="18"/>
                <w:szCs w:val="18"/>
              </w:rPr>
            </w:pPr>
            <w:r>
              <w:rPr>
                <w:rFonts w:cs="Times New Roman"/>
                <w:color w:val="auto"/>
                <w:kern w:val="0"/>
                <w:sz w:val="18"/>
                <w:szCs w:val="18"/>
              </w:rPr>
              <w:t>0.6390</w:t>
            </w:r>
          </w:p>
        </w:tc>
      </w:tr>
      <w:tr w14:paraId="6F8470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7457D3A4">
            <w:pPr>
              <w:rPr>
                <w:rFonts w:cs="Times New Roman"/>
                <w:color w:val="auto"/>
                <w:kern w:val="0"/>
                <w:sz w:val="18"/>
                <w:szCs w:val="18"/>
              </w:rPr>
            </w:pPr>
            <w:r>
              <w:rPr>
                <w:rFonts w:cs="Times New Roman"/>
                <w:color w:val="auto"/>
                <w:kern w:val="0"/>
                <w:sz w:val="18"/>
                <w:szCs w:val="18"/>
              </w:rPr>
              <w:t>Marital Status, (%)</w:t>
            </w:r>
          </w:p>
        </w:tc>
        <w:tc>
          <w:tcPr>
            <w:tcW w:w="1837" w:type="dxa"/>
          </w:tcPr>
          <w:p w14:paraId="685F2294">
            <w:pPr>
              <w:jc w:val="center"/>
              <w:rPr>
                <w:rFonts w:cs="Times New Roman"/>
                <w:color w:val="auto"/>
                <w:kern w:val="0"/>
                <w:sz w:val="18"/>
                <w:szCs w:val="18"/>
              </w:rPr>
            </w:pPr>
          </w:p>
        </w:tc>
        <w:tc>
          <w:tcPr>
            <w:tcW w:w="2593" w:type="dxa"/>
          </w:tcPr>
          <w:p w14:paraId="24BE661A">
            <w:pPr>
              <w:jc w:val="center"/>
              <w:rPr>
                <w:rFonts w:cs="Times New Roman"/>
                <w:color w:val="auto"/>
                <w:kern w:val="0"/>
                <w:sz w:val="18"/>
                <w:szCs w:val="18"/>
              </w:rPr>
            </w:pPr>
          </w:p>
        </w:tc>
        <w:tc>
          <w:tcPr>
            <w:tcW w:w="1130" w:type="dxa"/>
          </w:tcPr>
          <w:p w14:paraId="375FC139">
            <w:pPr>
              <w:jc w:val="center"/>
              <w:rPr>
                <w:rFonts w:cs="Times New Roman"/>
                <w:color w:val="auto"/>
                <w:kern w:val="0"/>
                <w:sz w:val="18"/>
                <w:szCs w:val="18"/>
              </w:rPr>
            </w:pPr>
          </w:p>
        </w:tc>
      </w:tr>
      <w:tr w14:paraId="55D98B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46CA07CB">
            <w:pPr>
              <w:ind w:firstLine="180" w:firstLineChars="100"/>
              <w:rPr>
                <w:rFonts w:cs="Times New Roman"/>
                <w:color w:val="auto"/>
                <w:kern w:val="0"/>
                <w:sz w:val="18"/>
                <w:szCs w:val="18"/>
              </w:rPr>
            </w:pPr>
            <w:r>
              <w:rPr>
                <w:rFonts w:cs="Times New Roman"/>
                <w:color w:val="auto"/>
                <w:kern w:val="0"/>
                <w:sz w:val="18"/>
                <w:szCs w:val="18"/>
              </w:rPr>
              <w:t>Married/living with a partner</w:t>
            </w:r>
          </w:p>
        </w:tc>
        <w:tc>
          <w:tcPr>
            <w:tcW w:w="1837" w:type="dxa"/>
          </w:tcPr>
          <w:p w14:paraId="4F99D561">
            <w:pPr>
              <w:jc w:val="center"/>
              <w:rPr>
                <w:rFonts w:cs="Times New Roman"/>
                <w:color w:val="auto"/>
                <w:kern w:val="0"/>
                <w:sz w:val="18"/>
                <w:szCs w:val="18"/>
              </w:rPr>
            </w:pPr>
            <w:r>
              <w:rPr>
                <w:rFonts w:hint="eastAsia" w:cs="Times New Roman"/>
                <w:color w:val="auto"/>
                <w:kern w:val="0"/>
                <w:sz w:val="18"/>
                <w:szCs w:val="18"/>
              </w:rPr>
              <w:t>9148 (60.82%)</w:t>
            </w:r>
          </w:p>
        </w:tc>
        <w:tc>
          <w:tcPr>
            <w:tcW w:w="2593" w:type="dxa"/>
          </w:tcPr>
          <w:p w14:paraId="5B9BD3E3">
            <w:pPr>
              <w:jc w:val="center"/>
              <w:rPr>
                <w:rFonts w:cs="Times New Roman"/>
                <w:color w:val="auto"/>
                <w:kern w:val="0"/>
                <w:sz w:val="18"/>
                <w:szCs w:val="18"/>
              </w:rPr>
            </w:pPr>
            <w:r>
              <w:rPr>
                <w:rFonts w:hint="eastAsia" w:cs="Times New Roman"/>
                <w:color w:val="auto"/>
                <w:kern w:val="0"/>
                <w:sz w:val="18"/>
                <w:szCs w:val="18"/>
              </w:rPr>
              <w:t>1.0</w:t>
            </w:r>
          </w:p>
        </w:tc>
        <w:tc>
          <w:tcPr>
            <w:tcW w:w="1130" w:type="dxa"/>
          </w:tcPr>
          <w:p w14:paraId="041C89A7">
            <w:pPr>
              <w:jc w:val="center"/>
              <w:rPr>
                <w:rFonts w:cs="Times New Roman"/>
                <w:color w:val="auto"/>
                <w:kern w:val="0"/>
                <w:sz w:val="18"/>
                <w:szCs w:val="18"/>
              </w:rPr>
            </w:pPr>
          </w:p>
        </w:tc>
      </w:tr>
      <w:tr w14:paraId="0B27D5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5C9CAC7">
            <w:pPr>
              <w:ind w:firstLine="180" w:firstLineChars="100"/>
              <w:rPr>
                <w:rFonts w:cs="Times New Roman"/>
                <w:color w:val="auto"/>
                <w:kern w:val="0"/>
                <w:sz w:val="18"/>
                <w:szCs w:val="18"/>
              </w:rPr>
            </w:pPr>
            <w:r>
              <w:rPr>
                <w:rFonts w:cs="Times New Roman"/>
                <w:color w:val="auto"/>
                <w:kern w:val="0"/>
                <w:sz w:val="18"/>
                <w:szCs w:val="18"/>
              </w:rPr>
              <w:t>All others</w:t>
            </w:r>
          </w:p>
        </w:tc>
        <w:tc>
          <w:tcPr>
            <w:tcW w:w="1837" w:type="dxa"/>
          </w:tcPr>
          <w:p w14:paraId="7974F1E1">
            <w:pPr>
              <w:jc w:val="center"/>
              <w:rPr>
                <w:rFonts w:cs="Times New Roman"/>
                <w:color w:val="auto"/>
                <w:kern w:val="0"/>
                <w:sz w:val="18"/>
                <w:szCs w:val="18"/>
              </w:rPr>
            </w:pPr>
            <w:r>
              <w:rPr>
                <w:rFonts w:hint="eastAsia" w:cs="Times New Roman"/>
                <w:color w:val="auto"/>
                <w:kern w:val="0"/>
                <w:sz w:val="18"/>
                <w:szCs w:val="18"/>
              </w:rPr>
              <w:t>5892 (39.18%)</w:t>
            </w:r>
          </w:p>
        </w:tc>
        <w:tc>
          <w:tcPr>
            <w:tcW w:w="2593" w:type="dxa"/>
          </w:tcPr>
          <w:p w14:paraId="167050C8">
            <w:pPr>
              <w:jc w:val="center"/>
              <w:rPr>
                <w:rFonts w:cs="Times New Roman"/>
                <w:color w:val="auto"/>
                <w:kern w:val="0"/>
                <w:sz w:val="18"/>
                <w:szCs w:val="18"/>
              </w:rPr>
            </w:pPr>
            <w:r>
              <w:rPr>
                <w:rFonts w:hint="eastAsia" w:cs="Times New Roman"/>
                <w:color w:val="auto"/>
                <w:kern w:val="0"/>
                <w:sz w:val="18"/>
                <w:szCs w:val="18"/>
              </w:rPr>
              <w:t>1.64 (1.49, 1.81)</w:t>
            </w:r>
          </w:p>
        </w:tc>
        <w:tc>
          <w:tcPr>
            <w:tcW w:w="1130" w:type="dxa"/>
          </w:tcPr>
          <w:p w14:paraId="6DD7CEDD">
            <w:pPr>
              <w:jc w:val="center"/>
              <w:rPr>
                <w:rFonts w:cs="Times New Roman"/>
                <w:color w:val="auto"/>
                <w:kern w:val="0"/>
                <w:sz w:val="18"/>
                <w:szCs w:val="18"/>
              </w:rPr>
            </w:pPr>
            <w:r>
              <w:rPr>
                <w:rFonts w:cs="Times New Roman"/>
                <w:color w:val="auto"/>
                <w:kern w:val="0"/>
                <w:sz w:val="18"/>
                <w:szCs w:val="18"/>
              </w:rPr>
              <w:t>&lt;0.0001</w:t>
            </w:r>
          </w:p>
        </w:tc>
      </w:tr>
      <w:tr w14:paraId="36ADAE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23DC63D">
            <w:pPr>
              <w:rPr>
                <w:rFonts w:cs="Times New Roman"/>
                <w:color w:val="auto"/>
                <w:kern w:val="0"/>
                <w:sz w:val="18"/>
                <w:szCs w:val="18"/>
              </w:rPr>
            </w:pPr>
            <w:r>
              <w:rPr>
                <w:rFonts w:cs="Times New Roman"/>
                <w:color w:val="auto"/>
                <w:kern w:val="0"/>
                <w:sz w:val="18"/>
                <w:szCs w:val="18"/>
              </w:rPr>
              <w:t>Education level, (%)</w:t>
            </w:r>
          </w:p>
        </w:tc>
        <w:tc>
          <w:tcPr>
            <w:tcW w:w="1837" w:type="dxa"/>
          </w:tcPr>
          <w:p w14:paraId="66EACAF4">
            <w:pPr>
              <w:jc w:val="center"/>
              <w:rPr>
                <w:rFonts w:cs="Times New Roman"/>
                <w:color w:val="auto"/>
                <w:kern w:val="0"/>
                <w:sz w:val="18"/>
                <w:szCs w:val="18"/>
              </w:rPr>
            </w:pPr>
          </w:p>
        </w:tc>
        <w:tc>
          <w:tcPr>
            <w:tcW w:w="2593" w:type="dxa"/>
          </w:tcPr>
          <w:p w14:paraId="5878E6B4">
            <w:pPr>
              <w:jc w:val="center"/>
              <w:rPr>
                <w:rFonts w:cs="Times New Roman"/>
                <w:color w:val="auto"/>
                <w:kern w:val="0"/>
                <w:sz w:val="18"/>
                <w:szCs w:val="18"/>
              </w:rPr>
            </w:pPr>
          </w:p>
        </w:tc>
        <w:tc>
          <w:tcPr>
            <w:tcW w:w="1130" w:type="dxa"/>
          </w:tcPr>
          <w:p w14:paraId="31376F18">
            <w:pPr>
              <w:jc w:val="center"/>
              <w:rPr>
                <w:rFonts w:cs="Times New Roman"/>
                <w:color w:val="auto"/>
                <w:kern w:val="0"/>
                <w:sz w:val="18"/>
                <w:szCs w:val="18"/>
              </w:rPr>
            </w:pPr>
          </w:p>
        </w:tc>
      </w:tr>
      <w:tr w14:paraId="72E153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FFFF8F9">
            <w:pPr>
              <w:ind w:firstLine="180" w:firstLineChars="100"/>
              <w:rPr>
                <w:rFonts w:cs="Times New Roman"/>
                <w:color w:val="auto"/>
                <w:kern w:val="0"/>
                <w:sz w:val="18"/>
                <w:szCs w:val="18"/>
              </w:rPr>
            </w:pPr>
            <w:r>
              <w:rPr>
                <w:rFonts w:hint="eastAsia" w:cs="Times New Roman"/>
                <w:color w:val="auto"/>
                <w:kern w:val="0"/>
                <w:sz w:val="18"/>
                <w:szCs w:val="18"/>
              </w:rPr>
              <w:t>&lt;H</w:t>
            </w:r>
            <w:r>
              <w:rPr>
                <w:rFonts w:cs="Times New Roman"/>
                <w:color w:val="auto"/>
                <w:kern w:val="0"/>
                <w:sz w:val="18"/>
                <w:szCs w:val="18"/>
              </w:rPr>
              <w:t>igh school</w:t>
            </w:r>
          </w:p>
        </w:tc>
        <w:tc>
          <w:tcPr>
            <w:tcW w:w="1837" w:type="dxa"/>
          </w:tcPr>
          <w:p w14:paraId="59FF2F43">
            <w:pPr>
              <w:jc w:val="center"/>
              <w:rPr>
                <w:rFonts w:cs="Times New Roman"/>
                <w:color w:val="auto"/>
                <w:kern w:val="0"/>
                <w:sz w:val="18"/>
                <w:szCs w:val="18"/>
              </w:rPr>
            </w:pPr>
            <w:r>
              <w:rPr>
                <w:rFonts w:hint="eastAsia" w:cs="Times New Roman"/>
                <w:color w:val="auto"/>
                <w:kern w:val="0"/>
                <w:sz w:val="18"/>
                <w:szCs w:val="18"/>
              </w:rPr>
              <w:t>3809 (25.35%)</w:t>
            </w:r>
          </w:p>
        </w:tc>
        <w:tc>
          <w:tcPr>
            <w:tcW w:w="2593" w:type="dxa"/>
          </w:tcPr>
          <w:p w14:paraId="2DC51022">
            <w:pPr>
              <w:jc w:val="center"/>
              <w:rPr>
                <w:rFonts w:cs="Times New Roman"/>
                <w:color w:val="auto"/>
                <w:kern w:val="0"/>
                <w:sz w:val="18"/>
                <w:szCs w:val="18"/>
              </w:rPr>
            </w:pPr>
            <w:r>
              <w:rPr>
                <w:rFonts w:hint="eastAsia" w:cs="Times New Roman"/>
                <w:color w:val="auto"/>
                <w:kern w:val="0"/>
                <w:sz w:val="18"/>
                <w:szCs w:val="18"/>
              </w:rPr>
              <w:t>1.0</w:t>
            </w:r>
          </w:p>
        </w:tc>
        <w:tc>
          <w:tcPr>
            <w:tcW w:w="1130" w:type="dxa"/>
          </w:tcPr>
          <w:p w14:paraId="7C08A650">
            <w:pPr>
              <w:jc w:val="center"/>
              <w:rPr>
                <w:rFonts w:cs="Times New Roman"/>
                <w:color w:val="auto"/>
                <w:kern w:val="0"/>
                <w:sz w:val="18"/>
                <w:szCs w:val="18"/>
              </w:rPr>
            </w:pPr>
          </w:p>
        </w:tc>
      </w:tr>
      <w:tr w14:paraId="0C5194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4950532B">
            <w:pPr>
              <w:ind w:firstLine="180" w:firstLineChars="100"/>
              <w:rPr>
                <w:rFonts w:cs="Times New Roman"/>
                <w:color w:val="auto"/>
                <w:kern w:val="0"/>
                <w:sz w:val="18"/>
                <w:szCs w:val="18"/>
              </w:rPr>
            </w:pPr>
            <w:r>
              <w:rPr>
                <w:rFonts w:cs="Times New Roman"/>
                <w:color w:val="auto"/>
                <w:kern w:val="0"/>
                <w:sz w:val="18"/>
                <w:szCs w:val="18"/>
              </w:rPr>
              <w:t xml:space="preserve">≥high school </w:t>
            </w:r>
          </w:p>
        </w:tc>
        <w:tc>
          <w:tcPr>
            <w:tcW w:w="1837" w:type="dxa"/>
          </w:tcPr>
          <w:p w14:paraId="299382F2">
            <w:pPr>
              <w:jc w:val="center"/>
              <w:rPr>
                <w:rFonts w:cs="Times New Roman"/>
                <w:color w:val="auto"/>
                <w:kern w:val="0"/>
                <w:sz w:val="18"/>
                <w:szCs w:val="18"/>
              </w:rPr>
            </w:pPr>
            <w:r>
              <w:rPr>
                <w:rFonts w:hint="eastAsia" w:cs="Times New Roman"/>
                <w:color w:val="auto"/>
                <w:kern w:val="0"/>
                <w:sz w:val="18"/>
                <w:szCs w:val="18"/>
              </w:rPr>
              <w:t>11219 (74.65%)</w:t>
            </w:r>
          </w:p>
        </w:tc>
        <w:tc>
          <w:tcPr>
            <w:tcW w:w="2593" w:type="dxa"/>
          </w:tcPr>
          <w:p w14:paraId="1B134E17">
            <w:pPr>
              <w:jc w:val="center"/>
              <w:rPr>
                <w:rFonts w:cs="Times New Roman"/>
                <w:color w:val="auto"/>
                <w:kern w:val="0"/>
                <w:sz w:val="18"/>
                <w:szCs w:val="18"/>
              </w:rPr>
            </w:pPr>
            <w:r>
              <w:rPr>
                <w:rFonts w:hint="eastAsia" w:cs="Times New Roman"/>
                <w:color w:val="auto"/>
                <w:kern w:val="0"/>
                <w:sz w:val="18"/>
                <w:szCs w:val="18"/>
              </w:rPr>
              <w:t>0.63 (0.57, 0.69)</w:t>
            </w:r>
          </w:p>
        </w:tc>
        <w:tc>
          <w:tcPr>
            <w:tcW w:w="1130" w:type="dxa"/>
          </w:tcPr>
          <w:p w14:paraId="4EA78978">
            <w:pPr>
              <w:jc w:val="center"/>
              <w:rPr>
                <w:rFonts w:cs="Times New Roman"/>
                <w:color w:val="auto"/>
                <w:kern w:val="0"/>
                <w:sz w:val="18"/>
                <w:szCs w:val="18"/>
              </w:rPr>
            </w:pPr>
            <w:r>
              <w:rPr>
                <w:rFonts w:hint="eastAsia" w:cs="Times New Roman"/>
                <w:color w:val="auto"/>
                <w:kern w:val="0"/>
                <w:sz w:val="18"/>
                <w:szCs w:val="18"/>
              </w:rPr>
              <w:t>&lt;0.0001</w:t>
            </w:r>
          </w:p>
        </w:tc>
      </w:tr>
      <w:tr w14:paraId="0134CC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0BB5037">
            <w:pPr>
              <w:rPr>
                <w:rFonts w:cs="Times New Roman"/>
                <w:color w:val="auto"/>
                <w:kern w:val="0"/>
                <w:sz w:val="18"/>
                <w:szCs w:val="18"/>
              </w:rPr>
            </w:pPr>
            <w:r>
              <w:rPr>
                <w:rFonts w:cs="Times New Roman"/>
                <w:color w:val="auto"/>
                <w:kern w:val="0"/>
                <w:sz w:val="18"/>
                <w:szCs w:val="18"/>
              </w:rPr>
              <w:t>Smoke status</w:t>
            </w:r>
            <w:r>
              <w:rPr>
                <w:rFonts w:hint="eastAsia" w:cs="Times New Roman"/>
                <w:color w:val="auto"/>
                <w:kern w:val="0"/>
                <w:sz w:val="18"/>
                <w:szCs w:val="18"/>
              </w:rPr>
              <w:t>, (%)</w:t>
            </w:r>
          </w:p>
        </w:tc>
        <w:tc>
          <w:tcPr>
            <w:tcW w:w="1837" w:type="dxa"/>
          </w:tcPr>
          <w:p w14:paraId="1D0113AB">
            <w:pPr>
              <w:jc w:val="center"/>
              <w:rPr>
                <w:rFonts w:cs="Times New Roman"/>
                <w:color w:val="auto"/>
                <w:kern w:val="0"/>
                <w:sz w:val="18"/>
                <w:szCs w:val="18"/>
              </w:rPr>
            </w:pPr>
          </w:p>
        </w:tc>
        <w:tc>
          <w:tcPr>
            <w:tcW w:w="2593" w:type="dxa"/>
          </w:tcPr>
          <w:p w14:paraId="4D5C37C0">
            <w:pPr>
              <w:jc w:val="center"/>
              <w:rPr>
                <w:rFonts w:cs="Times New Roman"/>
                <w:color w:val="auto"/>
                <w:kern w:val="0"/>
                <w:sz w:val="18"/>
                <w:szCs w:val="18"/>
              </w:rPr>
            </w:pPr>
          </w:p>
        </w:tc>
        <w:tc>
          <w:tcPr>
            <w:tcW w:w="1130" w:type="dxa"/>
          </w:tcPr>
          <w:p w14:paraId="65D3962B">
            <w:pPr>
              <w:jc w:val="center"/>
              <w:rPr>
                <w:rFonts w:cs="Times New Roman"/>
                <w:color w:val="auto"/>
                <w:kern w:val="0"/>
                <w:sz w:val="18"/>
                <w:szCs w:val="18"/>
              </w:rPr>
            </w:pPr>
          </w:p>
        </w:tc>
      </w:tr>
      <w:tr w14:paraId="39D7D1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18900E2">
            <w:pPr>
              <w:ind w:firstLine="180" w:firstLineChars="100"/>
              <w:rPr>
                <w:rFonts w:cs="Times New Roman"/>
                <w:color w:val="auto"/>
                <w:kern w:val="0"/>
                <w:sz w:val="18"/>
                <w:szCs w:val="18"/>
              </w:rPr>
            </w:pPr>
            <w:r>
              <w:rPr>
                <w:rFonts w:cs="Times New Roman"/>
                <w:color w:val="auto"/>
                <w:kern w:val="0"/>
                <w:sz w:val="18"/>
                <w:szCs w:val="18"/>
              </w:rPr>
              <w:t>Never</w:t>
            </w:r>
          </w:p>
        </w:tc>
        <w:tc>
          <w:tcPr>
            <w:tcW w:w="1837" w:type="dxa"/>
          </w:tcPr>
          <w:p w14:paraId="5FF3BC96">
            <w:pPr>
              <w:jc w:val="center"/>
              <w:rPr>
                <w:rFonts w:cs="Times New Roman"/>
                <w:color w:val="auto"/>
                <w:kern w:val="0"/>
                <w:sz w:val="18"/>
                <w:szCs w:val="18"/>
              </w:rPr>
            </w:pPr>
            <w:r>
              <w:rPr>
                <w:rFonts w:cs="Times New Roman"/>
                <w:color w:val="auto"/>
                <w:kern w:val="0"/>
                <w:sz w:val="18"/>
                <w:szCs w:val="18"/>
              </w:rPr>
              <w:t>8279 (55.09%)</w:t>
            </w:r>
          </w:p>
        </w:tc>
        <w:tc>
          <w:tcPr>
            <w:tcW w:w="2593" w:type="dxa"/>
          </w:tcPr>
          <w:p w14:paraId="2496ADAC">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43915788">
            <w:pPr>
              <w:jc w:val="center"/>
              <w:rPr>
                <w:rFonts w:cs="Times New Roman"/>
                <w:color w:val="auto"/>
                <w:kern w:val="0"/>
                <w:sz w:val="18"/>
                <w:szCs w:val="18"/>
              </w:rPr>
            </w:pPr>
          </w:p>
        </w:tc>
      </w:tr>
      <w:tr w14:paraId="4E2BCB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77F895B">
            <w:pPr>
              <w:ind w:firstLine="180" w:firstLineChars="100"/>
              <w:rPr>
                <w:rFonts w:cs="Times New Roman"/>
                <w:color w:val="auto"/>
                <w:kern w:val="0"/>
                <w:sz w:val="18"/>
                <w:szCs w:val="18"/>
              </w:rPr>
            </w:pPr>
            <w:r>
              <w:rPr>
                <w:rFonts w:cs="Times New Roman"/>
                <w:color w:val="auto"/>
                <w:kern w:val="0"/>
                <w:sz w:val="18"/>
                <w:szCs w:val="18"/>
              </w:rPr>
              <w:t>Former</w:t>
            </w:r>
          </w:p>
        </w:tc>
        <w:tc>
          <w:tcPr>
            <w:tcW w:w="1837" w:type="dxa"/>
          </w:tcPr>
          <w:p w14:paraId="62C526C6">
            <w:pPr>
              <w:jc w:val="center"/>
              <w:rPr>
                <w:rFonts w:cs="Times New Roman"/>
                <w:color w:val="auto"/>
                <w:kern w:val="0"/>
                <w:sz w:val="18"/>
                <w:szCs w:val="18"/>
              </w:rPr>
            </w:pPr>
            <w:r>
              <w:rPr>
                <w:rFonts w:cs="Times New Roman"/>
                <w:color w:val="auto"/>
                <w:kern w:val="0"/>
                <w:sz w:val="18"/>
                <w:szCs w:val="18"/>
              </w:rPr>
              <w:t>3786 (25.19%)</w:t>
            </w:r>
          </w:p>
        </w:tc>
        <w:tc>
          <w:tcPr>
            <w:tcW w:w="2593" w:type="dxa"/>
          </w:tcPr>
          <w:p w14:paraId="406D550B">
            <w:pPr>
              <w:jc w:val="center"/>
              <w:rPr>
                <w:rFonts w:cs="Times New Roman"/>
                <w:color w:val="auto"/>
                <w:kern w:val="0"/>
                <w:sz w:val="18"/>
                <w:szCs w:val="18"/>
              </w:rPr>
            </w:pPr>
            <w:r>
              <w:rPr>
                <w:rFonts w:cs="Times New Roman"/>
                <w:color w:val="auto"/>
                <w:kern w:val="0"/>
                <w:sz w:val="18"/>
                <w:szCs w:val="18"/>
              </w:rPr>
              <w:t>2.22 (1.99, 2.47)</w:t>
            </w:r>
          </w:p>
        </w:tc>
        <w:tc>
          <w:tcPr>
            <w:tcW w:w="1130" w:type="dxa"/>
          </w:tcPr>
          <w:p w14:paraId="3D645C0A">
            <w:pPr>
              <w:jc w:val="center"/>
              <w:rPr>
                <w:rFonts w:cs="Times New Roman"/>
                <w:color w:val="auto"/>
                <w:kern w:val="0"/>
                <w:sz w:val="18"/>
                <w:szCs w:val="18"/>
              </w:rPr>
            </w:pPr>
            <w:r>
              <w:rPr>
                <w:rFonts w:cs="Times New Roman"/>
                <w:color w:val="auto"/>
                <w:kern w:val="0"/>
                <w:sz w:val="18"/>
                <w:szCs w:val="18"/>
              </w:rPr>
              <w:t>&lt;0.0001</w:t>
            </w:r>
          </w:p>
        </w:tc>
      </w:tr>
      <w:tr w14:paraId="4D09DF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013219E6">
            <w:pPr>
              <w:ind w:firstLine="180" w:firstLineChars="100"/>
              <w:rPr>
                <w:rFonts w:cs="Times New Roman"/>
                <w:color w:val="auto"/>
                <w:kern w:val="0"/>
                <w:sz w:val="18"/>
                <w:szCs w:val="18"/>
              </w:rPr>
            </w:pPr>
            <w:r>
              <w:rPr>
                <w:rFonts w:cs="Times New Roman"/>
                <w:color w:val="auto"/>
                <w:kern w:val="0"/>
                <w:sz w:val="18"/>
                <w:szCs w:val="18"/>
              </w:rPr>
              <w:t>Current</w:t>
            </w:r>
          </w:p>
        </w:tc>
        <w:tc>
          <w:tcPr>
            <w:tcW w:w="1837" w:type="dxa"/>
          </w:tcPr>
          <w:p w14:paraId="7A1842CD">
            <w:pPr>
              <w:jc w:val="center"/>
              <w:rPr>
                <w:rFonts w:cs="Times New Roman"/>
                <w:color w:val="auto"/>
                <w:kern w:val="0"/>
                <w:sz w:val="18"/>
                <w:szCs w:val="18"/>
              </w:rPr>
            </w:pPr>
            <w:r>
              <w:rPr>
                <w:rFonts w:cs="Times New Roman"/>
                <w:color w:val="auto"/>
                <w:kern w:val="0"/>
                <w:sz w:val="18"/>
                <w:szCs w:val="18"/>
              </w:rPr>
              <w:t>2964 (19.72%)</w:t>
            </w:r>
          </w:p>
        </w:tc>
        <w:tc>
          <w:tcPr>
            <w:tcW w:w="2593" w:type="dxa"/>
          </w:tcPr>
          <w:p w14:paraId="0FC79FCC">
            <w:pPr>
              <w:jc w:val="center"/>
              <w:rPr>
                <w:rFonts w:cs="Times New Roman"/>
                <w:color w:val="auto"/>
                <w:kern w:val="0"/>
                <w:sz w:val="18"/>
                <w:szCs w:val="18"/>
              </w:rPr>
            </w:pPr>
            <w:r>
              <w:rPr>
                <w:rFonts w:cs="Times New Roman"/>
                <w:color w:val="auto"/>
                <w:kern w:val="0"/>
                <w:sz w:val="18"/>
                <w:szCs w:val="18"/>
              </w:rPr>
              <w:t>1.33 (1.17, 1.52)</w:t>
            </w:r>
          </w:p>
        </w:tc>
        <w:tc>
          <w:tcPr>
            <w:tcW w:w="1130" w:type="dxa"/>
          </w:tcPr>
          <w:p w14:paraId="784A14B8">
            <w:pPr>
              <w:jc w:val="center"/>
              <w:rPr>
                <w:rFonts w:cs="Times New Roman"/>
                <w:color w:val="auto"/>
                <w:kern w:val="0"/>
                <w:sz w:val="18"/>
                <w:szCs w:val="18"/>
              </w:rPr>
            </w:pPr>
            <w:r>
              <w:rPr>
                <w:rFonts w:cs="Times New Roman"/>
                <w:color w:val="auto"/>
                <w:kern w:val="0"/>
                <w:sz w:val="18"/>
                <w:szCs w:val="18"/>
              </w:rPr>
              <w:t>&lt;0.0001</w:t>
            </w:r>
          </w:p>
        </w:tc>
      </w:tr>
      <w:tr w14:paraId="731757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0EC50AF0">
            <w:pPr>
              <w:rPr>
                <w:rFonts w:cs="Times New Roman"/>
                <w:color w:val="auto"/>
                <w:kern w:val="0"/>
                <w:sz w:val="18"/>
                <w:szCs w:val="18"/>
              </w:rPr>
            </w:pPr>
            <w:r>
              <w:rPr>
                <w:rFonts w:hint="eastAsia" w:cs="Times New Roman"/>
                <w:color w:val="auto"/>
                <w:kern w:val="0"/>
                <w:sz w:val="18"/>
                <w:szCs w:val="18"/>
              </w:rPr>
              <w:t xml:space="preserve">Drink, </w:t>
            </w:r>
            <w:r>
              <w:rPr>
                <w:rFonts w:cs="Times New Roman"/>
                <w:color w:val="auto"/>
                <w:kern w:val="0"/>
                <w:sz w:val="18"/>
                <w:szCs w:val="18"/>
              </w:rPr>
              <w:t>(%)</w:t>
            </w:r>
          </w:p>
        </w:tc>
        <w:tc>
          <w:tcPr>
            <w:tcW w:w="1837" w:type="dxa"/>
          </w:tcPr>
          <w:p w14:paraId="38415761">
            <w:pPr>
              <w:jc w:val="center"/>
              <w:rPr>
                <w:rFonts w:cs="Times New Roman"/>
                <w:color w:val="auto"/>
                <w:kern w:val="0"/>
                <w:sz w:val="18"/>
                <w:szCs w:val="18"/>
              </w:rPr>
            </w:pPr>
          </w:p>
        </w:tc>
        <w:tc>
          <w:tcPr>
            <w:tcW w:w="2593" w:type="dxa"/>
          </w:tcPr>
          <w:p w14:paraId="3DC1F4F0">
            <w:pPr>
              <w:jc w:val="center"/>
              <w:rPr>
                <w:rFonts w:cs="Times New Roman"/>
                <w:color w:val="auto"/>
                <w:kern w:val="0"/>
                <w:sz w:val="18"/>
                <w:szCs w:val="18"/>
              </w:rPr>
            </w:pPr>
          </w:p>
        </w:tc>
        <w:tc>
          <w:tcPr>
            <w:tcW w:w="1130" w:type="dxa"/>
          </w:tcPr>
          <w:p w14:paraId="54DE66B7">
            <w:pPr>
              <w:jc w:val="center"/>
              <w:rPr>
                <w:rFonts w:cs="Times New Roman"/>
                <w:color w:val="auto"/>
                <w:kern w:val="0"/>
                <w:sz w:val="18"/>
                <w:szCs w:val="18"/>
              </w:rPr>
            </w:pPr>
          </w:p>
        </w:tc>
      </w:tr>
      <w:tr w14:paraId="476268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1949940">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1837" w:type="dxa"/>
          </w:tcPr>
          <w:p w14:paraId="1CC82629">
            <w:pPr>
              <w:jc w:val="center"/>
              <w:rPr>
                <w:rFonts w:cs="Times New Roman"/>
                <w:color w:val="auto"/>
                <w:kern w:val="0"/>
                <w:sz w:val="18"/>
                <w:szCs w:val="18"/>
              </w:rPr>
            </w:pPr>
            <w:r>
              <w:rPr>
                <w:rFonts w:cs="Times New Roman"/>
                <w:color w:val="auto"/>
                <w:kern w:val="0"/>
                <w:sz w:val="18"/>
                <w:szCs w:val="18"/>
              </w:rPr>
              <w:t>3440 (29.08%)</w:t>
            </w:r>
          </w:p>
        </w:tc>
        <w:tc>
          <w:tcPr>
            <w:tcW w:w="2593" w:type="dxa"/>
          </w:tcPr>
          <w:p w14:paraId="456CBAAD">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77425922">
            <w:pPr>
              <w:jc w:val="center"/>
              <w:rPr>
                <w:rFonts w:cs="Times New Roman"/>
                <w:color w:val="auto"/>
                <w:kern w:val="0"/>
                <w:sz w:val="18"/>
                <w:szCs w:val="18"/>
              </w:rPr>
            </w:pPr>
          </w:p>
        </w:tc>
      </w:tr>
      <w:tr w14:paraId="6F4C12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55C9A68">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1837" w:type="dxa"/>
          </w:tcPr>
          <w:p w14:paraId="6C9C5840">
            <w:pPr>
              <w:jc w:val="center"/>
              <w:rPr>
                <w:rFonts w:cs="Times New Roman"/>
                <w:color w:val="auto"/>
                <w:kern w:val="0"/>
                <w:sz w:val="18"/>
                <w:szCs w:val="18"/>
              </w:rPr>
            </w:pPr>
            <w:r>
              <w:rPr>
                <w:rFonts w:cs="Times New Roman"/>
                <w:color w:val="auto"/>
                <w:kern w:val="0"/>
                <w:sz w:val="18"/>
                <w:szCs w:val="18"/>
              </w:rPr>
              <w:t>8391 (70.92%)</w:t>
            </w:r>
          </w:p>
        </w:tc>
        <w:tc>
          <w:tcPr>
            <w:tcW w:w="2593" w:type="dxa"/>
          </w:tcPr>
          <w:p w14:paraId="44F29299">
            <w:pPr>
              <w:jc w:val="center"/>
              <w:rPr>
                <w:rFonts w:cs="Times New Roman"/>
                <w:color w:val="auto"/>
                <w:kern w:val="0"/>
                <w:sz w:val="18"/>
                <w:szCs w:val="18"/>
              </w:rPr>
            </w:pPr>
            <w:r>
              <w:rPr>
                <w:rFonts w:cs="Times New Roman"/>
                <w:color w:val="auto"/>
                <w:kern w:val="0"/>
                <w:sz w:val="18"/>
                <w:szCs w:val="18"/>
              </w:rPr>
              <w:t>0.84 (0.75, 0.93)</w:t>
            </w:r>
          </w:p>
        </w:tc>
        <w:tc>
          <w:tcPr>
            <w:tcW w:w="1130" w:type="dxa"/>
          </w:tcPr>
          <w:p w14:paraId="28EEE175">
            <w:pPr>
              <w:jc w:val="center"/>
              <w:rPr>
                <w:rFonts w:cs="Times New Roman"/>
                <w:color w:val="auto"/>
                <w:kern w:val="0"/>
                <w:sz w:val="18"/>
                <w:szCs w:val="18"/>
              </w:rPr>
            </w:pPr>
            <w:r>
              <w:rPr>
                <w:rFonts w:cs="Times New Roman"/>
                <w:color w:val="auto"/>
                <w:kern w:val="0"/>
                <w:sz w:val="18"/>
                <w:szCs w:val="18"/>
              </w:rPr>
              <w:t>0.0015</w:t>
            </w:r>
          </w:p>
        </w:tc>
      </w:tr>
      <w:tr w14:paraId="790E2D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54643B46">
            <w:pPr>
              <w:rPr>
                <w:rFonts w:cs="Times New Roman"/>
                <w:color w:val="auto"/>
                <w:kern w:val="0"/>
                <w:sz w:val="18"/>
                <w:szCs w:val="18"/>
              </w:rPr>
            </w:pPr>
            <w:r>
              <w:rPr>
                <w:rFonts w:cs="Times New Roman"/>
                <w:color w:val="auto"/>
                <w:kern w:val="0"/>
                <w:sz w:val="18"/>
                <w:szCs w:val="18"/>
              </w:rPr>
              <w:t>BMI</w:t>
            </w:r>
            <w:r>
              <w:rPr>
                <w:rFonts w:hint="eastAsia" w:cs="Times New Roman"/>
                <w:color w:val="auto"/>
                <w:kern w:val="0"/>
                <w:sz w:val="18"/>
                <w:szCs w:val="18"/>
              </w:rPr>
              <w:t xml:space="preserve">, </w:t>
            </w:r>
            <w:r>
              <w:rPr>
                <w:rFonts w:cs="Times New Roman"/>
                <w:color w:val="auto"/>
                <w:kern w:val="0"/>
                <w:sz w:val="18"/>
                <w:szCs w:val="18"/>
              </w:rPr>
              <w:t>kg/m</w:t>
            </w:r>
            <w:r>
              <w:rPr>
                <w:rFonts w:cs="Times New Roman"/>
                <w:color w:val="auto"/>
                <w:kern w:val="0"/>
                <w:sz w:val="18"/>
                <w:szCs w:val="18"/>
                <w:vertAlign w:val="superscript"/>
              </w:rPr>
              <w:t>2</w:t>
            </w:r>
          </w:p>
        </w:tc>
        <w:tc>
          <w:tcPr>
            <w:tcW w:w="1837" w:type="dxa"/>
          </w:tcPr>
          <w:p w14:paraId="2442BE2E">
            <w:pPr>
              <w:jc w:val="center"/>
              <w:rPr>
                <w:rFonts w:cs="Times New Roman"/>
                <w:color w:val="auto"/>
                <w:kern w:val="0"/>
                <w:sz w:val="18"/>
                <w:szCs w:val="18"/>
              </w:rPr>
            </w:pPr>
            <w:r>
              <w:rPr>
                <w:rFonts w:cs="Times New Roman"/>
                <w:color w:val="auto"/>
                <w:kern w:val="0"/>
                <w:sz w:val="18"/>
                <w:szCs w:val="18"/>
              </w:rPr>
              <w:t>29.30 ± 7.09</w:t>
            </w:r>
          </w:p>
        </w:tc>
        <w:tc>
          <w:tcPr>
            <w:tcW w:w="2593" w:type="dxa"/>
          </w:tcPr>
          <w:p w14:paraId="2F86A4B5">
            <w:pPr>
              <w:jc w:val="center"/>
              <w:rPr>
                <w:rFonts w:cs="Times New Roman"/>
                <w:color w:val="auto"/>
                <w:kern w:val="0"/>
                <w:sz w:val="18"/>
                <w:szCs w:val="18"/>
              </w:rPr>
            </w:pPr>
            <w:r>
              <w:rPr>
                <w:rFonts w:cs="Times New Roman"/>
                <w:color w:val="auto"/>
                <w:kern w:val="0"/>
                <w:sz w:val="18"/>
                <w:szCs w:val="18"/>
              </w:rPr>
              <w:t>0.99 (0.98, 1.00)</w:t>
            </w:r>
          </w:p>
        </w:tc>
        <w:tc>
          <w:tcPr>
            <w:tcW w:w="1130" w:type="dxa"/>
          </w:tcPr>
          <w:p w14:paraId="5B697DDB">
            <w:pPr>
              <w:jc w:val="center"/>
              <w:rPr>
                <w:rFonts w:cs="Times New Roman"/>
                <w:color w:val="auto"/>
                <w:kern w:val="0"/>
                <w:sz w:val="18"/>
                <w:szCs w:val="18"/>
              </w:rPr>
            </w:pPr>
            <w:r>
              <w:rPr>
                <w:rFonts w:cs="Times New Roman"/>
                <w:color w:val="auto"/>
                <w:kern w:val="0"/>
                <w:sz w:val="18"/>
                <w:szCs w:val="18"/>
              </w:rPr>
              <w:t>0.0062</w:t>
            </w:r>
          </w:p>
        </w:tc>
      </w:tr>
      <w:tr w14:paraId="186C0B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FE3142E">
            <w:pPr>
              <w:rPr>
                <w:rFonts w:cs="Times New Roman"/>
                <w:color w:val="auto"/>
                <w:kern w:val="0"/>
                <w:sz w:val="18"/>
                <w:szCs w:val="18"/>
              </w:rPr>
            </w:pPr>
            <w:r>
              <w:rPr>
                <w:rFonts w:cs="Times New Roman"/>
                <w:color w:val="auto"/>
                <w:kern w:val="0"/>
                <w:sz w:val="18"/>
                <w:szCs w:val="18"/>
              </w:rPr>
              <w:t>PIR</w:t>
            </w:r>
          </w:p>
        </w:tc>
        <w:tc>
          <w:tcPr>
            <w:tcW w:w="1837" w:type="dxa"/>
          </w:tcPr>
          <w:p w14:paraId="3589F510">
            <w:pPr>
              <w:jc w:val="center"/>
              <w:rPr>
                <w:rFonts w:cs="Times New Roman"/>
                <w:color w:val="auto"/>
                <w:kern w:val="0"/>
                <w:sz w:val="18"/>
                <w:szCs w:val="18"/>
              </w:rPr>
            </w:pPr>
            <w:r>
              <w:rPr>
                <w:rFonts w:cs="Times New Roman"/>
                <w:color w:val="auto"/>
                <w:kern w:val="0"/>
                <w:sz w:val="18"/>
                <w:szCs w:val="18"/>
              </w:rPr>
              <w:t>2.50 ± 1.61</w:t>
            </w:r>
          </w:p>
        </w:tc>
        <w:tc>
          <w:tcPr>
            <w:tcW w:w="2593" w:type="dxa"/>
          </w:tcPr>
          <w:p w14:paraId="088B442D">
            <w:pPr>
              <w:jc w:val="center"/>
              <w:rPr>
                <w:rFonts w:cs="Times New Roman"/>
                <w:color w:val="auto"/>
                <w:kern w:val="0"/>
                <w:sz w:val="18"/>
                <w:szCs w:val="18"/>
              </w:rPr>
            </w:pPr>
            <w:r>
              <w:rPr>
                <w:rFonts w:cs="Times New Roman"/>
                <w:color w:val="auto"/>
                <w:kern w:val="0"/>
                <w:sz w:val="18"/>
                <w:szCs w:val="18"/>
              </w:rPr>
              <w:t>0.85 (0.83, 0.88)</w:t>
            </w:r>
          </w:p>
        </w:tc>
        <w:tc>
          <w:tcPr>
            <w:tcW w:w="1130" w:type="dxa"/>
          </w:tcPr>
          <w:p w14:paraId="61C33242">
            <w:pPr>
              <w:jc w:val="center"/>
              <w:rPr>
                <w:rFonts w:cs="Times New Roman"/>
                <w:color w:val="auto"/>
                <w:kern w:val="0"/>
                <w:sz w:val="18"/>
                <w:szCs w:val="18"/>
              </w:rPr>
            </w:pPr>
            <w:r>
              <w:rPr>
                <w:rFonts w:cs="Times New Roman"/>
                <w:color w:val="auto"/>
                <w:kern w:val="0"/>
                <w:sz w:val="18"/>
                <w:szCs w:val="18"/>
              </w:rPr>
              <w:t>&lt;0.0001</w:t>
            </w:r>
          </w:p>
        </w:tc>
      </w:tr>
      <w:tr w14:paraId="60B0C3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040FB065">
            <w:pPr>
              <w:rPr>
                <w:rFonts w:cs="Times New Roman"/>
                <w:color w:val="auto"/>
                <w:kern w:val="0"/>
                <w:sz w:val="18"/>
                <w:szCs w:val="18"/>
              </w:rPr>
            </w:pPr>
            <w:r>
              <w:rPr>
                <w:rFonts w:cs="Times New Roman"/>
                <w:color w:val="auto"/>
                <w:kern w:val="0"/>
                <w:sz w:val="18"/>
                <w:szCs w:val="18"/>
              </w:rPr>
              <w:t>Hypertension, (%)</w:t>
            </w:r>
          </w:p>
        </w:tc>
        <w:tc>
          <w:tcPr>
            <w:tcW w:w="1837" w:type="dxa"/>
          </w:tcPr>
          <w:p w14:paraId="68EED261">
            <w:pPr>
              <w:jc w:val="center"/>
              <w:rPr>
                <w:rFonts w:cs="Times New Roman"/>
                <w:color w:val="auto"/>
                <w:kern w:val="0"/>
                <w:sz w:val="18"/>
                <w:szCs w:val="18"/>
              </w:rPr>
            </w:pPr>
          </w:p>
        </w:tc>
        <w:tc>
          <w:tcPr>
            <w:tcW w:w="2593" w:type="dxa"/>
          </w:tcPr>
          <w:p w14:paraId="2D09BC37">
            <w:pPr>
              <w:jc w:val="center"/>
              <w:rPr>
                <w:rFonts w:cs="Times New Roman"/>
                <w:color w:val="auto"/>
                <w:kern w:val="0"/>
                <w:sz w:val="18"/>
                <w:szCs w:val="18"/>
              </w:rPr>
            </w:pPr>
          </w:p>
        </w:tc>
        <w:tc>
          <w:tcPr>
            <w:tcW w:w="1130" w:type="dxa"/>
          </w:tcPr>
          <w:p w14:paraId="69864FD0">
            <w:pPr>
              <w:jc w:val="center"/>
              <w:rPr>
                <w:rFonts w:cs="Times New Roman"/>
                <w:color w:val="auto"/>
                <w:kern w:val="0"/>
                <w:sz w:val="18"/>
                <w:szCs w:val="18"/>
              </w:rPr>
            </w:pPr>
          </w:p>
        </w:tc>
      </w:tr>
      <w:tr w14:paraId="6EC968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784885F2">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1837" w:type="dxa"/>
          </w:tcPr>
          <w:p w14:paraId="11479891">
            <w:pPr>
              <w:jc w:val="center"/>
              <w:rPr>
                <w:rFonts w:cs="Times New Roman"/>
                <w:color w:val="auto"/>
                <w:kern w:val="0"/>
                <w:sz w:val="18"/>
                <w:szCs w:val="18"/>
              </w:rPr>
            </w:pPr>
            <w:r>
              <w:rPr>
                <w:rFonts w:cs="Times New Roman"/>
                <w:color w:val="auto"/>
                <w:kern w:val="0"/>
                <w:sz w:val="18"/>
                <w:szCs w:val="18"/>
              </w:rPr>
              <w:t>9155 (60.94%)</w:t>
            </w:r>
          </w:p>
        </w:tc>
        <w:tc>
          <w:tcPr>
            <w:tcW w:w="2593" w:type="dxa"/>
          </w:tcPr>
          <w:p w14:paraId="02B4ABB3">
            <w:pPr>
              <w:jc w:val="center"/>
              <w:rPr>
                <w:rFonts w:cs="Times New Roman"/>
                <w:color w:val="auto"/>
                <w:kern w:val="0"/>
                <w:sz w:val="18"/>
                <w:szCs w:val="18"/>
              </w:rPr>
            </w:pPr>
            <w:bookmarkStart w:id="13" w:name="OLE_LINK2"/>
            <w:r>
              <w:rPr>
                <w:rFonts w:cs="Times New Roman"/>
                <w:color w:val="auto"/>
                <w:kern w:val="0"/>
                <w:sz w:val="18"/>
                <w:szCs w:val="18"/>
              </w:rPr>
              <w:t>Reference</w:t>
            </w:r>
            <w:bookmarkEnd w:id="13"/>
          </w:p>
        </w:tc>
        <w:tc>
          <w:tcPr>
            <w:tcW w:w="1130" w:type="dxa"/>
          </w:tcPr>
          <w:p w14:paraId="682BAE44">
            <w:pPr>
              <w:jc w:val="center"/>
              <w:rPr>
                <w:rFonts w:cs="Times New Roman"/>
                <w:color w:val="auto"/>
                <w:kern w:val="0"/>
                <w:sz w:val="18"/>
                <w:szCs w:val="18"/>
              </w:rPr>
            </w:pPr>
          </w:p>
        </w:tc>
      </w:tr>
      <w:tr w14:paraId="4D3E6A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FB7385F">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1837" w:type="dxa"/>
          </w:tcPr>
          <w:p w14:paraId="72FA5F36">
            <w:pPr>
              <w:jc w:val="center"/>
              <w:rPr>
                <w:rFonts w:cs="Times New Roman"/>
                <w:color w:val="auto"/>
                <w:kern w:val="0"/>
                <w:sz w:val="18"/>
                <w:szCs w:val="18"/>
              </w:rPr>
            </w:pPr>
            <w:r>
              <w:rPr>
                <w:rFonts w:cs="Times New Roman"/>
                <w:color w:val="auto"/>
                <w:kern w:val="0"/>
                <w:sz w:val="18"/>
                <w:szCs w:val="18"/>
              </w:rPr>
              <w:t>5867 (39.06%)</w:t>
            </w:r>
          </w:p>
        </w:tc>
        <w:tc>
          <w:tcPr>
            <w:tcW w:w="2593" w:type="dxa"/>
          </w:tcPr>
          <w:p w14:paraId="0A239E7F">
            <w:pPr>
              <w:jc w:val="center"/>
              <w:rPr>
                <w:rFonts w:cs="Times New Roman"/>
                <w:color w:val="auto"/>
                <w:kern w:val="0"/>
                <w:sz w:val="18"/>
                <w:szCs w:val="18"/>
              </w:rPr>
            </w:pPr>
            <w:r>
              <w:rPr>
                <w:rFonts w:cs="Times New Roman"/>
                <w:color w:val="auto"/>
                <w:kern w:val="0"/>
                <w:sz w:val="18"/>
                <w:szCs w:val="18"/>
              </w:rPr>
              <w:t>3.07 (2.77, 3.40)</w:t>
            </w:r>
          </w:p>
        </w:tc>
        <w:tc>
          <w:tcPr>
            <w:tcW w:w="1130" w:type="dxa"/>
          </w:tcPr>
          <w:p w14:paraId="138415A1">
            <w:pPr>
              <w:jc w:val="center"/>
              <w:rPr>
                <w:rFonts w:cs="Times New Roman"/>
                <w:color w:val="auto"/>
                <w:kern w:val="0"/>
                <w:sz w:val="18"/>
                <w:szCs w:val="18"/>
              </w:rPr>
            </w:pPr>
            <w:r>
              <w:rPr>
                <w:rFonts w:cs="Times New Roman"/>
                <w:color w:val="auto"/>
                <w:kern w:val="0"/>
                <w:sz w:val="18"/>
                <w:szCs w:val="18"/>
              </w:rPr>
              <w:t>&lt;0.0001</w:t>
            </w:r>
          </w:p>
        </w:tc>
      </w:tr>
      <w:tr w14:paraId="14A5A7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E84ABA2">
            <w:pPr>
              <w:rPr>
                <w:rFonts w:cs="Times New Roman"/>
                <w:color w:val="auto"/>
                <w:kern w:val="0"/>
                <w:sz w:val="18"/>
                <w:szCs w:val="18"/>
              </w:rPr>
            </w:pPr>
            <w:r>
              <w:rPr>
                <w:rFonts w:cs="Times New Roman"/>
                <w:color w:val="auto"/>
                <w:kern w:val="0"/>
                <w:sz w:val="18"/>
                <w:szCs w:val="18"/>
              </w:rPr>
              <w:t>Diabetes, (%)</w:t>
            </w:r>
          </w:p>
        </w:tc>
        <w:tc>
          <w:tcPr>
            <w:tcW w:w="1837" w:type="dxa"/>
          </w:tcPr>
          <w:p w14:paraId="72B96B39">
            <w:pPr>
              <w:jc w:val="center"/>
              <w:rPr>
                <w:rFonts w:cs="Times New Roman"/>
                <w:color w:val="auto"/>
                <w:kern w:val="0"/>
                <w:sz w:val="18"/>
                <w:szCs w:val="18"/>
              </w:rPr>
            </w:pPr>
          </w:p>
        </w:tc>
        <w:tc>
          <w:tcPr>
            <w:tcW w:w="2593" w:type="dxa"/>
          </w:tcPr>
          <w:p w14:paraId="4E534FD5">
            <w:pPr>
              <w:jc w:val="center"/>
              <w:rPr>
                <w:rFonts w:cs="Times New Roman"/>
                <w:color w:val="auto"/>
                <w:kern w:val="0"/>
                <w:sz w:val="18"/>
                <w:szCs w:val="18"/>
              </w:rPr>
            </w:pPr>
          </w:p>
        </w:tc>
        <w:tc>
          <w:tcPr>
            <w:tcW w:w="1130" w:type="dxa"/>
          </w:tcPr>
          <w:p w14:paraId="6D2A8E65">
            <w:pPr>
              <w:jc w:val="center"/>
              <w:rPr>
                <w:rFonts w:cs="Times New Roman"/>
                <w:color w:val="auto"/>
                <w:kern w:val="0"/>
                <w:sz w:val="18"/>
                <w:szCs w:val="18"/>
              </w:rPr>
            </w:pPr>
          </w:p>
        </w:tc>
      </w:tr>
      <w:tr w14:paraId="48FE22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3220B8A1">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1837" w:type="dxa"/>
          </w:tcPr>
          <w:p w14:paraId="2C57D075">
            <w:pPr>
              <w:jc w:val="center"/>
              <w:rPr>
                <w:rFonts w:cs="Times New Roman"/>
                <w:color w:val="auto"/>
                <w:kern w:val="0"/>
                <w:sz w:val="18"/>
                <w:szCs w:val="18"/>
              </w:rPr>
            </w:pPr>
            <w:r>
              <w:rPr>
                <w:rFonts w:cs="Times New Roman"/>
                <w:color w:val="auto"/>
                <w:kern w:val="0"/>
                <w:sz w:val="18"/>
                <w:szCs w:val="18"/>
              </w:rPr>
              <w:t>11425 (76.99%)</w:t>
            </w:r>
          </w:p>
        </w:tc>
        <w:tc>
          <w:tcPr>
            <w:tcW w:w="2593" w:type="dxa"/>
          </w:tcPr>
          <w:p w14:paraId="3FE4D56C">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48DC5D8F">
            <w:pPr>
              <w:jc w:val="center"/>
              <w:rPr>
                <w:rFonts w:cs="Times New Roman"/>
                <w:color w:val="auto"/>
                <w:kern w:val="0"/>
                <w:sz w:val="18"/>
                <w:szCs w:val="18"/>
              </w:rPr>
            </w:pPr>
          </w:p>
        </w:tc>
      </w:tr>
      <w:tr w14:paraId="54DE7A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5871C90D">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1837" w:type="dxa"/>
          </w:tcPr>
          <w:p w14:paraId="203AD41D">
            <w:pPr>
              <w:jc w:val="center"/>
              <w:rPr>
                <w:rFonts w:cs="Times New Roman"/>
                <w:color w:val="auto"/>
                <w:kern w:val="0"/>
                <w:sz w:val="18"/>
                <w:szCs w:val="18"/>
              </w:rPr>
            </w:pPr>
            <w:r>
              <w:rPr>
                <w:rFonts w:cs="Times New Roman"/>
                <w:color w:val="auto"/>
                <w:kern w:val="0"/>
                <w:sz w:val="18"/>
                <w:szCs w:val="18"/>
              </w:rPr>
              <w:t>3415 (23.01%)</w:t>
            </w:r>
          </w:p>
        </w:tc>
        <w:tc>
          <w:tcPr>
            <w:tcW w:w="2593" w:type="dxa"/>
          </w:tcPr>
          <w:p w14:paraId="0BE80E97">
            <w:pPr>
              <w:jc w:val="center"/>
              <w:rPr>
                <w:rFonts w:cs="Times New Roman"/>
                <w:color w:val="auto"/>
                <w:kern w:val="0"/>
                <w:sz w:val="18"/>
                <w:szCs w:val="18"/>
              </w:rPr>
            </w:pPr>
            <w:r>
              <w:rPr>
                <w:rFonts w:cs="Times New Roman"/>
                <w:color w:val="auto"/>
                <w:kern w:val="0"/>
                <w:sz w:val="18"/>
                <w:szCs w:val="18"/>
              </w:rPr>
              <w:t>2.98 (2.70, 3.29)</w:t>
            </w:r>
          </w:p>
        </w:tc>
        <w:tc>
          <w:tcPr>
            <w:tcW w:w="1130" w:type="dxa"/>
          </w:tcPr>
          <w:p w14:paraId="60847738">
            <w:pPr>
              <w:jc w:val="center"/>
              <w:rPr>
                <w:rFonts w:cs="Times New Roman"/>
                <w:color w:val="auto"/>
                <w:kern w:val="0"/>
                <w:sz w:val="18"/>
                <w:szCs w:val="18"/>
              </w:rPr>
            </w:pPr>
            <w:r>
              <w:rPr>
                <w:rFonts w:cs="Times New Roman"/>
                <w:color w:val="auto"/>
                <w:kern w:val="0"/>
                <w:sz w:val="18"/>
                <w:szCs w:val="18"/>
              </w:rPr>
              <w:t>&lt;0.0001</w:t>
            </w:r>
          </w:p>
        </w:tc>
      </w:tr>
      <w:tr w14:paraId="5B40AC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7606EFCE">
            <w:pPr>
              <w:rPr>
                <w:rFonts w:cs="Times New Roman"/>
                <w:color w:val="auto"/>
                <w:kern w:val="0"/>
                <w:sz w:val="18"/>
                <w:szCs w:val="18"/>
              </w:rPr>
            </w:pPr>
            <w:r>
              <w:rPr>
                <w:rFonts w:hint="eastAsia" w:cs="Times New Roman"/>
                <w:color w:val="auto"/>
                <w:kern w:val="0"/>
                <w:sz w:val="18"/>
                <w:szCs w:val="18"/>
              </w:rPr>
              <w:t xml:space="preserve">Stroke, </w:t>
            </w:r>
            <w:r>
              <w:rPr>
                <w:rFonts w:cs="Times New Roman"/>
                <w:color w:val="auto"/>
                <w:kern w:val="0"/>
                <w:sz w:val="18"/>
                <w:szCs w:val="18"/>
              </w:rPr>
              <w:t>(%)</w:t>
            </w:r>
          </w:p>
        </w:tc>
        <w:tc>
          <w:tcPr>
            <w:tcW w:w="1837" w:type="dxa"/>
          </w:tcPr>
          <w:p w14:paraId="032A9A24">
            <w:pPr>
              <w:jc w:val="center"/>
              <w:rPr>
                <w:rFonts w:cs="Times New Roman"/>
                <w:color w:val="auto"/>
                <w:kern w:val="0"/>
                <w:sz w:val="18"/>
                <w:szCs w:val="18"/>
              </w:rPr>
            </w:pPr>
          </w:p>
        </w:tc>
        <w:tc>
          <w:tcPr>
            <w:tcW w:w="2593" w:type="dxa"/>
          </w:tcPr>
          <w:p w14:paraId="14680490">
            <w:pPr>
              <w:jc w:val="center"/>
              <w:rPr>
                <w:rFonts w:cs="Times New Roman"/>
                <w:color w:val="auto"/>
                <w:kern w:val="0"/>
                <w:sz w:val="18"/>
                <w:szCs w:val="18"/>
              </w:rPr>
            </w:pPr>
          </w:p>
        </w:tc>
        <w:tc>
          <w:tcPr>
            <w:tcW w:w="1130" w:type="dxa"/>
          </w:tcPr>
          <w:p w14:paraId="7583C59A">
            <w:pPr>
              <w:jc w:val="center"/>
              <w:rPr>
                <w:rFonts w:cs="Times New Roman"/>
                <w:color w:val="auto"/>
                <w:kern w:val="0"/>
                <w:sz w:val="18"/>
                <w:szCs w:val="18"/>
              </w:rPr>
            </w:pPr>
          </w:p>
        </w:tc>
      </w:tr>
      <w:tr w14:paraId="04770F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5B17C873">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1837" w:type="dxa"/>
          </w:tcPr>
          <w:p w14:paraId="3A71BD8B">
            <w:pPr>
              <w:jc w:val="center"/>
              <w:rPr>
                <w:rFonts w:cs="Times New Roman"/>
                <w:color w:val="auto"/>
                <w:kern w:val="0"/>
                <w:sz w:val="18"/>
                <w:szCs w:val="18"/>
              </w:rPr>
            </w:pPr>
            <w:r>
              <w:rPr>
                <w:rFonts w:cs="Times New Roman"/>
                <w:color w:val="auto"/>
                <w:kern w:val="0"/>
                <w:sz w:val="18"/>
                <w:szCs w:val="18"/>
              </w:rPr>
              <w:t>14421 (95.96%)</w:t>
            </w:r>
          </w:p>
        </w:tc>
        <w:tc>
          <w:tcPr>
            <w:tcW w:w="2593" w:type="dxa"/>
          </w:tcPr>
          <w:p w14:paraId="38814833">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52BBAA09">
            <w:pPr>
              <w:jc w:val="center"/>
              <w:rPr>
                <w:rFonts w:cs="Times New Roman"/>
                <w:color w:val="auto"/>
                <w:kern w:val="0"/>
                <w:sz w:val="18"/>
                <w:szCs w:val="18"/>
              </w:rPr>
            </w:pPr>
          </w:p>
        </w:tc>
      </w:tr>
      <w:tr w14:paraId="1D216E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6699D752">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1837" w:type="dxa"/>
          </w:tcPr>
          <w:p w14:paraId="36E6455F">
            <w:pPr>
              <w:jc w:val="center"/>
              <w:rPr>
                <w:rFonts w:cs="Times New Roman"/>
                <w:color w:val="auto"/>
                <w:kern w:val="0"/>
                <w:sz w:val="18"/>
                <w:szCs w:val="18"/>
              </w:rPr>
            </w:pPr>
            <w:r>
              <w:rPr>
                <w:rFonts w:cs="Times New Roman"/>
                <w:color w:val="auto"/>
                <w:kern w:val="0"/>
                <w:sz w:val="18"/>
                <w:szCs w:val="18"/>
              </w:rPr>
              <w:t>607 (4.04%)</w:t>
            </w:r>
          </w:p>
        </w:tc>
        <w:tc>
          <w:tcPr>
            <w:tcW w:w="2593" w:type="dxa"/>
          </w:tcPr>
          <w:p w14:paraId="3B002C85">
            <w:pPr>
              <w:jc w:val="center"/>
              <w:rPr>
                <w:rFonts w:cs="Times New Roman"/>
                <w:color w:val="auto"/>
                <w:kern w:val="0"/>
                <w:sz w:val="18"/>
                <w:szCs w:val="18"/>
              </w:rPr>
            </w:pPr>
            <w:r>
              <w:rPr>
                <w:rFonts w:cs="Times New Roman"/>
                <w:color w:val="auto"/>
                <w:kern w:val="0"/>
                <w:sz w:val="18"/>
                <w:szCs w:val="18"/>
              </w:rPr>
              <w:t>4.46 (3.86, 5.16)</w:t>
            </w:r>
          </w:p>
        </w:tc>
        <w:tc>
          <w:tcPr>
            <w:tcW w:w="1130" w:type="dxa"/>
          </w:tcPr>
          <w:p w14:paraId="10B8D072">
            <w:pPr>
              <w:jc w:val="center"/>
              <w:rPr>
                <w:rFonts w:cs="Times New Roman"/>
                <w:color w:val="auto"/>
                <w:kern w:val="0"/>
                <w:sz w:val="18"/>
                <w:szCs w:val="18"/>
              </w:rPr>
            </w:pPr>
            <w:r>
              <w:rPr>
                <w:rFonts w:cs="Times New Roman"/>
                <w:color w:val="auto"/>
                <w:kern w:val="0"/>
                <w:sz w:val="18"/>
                <w:szCs w:val="18"/>
              </w:rPr>
              <w:t>&lt;0.0001</w:t>
            </w:r>
          </w:p>
        </w:tc>
      </w:tr>
      <w:tr w14:paraId="0F51C9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26ABEE5A">
            <w:pPr>
              <w:rPr>
                <w:rFonts w:cs="Times New Roman"/>
                <w:color w:val="auto"/>
                <w:kern w:val="0"/>
                <w:sz w:val="18"/>
                <w:szCs w:val="18"/>
              </w:rPr>
            </w:pPr>
            <w:r>
              <w:rPr>
                <w:rFonts w:cs="Times New Roman"/>
                <w:color w:val="auto"/>
                <w:kern w:val="0"/>
                <w:sz w:val="18"/>
                <w:szCs w:val="18"/>
              </w:rPr>
              <w:t>BU</w:t>
            </w:r>
            <w:r>
              <w:rPr>
                <w:rFonts w:hint="eastAsia" w:cs="Times New Roman"/>
                <w:color w:val="auto"/>
                <w:kern w:val="0"/>
                <w:sz w:val="18"/>
                <w:szCs w:val="18"/>
              </w:rPr>
              <w:t xml:space="preserve">N, </w:t>
            </w:r>
            <w:r>
              <w:rPr>
                <w:rFonts w:cs="Times New Roman"/>
                <w:color w:val="auto"/>
                <w:kern w:val="0"/>
                <w:sz w:val="18"/>
                <w:szCs w:val="18"/>
              </w:rPr>
              <w:t>mg/dL</w:t>
            </w:r>
          </w:p>
        </w:tc>
        <w:tc>
          <w:tcPr>
            <w:tcW w:w="1837" w:type="dxa"/>
          </w:tcPr>
          <w:p w14:paraId="2CE3B1A3">
            <w:pPr>
              <w:jc w:val="center"/>
              <w:rPr>
                <w:rFonts w:cs="Times New Roman"/>
                <w:color w:val="auto"/>
                <w:kern w:val="0"/>
                <w:sz w:val="18"/>
                <w:szCs w:val="18"/>
              </w:rPr>
            </w:pPr>
            <w:r>
              <w:rPr>
                <w:rFonts w:cs="Times New Roman"/>
                <w:color w:val="auto"/>
                <w:kern w:val="0"/>
                <w:sz w:val="18"/>
                <w:szCs w:val="18"/>
              </w:rPr>
              <w:t>13.73 ± 6.09</w:t>
            </w:r>
          </w:p>
        </w:tc>
        <w:tc>
          <w:tcPr>
            <w:tcW w:w="2593" w:type="dxa"/>
          </w:tcPr>
          <w:p w14:paraId="362283DF">
            <w:pPr>
              <w:jc w:val="center"/>
              <w:rPr>
                <w:rFonts w:cs="Times New Roman"/>
                <w:color w:val="auto"/>
                <w:kern w:val="0"/>
                <w:sz w:val="18"/>
                <w:szCs w:val="18"/>
              </w:rPr>
            </w:pPr>
            <w:r>
              <w:rPr>
                <w:rFonts w:cs="Times New Roman"/>
                <w:color w:val="auto"/>
                <w:kern w:val="0"/>
                <w:sz w:val="18"/>
                <w:szCs w:val="18"/>
              </w:rPr>
              <w:t>1.07 (1.06, 1.07)</w:t>
            </w:r>
          </w:p>
        </w:tc>
        <w:tc>
          <w:tcPr>
            <w:tcW w:w="1130" w:type="dxa"/>
          </w:tcPr>
          <w:p w14:paraId="6529CAB1">
            <w:pPr>
              <w:jc w:val="center"/>
              <w:rPr>
                <w:rFonts w:cs="Times New Roman"/>
                <w:color w:val="auto"/>
                <w:kern w:val="0"/>
                <w:sz w:val="18"/>
                <w:szCs w:val="18"/>
              </w:rPr>
            </w:pPr>
            <w:r>
              <w:rPr>
                <w:rFonts w:cs="Times New Roman"/>
                <w:color w:val="auto"/>
                <w:kern w:val="0"/>
                <w:sz w:val="18"/>
                <w:szCs w:val="18"/>
              </w:rPr>
              <w:t>&lt;0.0001</w:t>
            </w:r>
          </w:p>
        </w:tc>
      </w:tr>
      <w:tr w14:paraId="66427C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4FAB6413">
            <w:pPr>
              <w:rPr>
                <w:rFonts w:cs="Times New Roman"/>
                <w:color w:val="auto"/>
                <w:kern w:val="0"/>
                <w:sz w:val="18"/>
                <w:szCs w:val="18"/>
              </w:rPr>
            </w:pPr>
            <w:r>
              <w:rPr>
                <w:rFonts w:cs="Times New Roman"/>
                <w:color w:val="auto"/>
                <w:kern w:val="0"/>
                <w:sz w:val="18"/>
                <w:szCs w:val="18"/>
              </w:rPr>
              <w:t>Scr,</w:t>
            </w:r>
            <w:r>
              <w:rPr>
                <w:rFonts w:hint="eastAsia" w:cs="Times New Roman"/>
                <w:color w:val="auto"/>
                <w:kern w:val="0"/>
                <w:sz w:val="18"/>
                <w:szCs w:val="18"/>
              </w:rPr>
              <w:t xml:space="preserve"> </w:t>
            </w:r>
            <w:r>
              <w:rPr>
                <w:rFonts w:cs="Times New Roman"/>
                <w:color w:val="auto"/>
                <w:kern w:val="0"/>
                <w:sz w:val="18"/>
                <w:szCs w:val="18"/>
              </w:rPr>
              <w:t>mg/dL</w:t>
            </w:r>
          </w:p>
        </w:tc>
        <w:tc>
          <w:tcPr>
            <w:tcW w:w="1837" w:type="dxa"/>
          </w:tcPr>
          <w:p w14:paraId="7D2B186C">
            <w:pPr>
              <w:jc w:val="center"/>
              <w:rPr>
                <w:rFonts w:cs="Times New Roman"/>
                <w:color w:val="auto"/>
                <w:kern w:val="0"/>
                <w:sz w:val="18"/>
                <w:szCs w:val="18"/>
              </w:rPr>
            </w:pPr>
            <w:r>
              <w:rPr>
                <w:rFonts w:cs="Times New Roman"/>
                <w:color w:val="auto"/>
                <w:kern w:val="0"/>
                <w:sz w:val="18"/>
                <w:szCs w:val="18"/>
              </w:rPr>
              <w:t>0.90 ± 0.47</w:t>
            </w:r>
          </w:p>
        </w:tc>
        <w:tc>
          <w:tcPr>
            <w:tcW w:w="2593" w:type="dxa"/>
          </w:tcPr>
          <w:p w14:paraId="7954DA2C">
            <w:pPr>
              <w:jc w:val="center"/>
              <w:rPr>
                <w:rFonts w:cs="Times New Roman"/>
                <w:color w:val="auto"/>
                <w:kern w:val="0"/>
                <w:sz w:val="18"/>
                <w:szCs w:val="18"/>
              </w:rPr>
            </w:pPr>
            <w:r>
              <w:rPr>
                <w:rFonts w:cs="Times New Roman"/>
                <w:color w:val="auto"/>
                <w:kern w:val="0"/>
                <w:sz w:val="18"/>
                <w:szCs w:val="18"/>
              </w:rPr>
              <w:t>1.39 (1.35, 1.43)</w:t>
            </w:r>
          </w:p>
        </w:tc>
        <w:tc>
          <w:tcPr>
            <w:tcW w:w="1130" w:type="dxa"/>
          </w:tcPr>
          <w:p w14:paraId="4742BC66">
            <w:pPr>
              <w:jc w:val="center"/>
              <w:rPr>
                <w:rFonts w:cs="Times New Roman"/>
                <w:color w:val="auto"/>
                <w:kern w:val="0"/>
                <w:sz w:val="18"/>
                <w:szCs w:val="18"/>
              </w:rPr>
            </w:pPr>
            <w:r>
              <w:rPr>
                <w:rFonts w:cs="Times New Roman"/>
                <w:color w:val="auto"/>
                <w:kern w:val="0"/>
                <w:sz w:val="18"/>
                <w:szCs w:val="18"/>
              </w:rPr>
              <w:t>&lt;0.0001</w:t>
            </w:r>
          </w:p>
        </w:tc>
      </w:tr>
      <w:tr w14:paraId="020BED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FC1808D">
            <w:pPr>
              <w:rPr>
                <w:rFonts w:cs="Times New Roman"/>
                <w:color w:val="auto"/>
                <w:kern w:val="0"/>
                <w:sz w:val="18"/>
                <w:szCs w:val="18"/>
              </w:rPr>
            </w:pPr>
            <w:r>
              <w:rPr>
                <w:rFonts w:hint="eastAsia" w:cs="Times New Roman"/>
                <w:color w:val="auto"/>
                <w:kern w:val="0"/>
                <w:sz w:val="18"/>
                <w:szCs w:val="18"/>
              </w:rPr>
              <w:t>e</w:t>
            </w:r>
            <w:r>
              <w:rPr>
                <w:rFonts w:cs="Times New Roman"/>
                <w:color w:val="auto"/>
                <w:kern w:val="0"/>
                <w:sz w:val="18"/>
                <w:szCs w:val="18"/>
              </w:rPr>
              <w:t>GFR</w:t>
            </w:r>
            <w:r>
              <w:rPr>
                <w:rFonts w:hint="eastAsia" w:cs="Times New Roman"/>
                <w:color w:val="auto"/>
                <w:kern w:val="0"/>
                <w:sz w:val="18"/>
                <w:szCs w:val="18"/>
              </w:rPr>
              <w:t xml:space="preserve">, </w:t>
            </w:r>
            <w:r>
              <w:rPr>
                <w:rFonts w:cs="Times New Roman"/>
                <w:color w:val="auto"/>
                <w:kern w:val="0"/>
                <w:sz w:val="18"/>
                <w:szCs w:val="18"/>
              </w:rPr>
              <w:t>ml/min/1.73m</w:t>
            </w:r>
            <w:r>
              <w:rPr>
                <w:rFonts w:cs="Times New Roman"/>
                <w:color w:val="auto"/>
                <w:kern w:val="0"/>
                <w:sz w:val="18"/>
                <w:szCs w:val="18"/>
                <w:vertAlign w:val="superscript"/>
              </w:rPr>
              <w:t>2</w:t>
            </w:r>
          </w:p>
        </w:tc>
        <w:tc>
          <w:tcPr>
            <w:tcW w:w="1837" w:type="dxa"/>
          </w:tcPr>
          <w:p w14:paraId="5D6D731E">
            <w:pPr>
              <w:jc w:val="center"/>
              <w:rPr>
                <w:rFonts w:cs="Times New Roman"/>
                <w:color w:val="auto"/>
                <w:kern w:val="0"/>
                <w:sz w:val="18"/>
                <w:szCs w:val="18"/>
              </w:rPr>
            </w:pPr>
            <w:r>
              <w:rPr>
                <w:rFonts w:cs="Times New Roman"/>
                <w:color w:val="auto"/>
                <w:kern w:val="0"/>
                <w:sz w:val="18"/>
                <w:szCs w:val="18"/>
              </w:rPr>
              <w:t>94.65 ± 22.74</w:t>
            </w:r>
          </w:p>
        </w:tc>
        <w:tc>
          <w:tcPr>
            <w:tcW w:w="2593" w:type="dxa"/>
          </w:tcPr>
          <w:p w14:paraId="4AE63431">
            <w:pPr>
              <w:jc w:val="center"/>
              <w:rPr>
                <w:rFonts w:cs="Times New Roman"/>
                <w:color w:val="auto"/>
                <w:kern w:val="0"/>
                <w:sz w:val="18"/>
                <w:szCs w:val="18"/>
              </w:rPr>
            </w:pPr>
            <w:r>
              <w:rPr>
                <w:rFonts w:cs="Times New Roman"/>
                <w:color w:val="auto"/>
                <w:kern w:val="0"/>
                <w:sz w:val="18"/>
                <w:szCs w:val="18"/>
              </w:rPr>
              <w:t>0.96 (0.96, 0.96)</w:t>
            </w:r>
          </w:p>
        </w:tc>
        <w:tc>
          <w:tcPr>
            <w:tcW w:w="1130" w:type="dxa"/>
          </w:tcPr>
          <w:p w14:paraId="7C6D2406">
            <w:pPr>
              <w:jc w:val="center"/>
              <w:rPr>
                <w:rFonts w:cs="Times New Roman"/>
                <w:color w:val="auto"/>
                <w:kern w:val="0"/>
                <w:sz w:val="18"/>
                <w:szCs w:val="18"/>
              </w:rPr>
            </w:pPr>
            <w:r>
              <w:rPr>
                <w:rFonts w:cs="Times New Roman"/>
                <w:color w:val="auto"/>
                <w:kern w:val="0"/>
                <w:sz w:val="18"/>
                <w:szCs w:val="18"/>
              </w:rPr>
              <w:t>&lt;0.0001</w:t>
            </w:r>
          </w:p>
        </w:tc>
      </w:tr>
      <w:tr w14:paraId="7D862E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EA009CD">
            <w:pPr>
              <w:rPr>
                <w:rFonts w:cs="Times New Roman"/>
                <w:color w:val="auto"/>
                <w:kern w:val="0"/>
                <w:sz w:val="18"/>
                <w:szCs w:val="18"/>
              </w:rPr>
            </w:pPr>
            <w:r>
              <w:rPr>
                <w:rFonts w:cs="Times New Roman"/>
                <w:color w:val="auto"/>
                <w:kern w:val="0"/>
                <w:sz w:val="18"/>
                <w:szCs w:val="18"/>
              </w:rPr>
              <w:t>HbA1c</w:t>
            </w:r>
            <w:r>
              <w:rPr>
                <w:rFonts w:hint="eastAsia" w:cs="Times New Roman"/>
                <w:color w:val="auto"/>
                <w:kern w:val="0"/>
                <w:sz w:val="18"/>
                <w:szCs w:val="18"/>
              </w:rPr>
              <w:t>, %</w:t>
            </w:r>
          </w:p>
        </w:tc>
        <w:tc>
          <w:tcPr>
            <w:tcW w:w="1837" w:type="dxa"/>
          </w:tcPr>
          <w:p w14:paraId="7CA4AE7A">
            <w:pPr>
              <w:jc w:val="center"/>
              <w:rPr>
                <w:rFonts w:cs="Times New Roman"/>
                <w:color w:val="auto"/>
                <w:kern w:val="0"/>
                <w:sz w:val="18"/>
                <w:szCs w:val="18"/>
              </w:rPr>
            </w:pPr>
            <w:r>
              <w:rPr>
                <w:rFonts w:cs="Times New Roman"/>
                <w:color w:val="auto"/>
                <w:kern w:val="0"/>
                <w:sz w:val="18"/>
                <w:szCs w:val="18"/>
              </w:rPr>
              <w:t>5.81 ± 1.13</w:t>
            </w:r>
          </w:p>
        </w:tc>
        <w:tc>
          <w:tcPr>
            <w:tcW w:w="2593" w:type="dxa"/>
          </w:tcPr>
          <w:p w14:paraId="54C66738">
            <w:pPr>
              <w:jc w:val="center"/>
              <w:rPr>
                <w:rFonts w:cs="Times New Roman"/>
                <w:color w:val="auto"/>
                <w:kern w:val="0"/>
                <w:sz w:val="18"/>
                <w:szCs w:val="18"/>
              </w:rPr>
            </w:pPr>
            <w:r>
              <w:rPr>
                <w:rFonts w:cs="Times New Roman"/>
                <w:color w:val="auto"/>
                <w:kern w:val="0"/>
                <w:sz w:val="18"/>
                <w:szCs w:val="18"/>
              </w:rPr>
              <w:t>1.24 (1.21, 1.27)</w:t>
            </w:r>
          </w:p>
        </w:tc>
        <w:tc>
          <w:tcPr>
            <w:tcW w:w="1130" w:type="dxa"/>
          </w:tcPr>
          <w:p w14:paraId="5A72B492">
            <w:pPr>
              <w:jc w:val="center"/>
              <w:rPr>
                <w:rFonts w:cs="Times New Roman"/>
                <w:color w:val="auto"/>
                <w:kern w:val="0"/>
                <w:sz w:val="18"/>
                <w:szCs w:val="18"/>
              </w:rPr>
            </w:pPr>
            <w:r>
              <w:rPr>
                <w:rFonts w:cs="Times New Roman"/>
                <w:color w:val="auto"/>
                <w:kern w:val="0"/>
                <w:sz w:val="18"/>
                <w:szCs w:val="18"/>
              </w:rPr>
              <w:t>&lt;0.0001</w:t>
            </w:r>
          </w:p>
        </w:tc>
      </w:tr>
      <w:tr w14:paraId="1B8525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FA2F529">
            <w:pPr>
              <w:rPr>
                <w:rFonts w:cs="Times New Roman"/>
                <w:color w:val="auto"/>
                <w:kern w:val="0"/>
                <w:sz w:val="18"/>
                <w:szCs w:val="18"/>
              </w:rPr>
            </w:pPr>
            <w:r>
              <w:rPr>
                <w:rFonts w:cs="Times New Roman"/>
                <w:color w:val="auto"/>
                <w:kern w:val="0"/>
                <w:sz w:val="18"/>
                <w:szCs w:val="18"/>
              </w:rPr>
              <w:t>FBG, mg/dL</w:t>
            </w:r>
          </w:p>
        </w:tc>
        <w:tc>
          <w:tcPr>
            <w:tcW w:w="1837" w:type="dxa"/>
          </w:tcPr>
          <w:p w14:paraId="49A3E06A">
            <w:pPr>
              <w:jc w:val="center"/>
              <w:rPr>
                <w:rFonts w:cs="Times New Roman"/>
                <w:color w:val="auto"/>
                <w:kern w:val="0"/>
                <w:sz w:val="18"/>
                <w:szCs w:val="18"/>
              </w:rPr>
            </w:pPr>
            <w:r>
              <w:rPr>
                <w:rFonts w:cs="Times New Roman"/>
                <w:color w:val="auto"/>
                <w:kern w:val="0"/>
                <w:sz w:val="18"/>
                <w:szCs w:val="18"/>
              </w:rPr>
              <w:t>110.54 ± 36.25</w:t>
            </w:r>
          </w:p>
        </w:tc>
        <w:tc>
          <w:tcPr>
            <w:tcW w:w="2593" w:type="dxa"/>
          </w:tcPr>
          <w:p w14:paraId="2EE51707">
            <w:pPr>
              <w:jc w:val="center"/>
              <w:rPr>
                <w:rFonts w:cs="Times New Roman"/>
                <w:color w:val="auto"/>
                <w:kern w:val="0"/>
                <w:sz w:val="18"/>
                <w:szCs w:val="18"/>
              </w:rPr>
            </w:pPr>
            <w:r>
              <w:rPr>
                <w:rFonts w:cs="Times New Roman"/>
                <w:color w:val="auto"/>
                <w:kern w:val="0"/>
                <w:sz w:val="18"/>
                <w:szCs w:val="18"/>
              </w:rPr>
              <w:t>1.01 (1.01, 1.01)</w:t>
            </w:r>
          </w:p>
        </w:tc>
        <w:tc>
          <w:tcPr>
            <w:tcW w:w="1130" w:type="dxa"/>
          </w:tcPr>
          <w:p w14:paraId="25B13D30">
            <w:pPr>
              <w:jc w:val="center"/>
              <w:rPr>
                <w:rFonts w:cs="Times New Roman"/>
                <w:color w:val="auto"/>
                <w:kern w:val="0"/>
                <w:sz w:val="18"/>
                <w:szCs w:val="18"/>
              </w:rPr>
            </w:pPr>
            <w:r>
              <w:rPr>
                <w:rFonts w:cs="Times New Roman"/>
                <w:color w:val="auto"/>
                <w:kern w:val="0"/>
                <w:sz w:val="18"/>
                <w:szCs w:val="18"/>
              </w:rPr>
              <w:t>&lt;0.0001</w:t>
            </w:r>
          </w:p>
        </w:tc>
      </w:tr>
      <w:tr w14:paraId="02A202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5DFD12F1">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G</w:t>
            </w:r>
            <w:r>
              <w:rPr>
                <w:rFonts w:cs="Times New Roman"/>
                <w:color w:val="auto"/>
                <w:kern w:val="0"/>
                <w:sz w:val="18"/>
                <w:szCs w:val="18"/>
              </w:rPr>
              <w:t>, mg/dL</w:t>
            </w:r>
          </w:p>
        </w:tc>
        <w:tc>
          <w:tcPr>
            <w:tcW w:w="1837" w:type="dxa"/>
          </w:tcPr>
          <w:p w14:paraId="50CC8729">
            <w:pPr>
              <w:jc w:val="center"/>
              <w:rPr>
                <w:rFonts w:cs="Times New Roman"/>
                <w:color w:val="auto"/>
                <w:kern w:val="0"/>
                <w:sz w:val="18"/>
                <w:szCs w:val="18"/>
              </w:rPr>
            </w:pPr>
            <w:r>
              <w:rPr>
                <w:rFonts w:cs="Times New Roman"/>
                <w:color w:val="auto"/>
                <w:kern w:val="0"/>
                <w:sz w:val="18"/>
                <w:szCs w:val="18"/>
              </w:rPr>
              <w:t>129.65 ± 113.04</w:t>
            </w:r>
          </w:p>
        </w:tc>
        <w:tc>
          <w:tcPr>
            <w:tcW w:w="2593" w:type="dxa"/>
          </w:tcPr>
          <w:p w14:paraId="516A010B">
            <w:pPr>
              <w:jc w:val="center"/>
              <w:rPr>
                <w:rFonts w:cs="Times New Roman"/>
                <w:color w:val="auto"/>
                <w:kern w:val="0"/>
                <w:sz w:val="18"/>
                <w:szCs w:val="18"/>
              </w:rPr>
            </w:pPr>
            <w:r>
              <w:rPr>
                <w:rFonts w:cs="Times New Roman"/>
                <w:color w:val="auto"/>
                <w:kern w:val="0"/>
                <w:sz w:val="18"/>
                <w:szCs w:val="18"/>
              </w:rPr>
              <w:t>1.00 (1.00, 1.00)</w:t>
            </w:r>
          </w:p>
        </w:tc>
        <w:tc>
          <w:tcPr>
            <w:tcW w:w="1130" w:type="dxa"/>
          </w:tcPr>
          <w:p w14:paraId="6AB6D1F8">
            <w:pPr>
              <w:jc w:val="center"/>
              <w:rPr>
                <w:rFonts w:cs="Times New Roman"/>
                <w:color w:val="auto"/>
                <w:kern w:val="0"/>
                <w:sz w:val="18"/>
                <w:szCs w:val="18"/>
              </w:rPr>
            </w:pPr>
            <w:r>
              <w:rPr>
                <w:rFonts w:cs="Times New Roman"/>
                <w:color w:val="auto"/>
                <w:kern w:val="0"/>
                <w:sz w:val="18"/>
                <w:szCs w:val="18"/>
              </w:rPr>
              <w:t>0.3508</w:t>
            </w:r>
          </w:p>
        </w:tc>
      </w:tr>
      <w:tr w14:paraId="75FD7F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C39F4C1">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w:t>
            </w:r>
          </w:p>
        </w:tc>
        <w:tc>
          <w:tcPr>
            <w:tcW w:w="1837" w:type="dxa"/>
          </w:tcPr>
          <w:p w14:paraId="766F4E61">
            <w:pPr>
              <w:jc w:val="center"/>
              <w:rPr>
                <w:rFonts w:cs="Times New Roman"/>
                <w:color w:val="auto"/>
                <w:kern w:val="0"/>
                <w:sz w:val="18"/>
                <w:szCs w:val="18"/>
              </w:rPr>
            </w:pPr>
            <w:r>
              <w:rPr>
                <w:rFonts w:cs="Times New Roman"/>
                <w:color w:val="auto"/>
                <w:kern w:val="0"/>
                <w:sz w:val="18"/>
                <w:szCs w:val="18"/>
              </w:rPr>
              <w:t>8.65 ± 0.68</w:t>
            </w:r>
          </w:p>
        </w:tc>
        <w:tc>
          <w:tcPr>
            <w:tcW w:w="2593" w:type="dxa"/>
          </w:tcPr>
          <w:p w14:paraId="271ECDE9">
            <w:pPr>
              <w:jc w:val="center"/>
              <w:rPr>
                <w:rFonts w:cs="Times New Roman"/>
                <w:color w:val="auto"/>
                <w:kern w:val="0"/>
                <w:sz w:val="18"/>
                <w:szCs w:val="18"/>
              </w:rPr>
            </w:pPr>
            <w:r>
              <w:rPr>
                <w:rFonts w:cs="Times New Roman"/>
                <w:color w:val="auto"/>
                <w:kern w:val="0"/>
                <w:sz w:val="18"/>
                <w:szCs w:val="18"/>
              </w:rPr>
              <w:t>1.25 (1.17, 1.34)</w:t>
            </w:r>
          </w:p>
        </w:tc>
        <w:tc>
          <w:tcPr>
            <w:tcW w:w="1130" w:type="dxa"/>
          </w:tcPr>
          <w:p w14:paraId="63CE220F">
            <w:pPr>
              <w:jc w:val="center"/>
              <w:rPr>
                <w:rFonts w:cs="Times New Roman"/>
                <w:color w:val="auto"/>
                <w:kern w:val="0"/>
                <w:sz w:val="18"/>
                <w:szCs w:val="18"/>
              </w:rPr>
            </w:pPr>
            <w:r>
              <w:rPr>
                <w:rFonts w:cs="Times New Roman"/>
                <w:color w:val="auto"/>
                <w:kern w:val="0"/>
                <w:sz w:val="18"/>
                <w:szCs w:val="18"/>
              </w:rPr>
              <w:t>&lt;0.0001</w:t>
            </w:r>
          </w:p>
        </w:tc>
      </w:tr>
      <w:tr w14:paraId="49F961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0" w:type="auto"/>
          </w:tcPr>
          <w:p w14:paraId="18FFFB41">
            <w:pPr>
              <w:rPr>
                <w:rFonts w:cs="Times New Roman"/>
                <w:color w:val="auto"/>
                <w:kern w:val="0"/>
                <w:sz w:val="18"/>
                <w:szCs w:val="18"/>
              </w:rPr>
            </w:pPr>
            <w:r>
              <w:rPr>
                <w:rFonts w:cs="Times New Roman"/>
                <w:color w:val="auto"/>
                <w:kern w:val="0"/>
                <w:sz w:val="18"/>
                <w:szCs w:val="18"/>
              </w:rPr>
              <w:t>F</w:t>
            </w:r>
            <w:r>
              <w:rPr>
                <w:rFonts w:hint="eastAsia" w:cs="Times New Roman"/>
                <w:color w:val="auto"/>
                <w:kern w:val="0"/>
                <w:sz w:val="18"/>
                <w:szCs w:val="18"/>
              </w:rPr>
              <w:t>I</w:t>
            </w:r>
          </w:p>
        </w:tc>
        <w:tc>
          <w:tcPr>
            <w:tcW w:w="1837" w:type="dxa"/>
          </w:tcPr>
          <w:p w14:paraId="2F56A4E3">
            <w:pPr>
              <w:jc w:val="center"/>
              <w:rPr>
                <w:rFonts w:cs="Times New Roman"/>
                <w:color w:val="auto"/>
                <w:kern w:val="0"/>
                <w:sz w:val="18"/>
                <w:szCs w:val="18"/>
              </w:rPr>
            </w:pPr>
            <w:r>
              <w:rPr>
                <w:rFonts w:cs="Times New Roman"/>
                <w:color w:val="auto"/>
                <w:kern w:val="0"/>
                <w:sz w:val="18"/>
                <w:szCs w:val="18"/>
              </w:rPr>
              <w:t>0.15 ± 0.10</w:t>
            </w:r>
          </w:p>
        </w:tc>
        <w:tc>
          <w:tcPr>
            <w:tcW w:w="2593" w:type="dxa"/>
          </w:tcPr>
          <w:p w14:paraId="2A005BC1">
            <w:pPr>
              <w:jc w:val="center"/>
              <w:rPr>
                <w:rFonts w:cs="Times New Roman"/>
                <w:color w:val="auto"/>
                <w:kern w:val="0"/>
                <w:sz w:val="18"/>
                <w:szCs w:val="18"/>
              </w:rPr>
            </w:pPr>
            <w:r>
              <w:rPr>
                <w:rFonts w:cs="Times New Roman"/>
                <w:color w:val="auto"/>
                <w:kern w:val="0"/>
                <w:sz w:val="18"/>
                <w:szCs w:val="18"/>
              </w:rPr>
              <w:t>702.96 (494.34, 999.60)</w:t>
            </w:r>
          </w:p>
        </w:tc>
        <w:tc>
          <w:tcPr>
            <w:tcW w:w="1130" w:type="dxa"/>
          </w:tcPr>
          <w:p w14:paraId="6ACCB2EF">
            <w:pPr>
              <w:jc w:val="center"/>
              <w:rPr>
                <w:rFonts w:cs="Times New Roman"/>
                <w:color w:val="auto"/>
                <w:kern w:val="0"/>
                <w:sz w:val="18"/>
                <w:szCs w:val="18"/>
              </w:rPr>
            </w:pPr>
            <w:r>
              <w:rPr>
                <w:rFonts w:cs="Times New Roman"/>
                <w:color w:val="auto"/>
                <w:kern w:val="0"/>
                <w:sz w:val="18"/>
                <w:szCs w:val="18"/>
              </w:rPr>
              <w:t>&lt;0.0001</w:t>
            </w:r>
          </w:p>
        </w:tc>
      </w:tr>
      <w:tr w14:paraId="2F5E21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Pr>
          <w:p w14:paraId="7F0C1A16">
            <w:pPr>
              <w:rPr>
                <w:rFonts w:cs="Times New Roman"/>
                <w:color w:val="auto"/>
                <w:kern w:val="0"/>
                <w:sz w:val="18"/>
                <w:szCs w:val="18"/>
              </w:rPr>
            </w:pPr>
            <w:r>
              <w:rPr>
                <w:rFonts w:hint="eastAsia" w:cs="Times New Roman"/>
                <w:color w:val="auto"/>
                <w:kern w:val="0"/>
                <w:sz w:val="18"/>
                <w:szCs w:val="18"/>
              </w:rPr>
              <w:t>CKM</w:t>
            </w:r>
          </w:p>
        </w:tc>
        <w:tc>
          <w:tcPr>
            <w:tcW w:w="1837" w:type="dxa"/>
          </w:tcPr>
          <w:p w14:paraId="0E51C850">
            <w:pPr>
              <w:jc w:val="center"/>
              <w:rPr>
                <w:rFonts w:cs="Times New Roman"/>
                <w:color w:val="auto"/>
                <w:kern w:val="0"/>
                <w:sz w:val="18"/>
                <w:szCs w:val="18"/>
              </w:rPr>
            </w:pPr>
          </w:p>
        </w:tc>
        <w:tc>
          <w:tcPr>
            <w:tcW w:w="2593" w:type="dxa"/>
          </w:tcPr>
          <w:p w14:paraId="727E6486">
            <w:pPr>
              <w:jc w:val="center"/>
              <w:rPr>
                <w:rFonts w:cs="Times New Roman"/>
                <w:color w:val="auto"/>
                <w:kern w:val="0"/>
                <w:sz w:val="18"/>
                <w:szCs w:val="18"/>
              </w:rPr>
            </w:pPr>
          </w:p>
        </w:tc>
        <w:tc>
          <w:tcPr>
            <w:tcW w:w="1130" w:type="dxa"/>
          </w:tcPr>
          <w:p w14:paraId="75E3631C">
            <w:pPr>
              <w:jc w:val="center"/>
              <w:rPr>
                <w:rFonts w:cs="Times New Roman"/>
                <w:color w:val="auto"/>
                <w:kern w:val="0"/>
                <w:sz w:val="18"/>
                <w:szCs w:val="18"/>
              </w:rPr>
            </w:pPr>
          </w:p>
        </w:tc>
      </w:tr>
      <w:tr w14:paraId="1BD977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Pr>
          <w:p w14:paraId="4946A68E">
            <w:pPr>
              <w:rPr>
                <w:rFonts w:cs="Times New Roman"/>
                <w:color w:val="auto"/>
                <w:kern w:val="0"/>
                <w:sz w:val="18"/>
                <w:szCs w:val="18"/>
              </w:rPr>
            </w:pPr>
            <w:r>
              <w:rPr>
                <w:rFonts w:hint="eastAsia" w:cs="Times New Roman"/>
                <w:color w:val="auto"/>
                <w:kern w:val="0"/>
                <w:sz w:val="18"/>
                <w:szCs w:val="18"/>
              </w:rPr>
              <w:t>   0</w:t>
            </w:r>
          </w:p>
        </w:tc>
        <w:tc>
          <w:tcPr>
            <w:tcW w:w="1837" w:type="dxa"/>
          </w:tcPr>
          <w:p w14:paraId="36706C0E">
            <w:pPr>
              <w:jc w:val="center"/>
              <w:rPr>
                <w:rFonts w:cs="Times New Roman"/>
                <w:color w:val="auto"/>
                <w:kern w:val="0"/>
                <w:sz w:val="18"/>
                <w:szCs w:val="18"/>
              </w:rPr>
            </w:pPr>
            <w:r>
              <w:rPr>
                <w:rFonts w:hint="eastAsia" w:cs="Times New Roman"/>
                <w:color w:val="auto"/>
                <w:kern w:val="0"/>
                <w:sz w:val="18"/>
                <w:szCs w:val="18"/>
              </w:rPr>
              <w:t>1278 (8.50%)</w:t>
            </w:r>
          </w:p>
        </w:tc>
        <w:tc>
          <w:tcPr>
            <w:tcW w:w="2593" w:type="dxa"/>
          </w:tcPr>
          <w:p w14:paraId="11EE2018">
            <w:pPr>
              <w:jc w:val="center"/>
              <w:rPr>
                <w:rFonts w:cs="Times New Roman"/>
                <w:color w:val="auto"/>
                <w:kern w:val="0"/>
                <w:sz w:val="18"/>
                <w:szCs w:val="18"/>
              </w:rPr>
            </w:pPr>
            <w:r>
              <w:rPr>
                <w:rFonts w:cs="Times New Roman"/>
                <w:color w:val="auto"/>
                <w:kern w:val="0"/>
                <w:sz w:val="18"/>
                <w:szCs w:val="18"/>
              </w:rPr>
              <w:t>Reference</w:t>
            </w:r>
          </w:p>
        </w:tc>
        <w:tc>
          <w:tcPr>
            <w:tcW w:w="1130" w:type="dxa"/>
          </w:tcPr>
          <w:p w14:paraId="7751E55F">
            <w:pPr>
              <w:jc w:val="center"/>
              <w:rPr>
                <w:rFonts w:cs="Times New Roman"/>
                <w:color w:val="auto"/>
                <w:kern w:val="0"/>
                <w:sz w:val="18"/>
                <w:szCs w:val="18"/>
              </w:rPr>
            </w:pPr>
          </w:p>
        </w:tc>
      </w:tr>
      <w:tr w14:paraId="38AF50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Pr>
          <w:p w14:paraId="00CE4629">
            <w:pPr>
              <w:rPr>
                <w:rFonts w:cs="Times New Roman"/>
                <w:color w:val="auto"/>
                <w:kern w:val="0"/>
                <w:sz w:val="18"/>
                <w:szCs w:val="18"/>
              </w:rPr>
            </w:pPr>
            <w:r>
              <w:rPr>
                <w:rFonts w:hint="eastAsia" w:cs="Times New Roman"/>
                <w:color w:val="auto"/>
                <w:kern w:val="0"/>
                <w:sz w:val="18"/>
                <w:szCs w:val="18"/>
              </w:rPr>
              <w:t>   1</w:t>
            </w:r>
          </w:p>
        </w:tc>
        <w:tc>
          <w:tcPr>
            <w:tcW w:w="1837" w:type="dxa"/>
          </w:tcPr>
          <w:p w14:paraId="04664600">
            <w:pPr>
              <w:jc w:val="center"/>
              <w:rPr>
                <w:rFonts w:cs="Times New Roman"/>
                <w:color w:val="auto"/>
                <w:kern w:val="0"/>
                <w:sz w:val="18"/>
                <w:szCs w:val="18"/>
              </w:rPr>
            </w:pPr>
            <w:r>
              <w:rPr>
                <w:rFonts w:hint="eastAsia" w:cs="Times New Roman"/>
                <w:color w:val="auto"/>
                <w:kern w:val="0"/>
                <w:sz w:val="18"/>
                <w:szCs w:val="18"/>
              </w:rPr>
              <w:t>2523 (16.77%)</w:t>
            </w:r>
          </w:p>
        </w:tc>
        <w:tc>
          <w:tcPr>
            <w:tcW w:w="2593" w:type="dxa"/>
          </w:tcPr>
          <w:p w14:paraId="62981CD4">
            <w:pPr>
              <w:jc w:val="center"/>
              <w:rPr>
                <w:rFonts w:cs="Times New Roman"/>
                <w:color w:val="auto"/>
                <w:kern w:val="0"/>
                <w:sz w:val="18"/>
                <w:szCs w:val="18"/>
              </w:rPr>
            </w:pPr>
            <w:r>
              <w:rPr>
                <w:rFonts w:hint="eastAsia" w:cs="Times New Roman"/>
                <w:color w:val="auto"/>
                <w:kern w:val="0"/>
                <w:sz w:val="18"/>
                <w:szCs w:val="18"/>
              </w:rPr>
              <w:t>2.56 (1.52, 4.32)</w:t>
            </w:r>
          </w:p>
        </w:tc>
        <w:tc>
          <w:tcPr>
            <w:tcW w:w="1130" w:type="dxa"/>
          </w:tcPr>
          <w:p w14:paraId="0096EA83">
            <w:pPr>
              <w:jc w:val="center"/>
              <w:rPr>
                <w:rFonts w:cs="Times New Roman"/>
                <w:color w:val="auto"/>
                <w:kern w:val="0"/>
                <w:sz w:val="18"/>
                <w:szCs w:val="18"/>
              </w:rPr>
            </w:pPr>
            <w:r>
              <w:rPr>
                <w:rFonts w:hint="eastAsia" w:cs="Times New Roman"/>
                <w:color w:val="auto"/>
                <w:kern w:val="0"/>
                <w:sz w:val="18"/>
                <w:szCs w:val="18"/>
              </w:rPr>
              <w:t>0.0004</w:t>
            </w:r>
          </w:p>
        </w:tc>
      </w:tr>
      <w:tr w14:paraId="406F80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Pr>
          <w:p w14:paraId="38B4C3F9">
            <w:pPr>
              <w:rPr>
                <w:rFonts w:cs="Times New Roman"/>
                <w:color w:val="auto"/>
                <w:kern w:val="0"/>
                <w:sz w:val="18"/>
                <w:szCs w:val="18"/>
              </w:rPr>
            </w:pPr>
            <w:r>
              <w:rPr>
                <w:rFonts w:hint="eastAsia" w:cs="Times New Roman"/>
                <w:color w:val="auto"/>
                <w:kern w:val="0"/>
                <w:sz w:val="18"/>
                <w:szCs w:val="18"/>
              </w:rPr>
              <w:t>   2</w:t>
            </w:r>
          </w:p>
        </w:tc>
        <w:tc>
          <w:tcPr>
            <w:tcW w:w="1837" w:type="dxa"/>
          </w:tcPr>
          <w:p w14:paraId="09CEEF18">
            <w:pPr>
              <w:jc w:val="center"/>
              <w:rPr>
                <w:rFonts w:cs="Times New Roman"/>
                <w:color w:val="auto"/>
                <w:kern w:val="0"/>
                <w:sz w:val="18"/>
                <w:szCs w:val="18"/>
              </w:rPr>
            </w:pPr>
            <w:r>
              <w:rPr>
                <w:rFonts w:hint="eastAsia" w:cs="Times New Roman"/>
                <w:color w:val="auto"/>
                <w:kern w:val="0"/>
                <w:sz w:val="18"/>
                <w:szCs w:val="18"/>
              </w:rPr>
              <w:t>8636 (57.40%)</w:t>
            </w:r>
          </w:p>
        </w:tc>
        <w:tc>
          <w:tcPr>
            <w:tcW w:w="2593" w:type="dxa"/>
          </w:tcPr>
          <w:p w14:paraId="62B711B5">
            <w:pPr>
              <w:jc w:val="center"/>
              <w:rPr>
                <w:rFonts w:cs="Times New Roman"/>
                <w:color w:val="auto"/>
                <w:kern w:val="0"/>
                <w:sz w:val="18"/>
                <w:szCs w:val="18"/>
              </w:rPr>
            </w:pPr>
            <w:r>
              <w:rPr>
                <w:rFonts w:hint="eastAsia" w:cs="Times New Roman"/>
                <w:color w:val="auto"/>
                <w:kern w:val="0"/>
                <w:sz w:val="18"/>
                <w:szCs w:val="18"/>
              </w:rPr>
              <w:t>6.33 (3.92, 10.24)</w:t>
            </w:r>
          </w:p>
        </w:tc>
        <w:tc>
          <w:tcPr>
            <w:tcW w:w="1130" w:type="dxa"/>
          </w:tcPr>
          <w:p w14:paraId="242F2A1E">
            <w:pPr>
              <w:jc w:val="center"/>
              <w:rPr>
                <w:rFonts w:cs="Times New Roman"/>
                <w:color w:val="auto"/>
                <w:kern w:val="0"/>
                <w:sz w:val="18"/>
                <w:szCs w:val="18"/>
              </w:rPr>
            </w:pPr>
            <w:r>
              <w:rPr>
                <w:rFonts w:hint="eastAsia" w:cs="Times New Roman"/>
                <w:color w:val="auto"/>
                <w:kern w:val="0"/>
                <w:sz w:val="18"/>
                <w:szCs w:val="18"/>
              </w:rPr>
              <w:t>&lt;0.0001</w:t>
            </w:r>
          </w:p>
        </w:tc>
      </w:tr>
      <w:tr w14:paraId="499654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bottom w:val="nil"/>
            </w:tcBorders>
          </w:tcPr>
          <w:p w14:paraId="10AD8315">
            <w:pPr>
              <w:rPr>
                <w:rFonts w:cs="Times New Roman"/>
                <w:color w:val="auto"/>
                <w:kern w:val="0"/>
                <w:sz w:val="18"/>
                <w:szCs w:val="18"/>
              </w:rPr>
            </w:pPr>
            <w:r>
              <w:rPr>
                <w:rFonts w:hint="eastAsia" w:cs="Times New Roman"/>
                <w:color w:val="auto"/>
                <w:kern w:val="0"/>
                <w:sz w:val="18"/>
                <w:szCs w:val="18"/>
              </w:rPr>
              <w:t>   3</w:t>
            </w:r>
          </w:p>
        </w:tc>
        <w:tc>
          <w:tcPr>
            <w:tcW w:w="1837" w:type="dxa"/>
            <w:tcBorders>
              <w:bottom w:val="nil"/>
            </w:tcBorders>
          </w:tcPr>
          <w:p w14:paraId="6B8A7619">
            <w:pPr>
              <w:jc w:val="center"/>
              <w:rPr>
                <w:rFonts w:cs="Times New Roman"/>
                <w:color w:val="auto"/>
                <w:kern w:val="0"/>
                <w:sz w:val="18"/>
                <w:szCs w:val="18"/>
              </w:rPr>
            </w:pPr>
            <w:r>
              <w:rPr>
                <w:rFonts w:hint="eastAsia" w:cs="Times New Roman"/>
                <w:color w:val="auto"/>
                <w:kern w:val="0"/>
                <w:sz w:val="18"/>
                <w:szCs w:val="18"/>
              </w:rPr>
              <w:t>853 (5.67%)</w:t>
            </w:r>
          </w:p>
        </w:tc>
        <w:tc>
          <w:tcPr>
            <w:tcW w:w="2593" w:type="dxa"/>
            <w:tcBorders>
              <w:bottom w:val="nil"/>
            </w:tcBorders>
          </w:tcPr>
          <w:p w14:paraId="39E18323">
            <w:pPr>
              <w:jc w:val="center"/>
              <w:rPr>
                <w:rFonts w:cs="Times New Roman"/>
                <w:color w:val="auto"/>
                <w:kern w:val="0"/>
                <w:sz w:val="18"/>
                <w:szCs w:val="18"/>
              </w:rPr>
            </w:pPr>
            <w:r>
              <w:rPr>
                <w:rFonts w:hint="eastAsia" w:cs="Times New Roman"/>
                <w:color w:val="auto"/>
                <w:kern w:val="0"/>
                <w:sz w:val="18"/>
                <w:szCs w:val="18"/>
              </w:rPr>
              <w:t>12.46 (7.55, 20.57)</w:t>
            </w:r>
          </w:p>
        </w:tc>
        <w:tc>
          <w:tcPr>
            <w:tcW w:w="1130" w:type="dxa"/>
            <w:tcBorders>
              <w:bottom w:val="nil"/>
            </w:tcBorders>
          </w:tcPr>
          <w:p w14:paraId="1B70987A">
            <w:pPr>
              <w:jc w:val="center"/>
              <w:rPr>
                <w:rFonts w:cs="Times New Roman"/>
                <w:color w:val="auto"/>
                <w:kern w:val="0"/>
                <w:sz w:val="18"/>
                <w:szCs w:val="18"/>
              </w:rPr>
            </w:pPr>
            <w:r>
              <w:rPr>
                <w:rFonts w:hint="eastAsia" w:cs="Times New Roman"/>
                <w:color w:val="auto"/>
                <w:kern w:val="0"/>
                <w:sz w:val="18"/>
                <w:szCs w:val="18"/>
              </w:rPr>
              <w:t>&lt;0.0001</w:t>
            </w:r>
          </w:p>
        </w:tc>
      </w:tr>
      <w:tr w14:paraId="30465D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nil"/>
              <w:bottom w:val="single" w:color="auto" w:sz="8" w:space="0"/>
            </w:tcBorders>
          </w:tcPr>
          <w:p w14:paraId="2724D30B">
            <w:pPr>
              <w:rPr>
                <w:rFonts w:cs="Times New Roman"/>
                <w:color w:val="auto"/>
                <w:kern w:val="0"/>
                <w:sz w:val="18"/>
                <w:szCs w:val="18"/>
              </w:rPr>
            </w:pPr>
            <w:r>
              <w:rPr>
                <w:rFonts w:hint="eastAsia" w:cs="Times New Roman"/>
                <w:color w:val="auto"/>
                <w:kern w:val="0"/>
                <w:sz w:val="18"/>
                <w:szCs w:val="18"/>
              </w:rPr>
              <w:t>   4</w:t>
            </w:r>
          </w:p>
        </w:tc>
        <w:tc>
          <w:tcPr>
            <w:tcW w:w="1837" w:type="dxa"/>
            <w:tcBorders>
              <w:top w:val="nil"/>
              <w:bottom w:val="single" w:color="auto" w:sz="8" w:space="0"/>
            </w:tcBorders>
          </w:tcPr>
          <w:p w14:paraId="4AC11AEC">
            <w:pPr>
              <w:jc w:val="center"/>
              <w:rPr>
                <w:rFonts w:cs="Times New Roman"/>
                <w:color w:val="auto"/>
                <w:kern w:val="0"/>
                <w:sz w:val="18"/>
                <w:szCs w:val="18"/>
              </w:rPr>
            </w:pPr>
            <w:r>
              <w:rPr>
                <w:rFonts w:hint="eastAsia" w:cs="Times New Roman"/>
                <w:color w:val="auto"/>
                <w:kern w:val="0"/>
                <w:sz w:val="18"/>
                <w:szCs w:val="18"/>
              </w:rPr>
              <w:t>1754 (11.66%)</w:t>
            </w:r>
          </w:p>
        </w:tc>
        <w:tc>
          <w:tcPr>
            <w:tcW w:w="2593" w:type="dxa"/>
            <w:tcBorders>
              <w:top w:val="nil"/>
              <w:bottom w:val="single" w:color="auto" w:sz="8" w:space="0"/>
            </w:tcBorders>
          </w:tcPr>
          <w:p w14:paraId="6D32A5F9">
            <w:pPr>
              <w:jc w:val="center"/>
              <w:rPr>
                <w:rFonts w:cs="Times New Roman"/>
                <w:color w:val="auto"/>
                <w:kern w:val="0"/>
                <w:sz w:val="18"/>
                <w:szCs w:val="18"/>
              </w:rPr>
            </w:pPr>
            <w:r>
              <w:rPr>
                <w:rFonts w:hint="eastAsia" w:cs="Times New Roman"/>
                <w:color w:val="auto"/>
                <w:kern w:val="0"/>
                <w:sz w:val="18"/>
                <w:szCs w:val="18"/>
              </w:rPr>
              <w:t>28.78 (17.77, 46.62)</w:t>
            </w:r>
          </w:p>
        </w:tc>
        <w:tc>
          <w:tcPr>
            <w:tcW w:w="1130" w:type="dxa"/>
            <w:tcBorders>
              <w:top w:val="nil"/>
              <w:bottom w:val="single" w:color="auto" w:sz="8" w:space="0"/>
            </w:tcBorders>
          </w:tcPr>
          <w:p w14:paraId="4B164448">
            <w:pPr>
              <w:jc w:val="center"/>
              <w:rPr>
                <w:rFonts w:cs="Times New Roman"/>
                <w:color w:val="auto"/>
                <w:kern w:val="0"/>
                <w:sz w:val="18"/>
                <w:szCs w:val="18"/>
              </w:rPr>
            </w:pPr>
            <w:r>
              <w:rPr>
                <w:rFonts w:hint="eastAsia" w:cs="Times New Roman"/>
                <w:color w:val="auto"/>
                <w:kern w:val="0"/>
                <w:sz w:val="18"/>
                <w:szCs w:val="18"/>
              </w:rPr>
              <w:t>&lt;0.0001</w:t>
            </w:r>
          </w:p>
        </w:tc>
      </w:tr>
    </w:tbl>
    <w:p w14:paraId="1685197C">
      <w:pPr>
        <w:rPr>
          <w:rFonts w:cs="Times New Roman"/>
        </w:rPr>
      </w:pPr>
      <w:r>
        <w:rPr>
          <w:rFonts w:cs="Times New Roman"/>
        </w:rPr>
        <w:t>Data are</w:t>
      </w:r>
      <w:r>
        <w:rPr>
          <w:rFonts w:hint="eastAsia" w:cs="Times New Roman"/>
        </w:rPr>
        <w:t xml:space="preserve"> </w:t>
      </w:r>
      <w:r>
        <w:rPr>
          <w:rFonts w:cs="Times New Roman"/>
        </w:rPr>
        <w:t>expressed as the mean ± SD, or percentage. BMI, body mass index; PIR, poverty income ratio; BUN, blood urea nitrogen; Scr, serum creatinine; eGFR, estimated glomerular filtration rate; HbA1c, glycosylated hemoglobin type A1c; FBG, fasting blood glucose; TG, triglyceride; TyG, triglyceride-glucose index; FI, frailty index;</w:t>
      </w:r>
      <w:r>
        <w:rPr>
          <w:rFonts w:hint="eastAsia" w:cs="Times New Roman"/>
        </w:rPr>
        <w:t xml:space="preserve"> </w:t>
      </w:r>
      <w:r>
        <w:rPr>
          <w:rFonts w:cs="Times New Roman"/>
        </w:rPr>
        <w:t>CKM, cardiovascular-kidney-metabolic.</w:t>
      </w:r>
    </w:p>
    <w:p w14:paraId="0B2F56C8">
      <w:pPr>
        <w:rPr>
          <w:rFonts w:cs="Times New Roman"/>
        </w:rPr>
      </w:pPr>
    </w:p>
    <w:p w14:paraId="3220FAFE">
      <w:pPr>
        <w:pStyle w:val="4"/>
        <w:rPr>
          <w:rFonts w:ascii="Times New Roman" w:hAnsi="Times New Roman" w:cs="Times New Roman"/>
          <w:color w:val="auto"/>
          <w:sz w:val="24"/>
          <w:szCs w:val="24"/>
        </w:rPr>
      </w:pPr>
      <w:bookmarkStart w:id="14" w:name="_Toc218184814"/>
      <w:r>
        <w:rPr>
          <w:rFonts w:ascii="Times New Roman" w:hAnsi="Times New Roman" w:cs="Times New Roman"/>
          <w:b/>
          <w:bCs/>
          <w:color w:val="auto"/>
          <w:sz w:val="24"/>
          <w:szCs w:val="24"/>
        </w:rPr>
        <w:t>Table S4</w:t>
      </w:r>
      <w:r>
        <w:rPr>
          <w:rFonts w:ascii="Times New Roman" w:hAnsi="Times New Roman" w:cs="Times New Roman"/>
          <w:color w:val="auto"/>
          <w:sz w:val="24"/>
          <w:szCs w:val="24"/>
        </w:rPr>
        <w:t xml:space="preserve"> The unadjusted association between baseline variables and cardiovascular mortality (n = 15044)</w:t>
      </w:r>
      <w:bookmarkEnd w:id="14"/>
    </w:p>
    <w:tbl>
      <w:tblPr>
        <w:tblStyle w:val="23"/>
        <w:tblW w:w="829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7"/>
        <w:gridCol w:w="2268"/>
        <w:gridCol w:w="2126"/>
        <w:gridCol w:w="1356"/>
      </w:tblGrid>
      <w:tr w14:paraId="58C27C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Borders>
              <w:top w:val="single" w:color="auto" w:sz="12" w:space="0"/>
              <w:bottom w:val="single" w:color="auto" w:sz="4" w:space="0"/>
            </w:tcBorders>
          </w:tcPr>
          <w:p w14:paraId="3649AEED">
            <w:pPr>
              <w:rPr>
                <w:rFonts w:cs="Times New Roman"/>
                <w:color w:val="auto"/>
                <w:kern w:val="0"/>
                <w:sz w:val="18"/>
                <w:szCs w:val="18"/>
              </w:rPr>
            </w:pPr>
            <w:r>
              <w:rPr>
                <w:rFonts w:cs="Times New Roman"/>
                <w:color w:val="auto"/>
                <w:kern w:val="0"/>
                <w:sz w:val="18"/>
                <w:szCs w:val="18"/>
              </w:rPr>
              <w:t>Exposure</w:t>
            </w:r>
          </w:p>
        </w:tc>
        <w:tc>
          <w:tcPr>
            <w:tcW w:w="2268" w:type="dxa"/>
            <w:tcBorders>
              <w:top w:val="single" w:color="auto" w:sz="12" w:space="0"/>
              <w:bottom w:val="single" w:color="auto" w:sz="4" w:space="0"/>
            </w:tcBorders>
          </w:tcPr>
          <w:p w14:paraId="43C88CF8">
            <w:pPr>
              <w:jc w:val="center"/>
              <w:rPr>
                <w:rFonts w:cs="Times New Roman"/>
                <w:color w:val="auto"/>
                <w:kern w:val="0"/>
                <w:sz w:val="18"/>
                <w:szCs w:val="18"/>
              </w:rPr>
            </w:pPr>
            <w:r>
              <w:rPr>
                <w:rFonts w:cs="Times New Roman"/>
                <w:color w:val="auto"/>
                <w:kern w:val="0"/>
                <w:sz w:val="18"/>
                <w:szCs w:val="18"/>
              </w:rPr>
              <w:t>Statistics</w:t>
            </w:r>
          </w:p>
        </w:tc>
        <w:tc>
          <w:tcPr>
            <w:tcW w:w="2126" w:type="dxa"/>
            <w:tcBorders>
              <w:top w:val="single" w:color="auto" w:sz="12" w:space="0"/>
              <w:bottom w:val="single" w:color="auto" w:sz="4" w:space="0"/>
            </w:tcBorders>
          </w:tcPr>
          <w:p w14:paraId="7FD4DBE2">
            <w:pPr>
              <w:jc w:val="center"/>
              <w:rPr>
                <w:rFonts w:cs="Times New Roman"/>
                <w:color w:val="auto"/>
                <w:kern w:val="0"/>
                <w:sz w:val="18"/>
                <w:szCs w:val="18"/>
              </w:rPr>
            </w:pPr>
            <w:r>
              <w:rPr>
                <w:rFonts w:cs="Times New Roman"/>
                <w:color w:val="auto"/>
                <w:kern w:val="0"/>
                <w:sz w:val="18"/>
                <w:szCs w:val="18"/>
              </w:rPr>
              <w:t>Hazard ratio (95% CI)</w:t>
            </w:r>
          </w:p>
        </w:tc>
        <w:tc>
          <w:tcPr>
            <w:tcW w:w="1356" w:type="dxa"/>
            <w:tcBorders>
              <w:top w:val="single" w:color="auto" w:sz="12" w:space="0"/>
              <w:bottom w:val="single" w:color="auto" w:sz="4" w:space="0"/>
            </w:tcBorders>
          </w:tcPr>
          <w:p w14:paraId="24046C7B">
            <w:pPr>
              <w:jc w:val="center"/>
              <w:rPr>
                <w:rFonts w:cs="Times New Roman"/>
                <w:color w:val="auto"/>
                <w:kern w:val="0"/>
                <w:sz w:val="18"/>
                <w:szCs w:val="18"/>
              </w:rPr>
            </w:pPr>
            <w:r>
              <w:rPr>
                <w:rFonts w:cs="Times New Roman"/>
                <w:i/>
                <w:iCs/>
                <w:color w:val="auto"/>
                <w:kern w:val="0"/>
                <w:sz w:val="18"/>
                <w:szCs w:val="18"/>
              </w:rPr>
              <w:t>P</w:t>
            </w:r>
            <w:r>
              <w:rPr>
                <w:rFonts w:cs="Times New Roman"/>
                <w:color w:val="auto"/>
                <w:kern w:val="0"/>
                <w:sz w:val="18"/>
                <w:szCs w:val="18"/>
              </w:rPr>
              <w:t xml:space="preserve"> value</w:t>
            </w:r>
          </w:p>
        </w:tc>
      </w:tr>
      <w:tr w14:paraId="70B2D3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Borders>
              <w:top w:val="single" w:color="auto" w:sz="4" w:space="0"/>
              <w:bottom w:val="nil"/>
            </w:tcBorders>
          </w:tcPr>
          <w:p w14:paraId="382C6852">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GFI</w:t>
            </w:r>
          </w:p>
        </w:tc>
        <w:tc>
          <w:tcPr>
            <w:tcW w:w="2268" w:type="dxa"/>
            <w:tcBorders>
              <w:top w:val="single" w:color="auto" w:sz="4" w:space="0"/>
              <w:bottom w:val="nil"/>
            </w:tcBorders>
          </w:tcPr>
          <w:p w14:paraId="1AAADBE5">
            <w:pPr>
              <w:jc w:val="center"/>
              <w:rPr>
                <w:rFonts w:cs="Times New Roman"/>
                <w:color w:val="auto"/>
                <w:kern w:val="0"/>
                <w:sz w:val="18"/>
                <w:szCs w:val="18"/>
              </w:rPr>
            </w:pPr>
            <w:r>
              <w:rPr>
                <w:rFonts w:cs="Times New Roman"/>
                <w:color w:val="auto"/>
                <w:kern w:val="0"/>
                <w:sz w:val="18"/>
                <w:szCs w:val="18"/>
              </w:rPr>
              <w:t>1.34 ± 0.91</w:t>
            </w:r>
          </w:p>
        </w:tc>
        <w:tc>
          <w:tcPr>
            <w:tcW w:w="2126" w:type="dxa"/>
            <w:tcBorders>
              <w:top w:val="single" w:color="auto" w:sz="4" w:space="0"/>
              <w:bottom w:val="nil"/>
            </w:tcBorders>
          </w:tcPr>
          <w:p w14:paraId="27C2AC52">
            <w:pPr>
              <w:jc w:val="center"/>
              <w:rPr>
                <w:rFonts w:cs="Times New Roman"/>
                <w:color w:val="auto"/>
                <w:kern w:val="0"/>
                <w:sz w:val="18"/>
                <w:szCs w:val="18"/>
              </w:rPr>
            </w:pPr>
            <w:r>
              <w:rPr>
                <w:rFonts w:cs="Times New Roman"/>
                <w:color w:val="auto"/>
                <w:kern w:val="0"/>
                <w:sz w:val="18"/>
                <w:szCs w:val="18"/>
              </w:rPr>
              <w:t>2.06 (1.93, 2.20)</w:t>
            </w:r>
          </w:p>
        </w:tc>
        <w:tc>
          <w:tcPr>
            <w:tcW w:w="1356" w:type="dxa"/>
            <w:tcBorders>
              <w:top w:val="single" w:color="auto" w:sz="4" w:space="0"/>
              <w:bottom w:val="nil"/>
            </w:tcBorders>
          </w:tcPr>
          <w:p w14:paraId="72598E3E">
            <w:pPr>
              <w:jc w:val="center"/>
              <w:rPr>
                <w:rFonts w:cs="Times New Roman"/>
                <w:color w:val="auto"/>
                <w:kern w:val="0"/>
                <w:sz w:val="18"/>
                <w:szCs w:val="18"/>
              </w:rPr>
            </w:pPr>
            <w:r>
              <w:rPr>
                <w:rFonts w:cs="Times New Roman"/>
                <w:color w:val="auto"/>
                <w:kern w:val="0"/>
                <w:sz w:val="18"/>
                <w:szCs w:val="18"/>
              </w:rPr>
              <w:t>&lt;0.0001</w:t>
            </w:r>
          </w:p>
        </w:tc>
      </w:tr>
      <w:tr w14:paraId="68AB4A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Borders>
              <w:top w:val="nil"/>
            </w:tcBorders>
          </w:tcPr>
          <w:p w14:paraId="175BC8CE">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GFI tertile</w:t>
            </w:r>
          </w:p>
        </w:tc>
        <w:tc>
          <w:tcPr>
            <w:tcW w:w="2268" w:type="dxa"/>
            <w:tcBorders>
              <w:top w:val="nil"/>
            </w:tcBorders>
          </w:tcPr>
          <w:p w14:paraId="37333285">
            <w:pPr>
              <w:jc w:val="center"/>
              <w:rPr>
                <w:rFonts w:cs="Times New Roman"/>
                <w:color w:val="auto"/>
                <w:kern w:val="0"/>
                <w:sz w:val="18"/>
                <w:szCs w:val="18"/>
              </w:rPr>
            </w:pPr>
          </w:p>
        </w:tc>
        <w:tc>
          <w:tcPr>
            <w:tcW w:w="2126" w:type="dxa"/>
            <w:tcBorders>
              <w:top w:val="nil"/>
            </w:tcBorders>
          </w:tcPr>
          <w:p w14:paraId="4225EE2F">
            <w:pPr>
              <w:jc w:val="center"/>
              <w:rPr>
                <w:rFonts w:cs="Times New Roman"/>
                <w:color w:val="auto"/>
                <w:kern w:val="0"/>
                <w:sz w:val="18"/>
                <w:szCs w:val="18"/>
              </w:rPr>
            </w:pPr>
          </w:p>
        </w:tc>
        <w:tc>
          <w:tcPr>
            <w:tcW w:w="1356" w:type="dxa"/>
            <w:tcBorders>
              <w:top w:val="nil"/>
            </w:tcBorders>
          </w:tcPr>
          <w:p w14:paraId="442F610F">
            <w:pPr>
              <w:jc w:val="center"/>
              <w:rPr>
                <w:rFonts w:cs="Times New Roman"/>
                <w:color w:val="auto"/>
                <w:kern w:val="0"/>
                <w:sz w:val="18"/>
                <w:szCs w:val="18"/>
              </w:rPr>
            </w:pPr>
          </w:p>
        </w:tc>
      </w:tr>
      <w:tr w14:paraId="6E8895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0E459BA3">
            <w:pPr>
              <w:rPr>
                <w:rFonts w:cs="Times New Roman"/>
                <w:color w:val="auto"/>
                <w:kern w:val="0"/>
                <w:sz w:val="18"/>
                <w:szCs w:val="18"/>
              </w:rPr>
            </w:pPr>
            <w:r>
              <w:rPr>
                <w:rFonts w:cs="Times New Roman"/>
                <w:color w:val="auto"/>
                <w:kern w:val="0"/>
                <w:sz w:val="18"/>
                <w:szCs w:val="18"/>
              </w:rPr>
              <w:t>   Low</w:t>
            </w:r>
          </w:p>
        </w:tc>
        <w:tc>
          <w:tcPr>
            <w:tcW w:w="2268" w:type="dxa"/>
          </w:tcPr>
          <w:p w14:paraId="1F7082CD">
            <w:pPr>
              <w:jc w:val="center"/>
              <w:rPr>
                <w:rFonts w:cs="Times New Roman"/>
                <w:color w:val="auto"/>
                <w:kern w:val="0"/>
                <w:sz w:val="18"/>
                <w:szCs w:val="18"/>
              </w:rPr>
            </w:pPr>
            <w:r>
              <w:rPr>
                <w:rFonts w:cs="Times New Roman"/>
                <w:color w:val="auto"/>
                <w:kern w:val="0"/>
                <w:sz w:val="18"/>
                <w:szCs w:val="18"/>
              </w:rPr>
              <w:t>5015 (33.34%)</w:t>
            </w:r>
          </w:p>
        </w:tc>
        <w:tc>
          <w:tcPr>
            <w:tcW w:w="2126" w:type="dxa"/>
          </w:tcPr>
          <w:p w14:paraId="3A56A9FF">
            <w:pPr>
              <w:jc w:val="center"/>
              <w:rPr>
                <w:rFonts w:cs="Times New Roman"/>
                <w:color w:val="auto"/>
                <w:kern w:val="0"/>
                <w:sz w:val="18"/>
                <w:szCs w:val="18"/>
              </w:rPr>
            </w:pPr>
            <w:r>
              <w:rPr>
                <w:rFonts w:cs="Times New Roman"/>
                <w:color w:val="auto"/>
                <w:kern w:val="0"/>
                <w:sz w:val="18"/>
                <w:szCs w:val="18"/>
              </w:rPr>
              <w:t>1.0</w:t>
            </w:r>
          </w:p>
        </w:tc>
        <w:tc>
          <w:tcPr>
            <w:tcW w:w="1356" w:type="dxa"/>
          </w:tcPr>
          <w:p w14:paraId="29C465F8">
            <w:pPr>
              <w:jc w:val="center"/>
              <w:rPr>
                <w:rFonts w:cs="Times New Roman"/>
                <w:color w:val="auto"/>
                <w:kern w:val="0"/>
                <w:sz w:val="18"/>
                <w:szCs w:val="18"/>
              </w:rPr>
            </w:pPr>
          </w:p>
        </w:tc>
      </w:tr>
      <w:tr w14:paraId="20A8E1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8E63C4D">
            <w:pPr>
              <w:rPr>
                <w:rFonts w:cs="Times New Roman"/>
                <w:color w:val="auto"/>
                <w:kern w:val="0"/>
                <w:sz w:val="18"/>
                <w:szCs w:val="18"/>
              </w:rPr>
            </w:pPr>
            <w:r>
              <w:rPr>
                <w:rFonts w:cs="Times New Roman"/>
                <w:color w:val="auto"/>
                <w:kern w:val="0"/>
                <w:sz w:val="18"/>
                <w:szCs w:val="18"/>
              </w:rPr>
              <w:t>   Middle</w:t>
            </w:r>
          </w:p>
        </w:tc>
        <w:tc>
          <w:tcPr>
            <w:tcW w:w="2268" w:type="dxa"/>
          </w:tcPr>
          <w:p w14:paraId="03A3FD2A">
            <w:pPr>
              <w:jc w:val="center"/>
              <w:rPr>
                <w:rFonts w:cs="Times New Roman"/>
                <w:color w:val="auto"/>
                <w:kern w:val="0"/>
                <w:sz w:val="18"/>
                <w:szCs w:val="18"/>
              </w:rPr>
            </w:pPr>
            <w:r>
              <w:rPr>
                <w:rFonts w:cs="Times New Roman"/>
                <w:color w:val="auto"/>
                <w:kern w:val="0"/>
                <w:sz w:val="18"/>
                <w:szCs w:val="18"/>
              </w:rPr>
              <w:t>5014 (33.33%)</w:t>
            </w:r>
          </w:p>
        </w:tc>
        <w:tc>
          <w:tcPr>
            <w:tcW w:w="2126" w:type="dxa"/>
          </w:tcPr>
          <w:p w14:paraId="4533E7A9">
            <w:pPr>
              <w:jc w:val="center"/>
              <w:rPr>
                <w:rFonts w:cs="Times New Roman"/>
                <w:color w:val="auto"/>
                <w:kern w:val="0"/>
                <w:sz w:val="18"/>
                <w:szCs w:val="18"/>
              </w:rPr>
            </w:pPr>
            <w:r>
              <w:rPr>
                <w:rFonts w:cs="Times New Roman"/>
                <w:color w:val="auto"/>
                <w:kern w:val="0"/>
                <w:sz w:val="18"/>
                <w:szCs w:val="18"/>
              </w:rPr>
              <w:t>2.68 (1.89, 3.79)</w:t>
            </w:r>
          </w:p>
        </w:tc>
        <w:tc>
          <w:tcPr>
            <w:tcW w:w="1356" w:type="dxa"/>
          </w:tcPr>
          <w:p w14:paraId="734B0918">
            <w:pPr>
              <w:jc w:val="center"/>
              <w:rPr>
                <w:rFonts w:cs="Times New Roman"/>
                <w:color w:val="auto"/>
                <w:kern w:val="0"/>
                <w:sz w:val="18"/>
                <w:szCs w:val="18"/>
              </w:rPr>
            </w:pPr>
            <w:r>
              <w:rPr>
                <w:rFonts w:cs="Times New Roman"/>
                <w:color w:val="auto"/>
                <w:kern w:val="0"/>
                <w:sz w:val="18"/>
                <w:szCs w:val="18"/>
              </w:rPr>
              <w:t>&lt;0.0001</w:t>
            </w:r>
          </w:p>
        </w:tc>
      </w:tr>
      <w:tr w14:paraId="3AA866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09E35213">
            <w:pPr>
              <w:rPr>
                <w:rFonts w:cs="Times New Roman"/>
                <w:color w:val="auto"/>
                <w:kern w:val="0"/>
                <w:sz w:val="18"/>
                <w:szCs w:val="18"/>
              </w:rPr>
            </w:pPr>
            <w:r>
              <w:rPr>
                <w:rFonts w:cs="Times New Roman"/>
                <w:color w:val="auto"/>
                <w:kern w:val="0"/>
                <w:sz w:val="18"/>
                <w:szCs w:val="18"/>
              </w:rPr>
              <w:t>   High</w:t>
            </w:r>
          </w:p>
        </w:tc>
        <w:tc>
          <w:tcPr>
            <w:tcW w:w="2268" w:type="dxa"/>
          </w:tcPr>
          <w:p w14:paraId="70D04BCF">
            <w:pPr>
              <w:jc w:val="center"/>
              <w:rPr>
                <w:rFonts w:cs="Times New Roman"/>
                <w:color w:val="auto"/>
                <w:kern w:val="0"/>
                <w:sz w:val="18"/>
                <w:szCs w:val="18"/>
              </w:rPr>
            </w:pPr>
            <w:r>
              <w:rPr>
                <w:rFonts w:cs="Times New Roman"/>
                <w:color w:val="auto"/>
                <w:kern w:val="0"/>
                <w:sz w:val="18"/>
                <w:szCs w:val="18"/>
              </w:rPr>
              <w:t>5015 (33.34%)</w:t>
            </w:r>
          </w:p>
        </w:tc>
        <w:tc>
          <w:tcPr>
            <w:tcW w:w="2126" w:type="dxa"/>
          </w:tcPr>
          <w:p w14:paraId="01F94B26">
            <w:pPr>
              <w:jc w:val="center"/>
              <w:rPr>
                <w:rFonts w:cs="Times New Roman"/>
                <w:color w:val="auto"/>
                <w:kern w:val="0"/>
                <w:sz w:val="18"/>
                <w:szCs w:val="18"/>
              </w:rPr>
            </w:pPr>
            <w:r>
              <w:rPr>
                <w:rFonts w:cs="Times New Roman"/>
                <w:color w:val="auto"/>
                <w:kern w:val="0"/>
                <w:sz w:val="18"/>
                <w:szCs w:val="18"/>
              </w:rPr>
              <w:t>9.25 (6.76, 12.65)</w:t>
            </w:r>
          </w:p>
        </w:tc>
        <w:tc>
          <w:tcPr>
            <w:tcW w:w="1356" w:type="dxa"/>
          </w:tcPr>
          <w:p w14:paraId="53C4A986">
            <w:pPr>
              <w:jc w:val="center"/>
              <w:rPr>
                <w:rFonts w:cs="Times New Roman"/>
                <w:color w:val="auto"/>
                <w:kern w:val="0"/>
                <w:sz w:val="18"/>
                <w:szCs w:val="18"/>
              </w:rPr>
            </w:pPr>
            <w:r>
              <w:rPr>
                <w:rFonts w:cs="Times New Roman"/>
                <w:color w:val="auto"/>
                <w:kern w:val="0"/>
                <w:sz w:val="18"/>
                <w:szCs w:val="18"/>
              </w:rPr>
              <w:t>&lt;0.0001</w:t>
            </w:r>
          </w:p>
        </w:tc>
      </w:tr>
      <w:tr w14:paraId="737864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97BBCC1">
            <w:pPr>
              <w:rPr>
                <w:rFonts w:cs="Times New Roman"/>
                <w:color w:val="auto"/>
                <w:kern w:val="0"/>
                <w:sz w:val="18"/>
                <w:szCs w:val="18"/>
              </w:rPr>
            </w:pPr>
            <w:r>
              <w:rPr>
                <w:rFonts w:cs="Times New Roman"/>
                <w:color w:val="auto"/>
                <w:kern w:val="0"/>
                <w:sz w:val="18"/>
                <w:szCs w:val="18"/>
              </w:rPr>
              <w:t>A</w:t>
            </w:r>
            <w:r>
              <w:rPr>
                <w:rFonts w:hint="eastAsia" w:cs="Times New Roman"/>
                <w:color w:val="auto"/>
                <w:kern w:val="0"/>
                <w:sz w:val="18"/>
                <w:szCs w:val="18"/>
              </w:rPr>
              <w:t>ge, years</w:t>
            </w:r>
          </w:p>
        </w:tc>
        <w:tc>
          <w:tcPr>
            <w:tcW w:w="2268" w:type="dxa"/>
          </w:tcPr>
          <w:p w14:paraId="4B05177F">
            <w:pPr>
              <w:jc w:val="center"/>
              <w:rPr>
                <w:rFonts w:cs="Times New Roman"/>
                <w:color w:val="auto"/>
                <w:kern w:val="0"/>
                <w:sz w:val="18"/>
                <w:szCs w:val="18"/>
              </w:rPr>
            </w:pPr>
            <w:r>
              <w:rPr>
                <w:rFonts w:cs="Times New Roman"/>
                <w:color w:val="auto"/>
                <w:kern w:val="0"/>
                <w:sz w:val="18"/>
                <w:szCs w:val="18"/>
              </w:rPr>
              <w:t>50.62 ± 17.67</w:t>
            </w:r>
          </w:p>
        </w:tc>
        <w:tc>
          <w:tcPr>
            <w:tcW w:w="2126" w:type="dxa"/>
          </w:tcPr>
          <w:p w14:paraId="1D6345BF">
            <w:pPr>
              <w:jc w:val="center"/>
              <w:rPr>
                <w:rFonts w:cs="Times New Roman"/>
                <w:color w:val="auto"/>
                <w:kern w:val="0"/>
                <w:sz w:val="18"/>
                <w:szCs w:val="18"/>
              </w:rPr>
            </w:pPr>
            <w:r>
              <w:rPr>
                <w:rFonts w:cs="Times New Roman"/>
                <w:color w:val="auto"/>
                <w:kern w:val="0"/>
                <w:sz w:val="18"/>
                <w:szCs w:val="18"/>
              </w:rPr>
              <w:t>1.12 (1.11, 1.12)</w:t>
            </w:r>
          </w:p>
        </w:tc>
        <w:tc>
          <w:tcPr>
            <w:tcW w:w="1356" w:type="dxa"/>
          </w:tcPr>
          <w:p w14:paraId="0477655D">
            <w:pPr>
              <w:jc w:val="center"/>
              <w:rPr>
                <w:rFonts w:cs="Times New Roman"/>
                <w:color w:val="auto"/>
                <w:kern w:val="0"/>
                <w:sz w:val="18"/>
                <w:szCs w:val="18"/>
              </w:rPr>
            </w:pPr>
            <w:r>
              <w:rPr>
                <w:rFonts w:cs="Times New Roman"/>
                <w:color w:val="auto"/>
                <w:kern w:val="0"/>
                <w:sz w:val="18"/>
                <w:szCs w:val="18"/>
              </w:rPr>
              <w:t>&lt;0.0001</w:t>
            </w:r>
          </w:p>
        </w:tc>
      </w:tr>
      <w:tr w14:paraId="29A216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CAF6434">
            <w:pPr>
              <w:rPr>
                <w:rFonts w:cs="Times New Roman"/>
                <w:color w:val="auto"/>
                <w:kern w:val="0"/>
                <w:sz w:val="18"/>
                <w:szCs w:val="18"/>
              </w:rPr>
            </w:pPr>
            <w:r>
              <w:rPr>
                <w:rFonts w:cs="Times New Roman"/>
                <w:color w:val="auto"/>
                <w:kern w:val="0"/>
                <w:sz w:val="18"/>
                <w:szCs w:val="18"/>
              </w:rPr>
              <w:t>S</w:t>
            </w:r>
            <w:r>
              <w:rPr>
                <w:rFonts w:hint="eastAsia" w:cs="Times New Roman"/>
                <w:color w:val="auto"/>
                <w:kern w:val="0"/>
                <w:sz w:val="18"/>
                <w:szCs w:val="18"/>
              </w:rPr>
              <w:t>ex</w:t>
            </w:r>
          </w:p>
        </w:tc>
        <w:tc>
          <w:tcPr>
            <w:tcW w:w="2268" w:type="dxa"/>
          </w:tcPr>
          <w:p w14:paraId="1FA41B0D">
            <w:pPr>
              <w:jc w:val="center"/>
              <w:rPr>
                <w:rFonts w:cs="Times New Roman"/>
                <w:color w:val="auto"/>
                <w:kern w:val="0"/>
                <w:sz w:val="18"/>
                <w:szCs w:val="18"/>
              </w:rPr>
            </w:pPr>
          </w:p>
        </w:tc>
        <w:tc>
          <w:tcPr>
            <w:tcW w:w="2126" w:type="dxa"/>
          </w:tcPr>
          <w:p w14:paraId="75AE7472">
            <w:pPr>
              <w:jc w:val="center"/>
              <w:rPr>
                <w:rFonts w:cs="Times New Roman"/>
                <w:color w:val="auto"/>
                <w:kern w:val="0"/>
                <w:sz w:val="18"/>
                <w:szCs w:val="18"/>
              </w:rPr>
            </w:pPr>
          </w:p>
        </w:tc>
        <w:tc>
          <w:tcPr>
            <w:tcW w:w="1356" w:type="dxa"/>
          </w:tcPr>
          <w:p w14:paraId="40B6387E">
            <w:pPr>
              <w:jc w:val="center"/>
              <w:rPr>
                <w:rFonts w:cs="Times New Roman"/>
                <w:color w:val="auto"/>
                <w:kern w:val="0"/>
                <w:sz w:val="18"/>
                <w:szCs w:val="18"/>
              </w:rPr>
            </w:pPr>
          </w:p>
        </w:tc>
      </w:tr>
      <w:tr w14:paraId="2D4DC6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A333B91">
            <w:pPr>
              <w:ind w:firstLine="180" w:firstLineChars="100"/>
              <w:rPr>
                <w:rFonts w:cs="Times New Roman"/>
                <w:color w:val="auto"/>
                <w:kern w:val="0"/>
                <w:sz w:val="18"/>
                <w:szCs w:val="18"/>
              </w:rPr>
            </w:pPr>
            <w:r>
              <w:rPr>
                <w:rFonts w:hint="eastAsia" w:cs="Times New Roman"/>
                <w:color w:val="auto"/>
                <w:kern w:val="0"/>
                <w:sz w:val="18"/>
                <w:szCs w:val="18"/>
              </w:rPr>
              <w:t>Male</w:t>
            </w:r>
          </w:p>
        </w:tc>
        <w:tc>
          <w:tcPr>
            <w:tcW w:w="2268" w:type="dxa"/>
          </w:tcPr>
          <w:p w14:paraId="2A8118A5">
            <w:pPr>
              <w:jc w:val="center"/>
              <w:rPr>
                <w:rFonts w:cs="Times New Roman"/>
                <w:color w:val="auto"/>
                <w:kern w:val="0"/>
                <w:sz w:val="18"/>
                <w:szCs w:val="18"/>
              </w:rPr>
            </w:pPr>
            <w:r>
              <w:rPr>
                <w:rFonts w:cs="Times New Roman"/>
                <w:color w:val="auto"/>
                <w:kern w:val="0"/>
                <w:sz w:val="18"/>
                <w:szCs w:val="18"/>
              </w:rPr>
              <w:t>7388 (49.11%)</w:t>
            </w:r>
          </w:p>
        </w:tc>
        <w:tc>
          <w:tcPr>
            <w:tcW w:w="2126" w:type="dxa"/>
          </w:tcPr>
          <w:p w14:paraId="359B4C28">
            <w:pPr>
              <w:jc w:val="center"/>
              <w:rPr>
                <w:rFonts w:cs="Times New Roman"/>
                <w:color w:val="auto"/>
                <w:kern w:val="0"/>
                <w:sz w:val="18"/>
                <w:szCs w:val="18"/>
              </w:rPr>
            </w:pPr>
            <w:r>
              <w:rPr>
                <w:rFonts w:cs="Times New Roman"/>
                <w:color w:val="auto"/>
                <w:kern w:val="0"/>
                <w:sz w:val="18"/>
                <w:szCs w:val="18"/>
              </w:rPr>
              <w:t>1.0</w:t>
            </w:r>
          </w:p>
        </w:tc>
        <w:tc>
          <w:tcPr>
            <w:tcW w:w="1356" w:type="dxa"/>
          </w:tcPr>
          <w:p w14:paraId="21C568AF">
            <w:pPr>
              <w:jc w:val="center"/>
              <w:rPr>
                <w:rFonts w:cs="Times New Roman"/>
                <w:color w:val="auto"/>
                <w:kern w:val="0"/>
                <w:sz w:val="18"/>
                <w:szCs w:val="18"/>
              </w:rPr>
            </w:pPr>
          </w:p>
        </w:tc>
      </w:tr>
      <w:tr w14:paraId="0F5E7D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1BBF8786">
            <w:pPr>
              <w:ind w:firstLine="180" w:firstLineChars="100"/>
              <w:rPr>
                <w:rFonts w:cs="Times New Roman"/>
                <w:color w:val="auto"/>
                <w:kern w:val="0"/>
                <w:sz w:val="18"/>
                <w:szCs w:val="18"/>
              </w:rPr>
            </w:pPr>
            <w:r>
              <w:rPr>
                <w:rFonts w:hint="eastAsia" w:cs="Times New Roman"/>
                <w:color w:val="auto"/>
                <w:kern w:val="0"/>
                <w:sz w:val="18"/>
                <w:szCs w:val="18"/>
              </w:rPr>
              <w:t>Female</w:t>
            </w:r>
          </w:p>
        </w:tc>
        <w:tc>
          <w:tcPr>
            <w:tcW w:w="2268" w:type="dxa"/>
          </w:tcPr>
          <w:p w14:paraId="1DBED9D4">
            <w:pPr>
              <w:jc w:val="center"/>
              <w:rPr>
                <w:rFonts w:cs="Times New Roman"/>
                <w:color w:val="auto"/>
                <w:kern w:val="0"/>
                <w:sz w:val="18"/>
                <w:szCs w:val="18"/>
              </w:rPr>
            </w:pPr>
            <w:r>
              <w:rPr>
                <w:rFonts w:cs="Times New Roman"/>
                <w:color w:val="auto"/>
                <w:kern w:val="0"/>
                <w:sz w:val="18"/>
                <w:szCs w:val="18"/>
              </w:rPr>
              <w:t>7656 (50.89%)</w:t>
            </w:r>
          </w:p>
        </w:tc>
        <w:tc>
          <w:tcPr>
            <w:tcW w:w="2126" w:type="dxa"/>
          </w:tcPr>
          <w:p w14:paraId="3DB74BB2">
            <w:pPr>
              <w:jc w:val="center"/>
              <w:rPr>
                <w:rFonts w:cs="Times New Roman"/>
                <w:color w:val="auto"/>
                <w:kern w:val="0"/>
                <w:sz w:val="18"/>
                <w:szCs w:val="18"/>
              </w:rPr>
            </w:pPr>
            <w:r>
              <w:rPr>
                <w:rFonts w:cs="Times New Roman"/>
                <w:color w:val="auto"/>
                <w:kern w:val="0"/>
                <w:sz w:val="18"/>
                <w:szCs w:val="18"/>
              </w:rPr>
              <w:t>0.63 (0.53, 0.75)</w:t>
            </w:r>
          </w:p>
        </w:tc>
        <w:tc>
          <w:tcPr>
            <w:tcW w:w="1356" w:type="dxa"/>
          </w:tcPr>
          <w:p w14:paraId="3BDFAF8D">
            <w:pPr>
              <w:jc w:val="center"/>
              <w:rPr>
                <w:rFonts w:cs="Times New Roman"/>
                <w:color w:val="auto"/>
                <w:kern w:val="0"/>
                <w:sz w:val="18"/>
                <w:szCs w:val="18"/>
              </w:rPr>
            </w:pPr>
            <w:r>
              <w:rPr>
                <w:rFonts w:cs="Times New Roman"/>
                <w:color w:val="auto"/>
                <w:kern w:val="0"/>
                <w:sz w:val="18"/>
                <w:szCs w:val="18"/>
              </w:rPr>
              <w:t>&lt;0.0001</w:t>
            </w:r>
          </w:p>
        </w:tc>
      </w:tr>
      <w:tr w14:paraId="5E6B34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36FEAA32">
            <w:pPr>
              <w:rPr>
                <w:rFonts w:cs="Times New Roman"/>
                <w:color w:val="auto"/>
                <w:kern w:val="0"/>
                <w:sz w:val="18"/>
                <w:szCs w:val="18"/>
              </w:rPr>
            </w:pPr>
            <w:r>
              <w:rPr>
                <w:rFonts w:cs="Times New Roman"/>
                <w:color w:val="auto"/>
                <w:kern w:val="0"/>
                <w:sz w:val="18"/>
                <w:szCs w:val="18"/>
              </w:rPr>
              <w:t>R</w:t>
            </w:r>
            <w:r>
              <w:rPr>
                <w:rFonts w:hint="eastAsia" w:cs="Times New Roman"/>
                <w:color w:val="auto"/>
                <w:kern w:val="0"/>
                <w:sz w:val="18"/>
                <w:szCs w:val="18"/>
              </w:rPr>
              <w:t>ace, (%)</w:t>
            </w:r>
          </w:p>
        </w:tc>
        <w:tc>
          <w:tcPr>
            <w:tcW w:w="2268" w:type="dxa"/>
          </w:tcPr>
          <w:p w14:paraId="62D413B5">
            <w:pPr>
              <w:jc w:val="center"/>
              <w:rPr>
                <w:rFonts w:cs="Times New Roman"/>
                <w:color w:val="auto"/>
                <w:kern w:val="0"/>
                <w:sz w:val="18"/>
                <w:szCs w:val="18"/>
              </w:rPr>
            </w:pPr>
          </w:p>
        </w:tc>
        <w:tc>
          <w:tcPr>
            <w:tcW w:w="2126" w:type="dxa"/>
          </w:tcPr>
          <w:p w14:paraId="7D04F4E5">
            <w:pPr>
              <w:jc w:val="center"/>
              <w:rPr>
                <w:rFonts w:cs="Times New Roman"/>
                <w:color w:val="auto"/>
                <w:kern w:val="0"/>
                <w:sz w:val="18"/>
                <w:szCs w:val="18"/>
              </w:rPr>
            </w:pPr>
          </w:p>
        </w:tc>
        <w:tc>
          <w:tcPr>
            <w:tcW w:w="1356" w:type="dxa"/>
          </w:tcPr>
          <w:p w14:paraId="4233F5D8">
            <w:pPr>
              <w:jc w:val="center"/>
              <w:rPr>
                <w:rFonts w:cs="Times New Roman"/>
                <w:color w:val="auto"/>
                <w:kern w:val="0"/>
                <w:sz w:val="18"/>
                <w:szCs w:val="18"/>
              </w:rPr>
            </w:pPr>
          </w:p>
        </w:tc>
      </w:tr>
      <w:tr w14:paraId="7EA3D2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1D02563">
            <w:pPr>
              <w:ind w:firstLine="180" w:firstLineChars="100"/>
              <w:rPr>
                <w:rFonts w:cs="Times New Roman"/>
                <w:color w:val="auto"/>
                <w:kern w:val="0"/>
                <w:sz w:val="18"/>
                <w:szCs w:val="18"/>
              </w:rPr>
            </w:pPr>
            <w:r>
              <w:rPr>
                <w:rFonts w:cs="Times New Roman"/>
                <w:color w:val="auto"/>
                <w:kern w:val="0"/>
                <w:sz w:val="18"/>
                <w:szCs w:val="18"/>
              </w:rPr>
              <w:t>Mexican American</w:t>
            </w:r>
          </w:p>
        </w:tc>
        <w:tc>
          <w:tcPr>
            <w:tcW w:w="2268" w:type="dxa"/>
          </w:tcPr>
          <w:p w14:paraId="393739AE">
            <w:pPr>
              <w:jc w:val="center"/>
              <w:rPr>
                <w:rFonts w:cs="Times New Roman"/>
                <w:color w:val="auto"/>
                <w:kern w:val="0"/>
                <w:sz w:val="18"/>
                <w:szCs w:val="18"/>
              </w:rPr>
            </w:pPr>
            <w:r>
              <w:rPr>
                <w:rFonts w:cs="Times New Roman"/>
                <w:color w:val="auto"/>
                <w:kern w:val="0"/>
                <w:sz w:val="18"/>
                <w:szCs w:val="18"/>
              </w:rPr>
              <w:t>2370 (15.75%)</w:t>
            </w:r>
          </w:p>
        </w:tc>
        <w:tc>
          <w:tcPr>
            <w:tcW w:w="2126" w:type="dxa"/>
          </w:tcPr>
          <w:p w14:paraId="16ACA593">
            <w:pPr>
              <w:jc w:val="center"/>
              <w:rPr>
                <w:rFonts w:cs="Times New Roman"/>
                <w:color w:val="auto"/>
                <w:kern w:val="0"/>
                <w:sz w:val="18"/>
                <w:szCs w:val="18"/>
              </w:rPr>
            </w:pPr>
            <w:r>
              <w:rPr>
                <w:rFonts w:cs="Times New Roman"/>
                <w:color w:val="auto"/>
                <w:kern w:val="0"/>
                <w:sz w:val="18"/>
                <w:szCs w:val="18"/>
              </w:rPr>
              <w:t>1.0</w:t>
            </w:r>
          </w:p>
        </w:tc>
        <w:tc>
          <w:tcPr>
            <w:tcW w:w="1356" w:type="dxa"/>
          </w:tcPr>
          <w:p w14:paraId="7858B850">
            <w:pPr>
              <w:jc w:val="center"/>
              <w:rPr>
                <w:rFonts w:cs="Times New Roman"/>
                <w:color w:val="auto"/>
                <w:kern w:val="0"/>
                <w:sz w:val="18"/>
                <w:szCs w:val="18"/>
              </w:rPr>
            </w:pPr>
          </w:p>
        </w:tc>
      </w:tr>
      <w:tr w14:paraId="510EF4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DE04762">
            <w:pPr>
              <w:ind w:firstLine="180" w:firstLineChars="100"/>
              <w:rPr>
                <w:rFonts w:cs="Times New Roman"/>
                <w:color w:val="auto"/>
                <w:kern w:val="0"/>
                <w:sz w:val="18"/>
                <w:szCs w:val="18"/>
              </w:rPr>
            </w:pPr>
            <w:r>
              <w:rPr>
                <w:rFonts w:cs="Times New Roman"/>
                <w:color w:val="auto"/>
                <w:kern w:val="0"/>
                <w:sz w:val="18"/>
                <w:szCs w:val="18"/>
              </w:rPr>
              <w:t>Non-Hispanic White</w:t>
            </w:r>
          </w:p>
        </w:tc>
        <w:tc>
          <w:tcPr>
            <w:tcW w:w="2268" w:type="dxa"/>
          </w:tcPr>
          <w:p w14:paraId="501F60BA">
            <w:pPr>
              <w:jc w:val="center"/>
              <w:rPr>
                <w:rFonts w:cs="Times New Roman"/>
                <w:color w:val="auto"/>
                <w:kern w:val="0"/>
                <w:sz w:val="18"/>
                <w:szCs w:val="18"/>
              </w:rPr>
            </w:pPr>
            <w:r>
              <w:rPr>
                <w:rFonts w:cs="Times New Roman"/>
                <w:color w:val="auto"/>
                <w:kern w:val="0"/>
                <w:sz w:val="18"/>
                <w:szCs w:val="18"/>
              </w:rPr>
              <w:t>1524 (10.13%)</w:t>
            </w:r>
          </w:p>
        </w:tc>
        <w:tc>
          <w:tcPr>
            <w:tcW w:w="2126" w:type="dxa"/>
          </w:tcPr>
          <w:p w14:paraId="5ECEAF96">
            <w:pPr>
              <w:jc w:val="center"/>
              <w:rPr>
                <w:rFonts w:cs="Times New Roman"/>
                <w:color w:val="auto"/>
                <w:kern w:val="0"/>
                <w:sz w:val="18"/>
                <w:szCs w:val="18"/>
              </w:rPr>
            </w:pPr>
            <w:r>
              <w:rPr>
                <w:rFonts w:cs="Times New Roman"/>
                <w:color w:val="auto"/>
                <w:kern w:val="0"/>
                <w:sz w:val="18"/>
                <w:szCs w:val="18"/>
              </w:rPr>
              <w:t>1.17 (0.71, 1.91)</w:t>
            </w:r>
          </w:p>
        </w:tc>
        <w:tc>
          <w:tcPr>
            <w:tcW w:w="1356" w:type="dxa"/>
          </w:tcPr>
          <w:p w14:paraId="3A32FC89">
            <w:pPr>
              <w:jc w:val="center"/>
              <w:rPr>
                <w:rFonts w:cs="Times New Roman"/>
                <w:color w:val="auto"/>
                <w:kern w:val="0"/>
                <w:sz w:val="18"/>
                <w:szCs w:val="18"/>
              </w:rPr>
            </w:pPr>
            <w:r>
              <w:rPr>
                <w:rFonts w:cs="Times New Roman"/>
                <w:color w:val="auto"/>
                <w:kern w:val="0"/>
                <w:sz w:val="18"/>
                <w:szCs w:val="18"/>
              </w:rPr>
              <w:t>0.5403</w:t>
            </w:r>
          </w:p>
        </w:tc>
      </w:tr>
      <w:tr w14:paraId="31DA1B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5D7FEAB">
            <w:pPr>
              <w:ind w:firstLine="180" w:firstLineChars="100"/>
              <w:rPr>
                <w:rFonts w:cs="Times New Roman"/>
                <w:color w:val="auto"/>
                <w:kern w:val="0"/>
                <w:sz w:val="18"/>
                <w:szCs w:val="18"/>
              </w:rPr>
            </w:pPr>
            <w:r>
              <w:rPr>
                <w:rFonts w:cs="Times New Roman"/>
                <w:color w:val="auto"/>
                <w:kern w:val="0"/>
                <w:sz w:val="18"/>
                <w:szCs w:val="18"/>
              </w:rPr>
              <w:t>Non-Hispanic Black</w:t>
            </w:r>
          </w:p>
        </w:tc>
        <w:tc>
          <w:tcPr>
            <w:tcW w:w="2268" w:type="dxa"/>
          </w:tcPr>
          <w:p w14:paraId="0A51D1A6">
            <w:pPr>
              <w:jc w:val="center"/>
              <w:rPr>
                <w:rFonts w:cs="Times New Roman"/>
                <w:color w:val="auto"/>
                <w:kern w:val="0"/>
                <w:sz w:val="18"/>
                <w:szCs w:val="18"/>
              </w:rPr>
            </w:pPr>
            <w:r>
              <w:rPr>
                <w:rFonts w:cs="Times New Roman"/>
                <w:color w:val="auto"/>
                <w:kern w:val="0"/>
                <w:sz w:val="18"/>
                <w:szCs w:val="18"/>
              </w:rPr>
              <w:t>6339 (42.14%)</w:t>
            </w:r>
          </w:p>
        </w:tc>
        <w:tc>
          <w:tcPr>
            <w:tcW w:w="2126" w:type="dxa"/>
          </w:tcPr>
          <w:p w14:paraId="7FE47384">
            <w:pPr>
              <w:jc w:val="center"/>
              <w:rPr>
                <w:rFonts w:cs="Times New Roman"/>
                <w:color w:val="auto"/>
                <w:kern w:val="0"/>
                <w:sz w:val="18"/>
                <w:szCs w:val="18"/>
              </w:rPr>
            </w:pPr>
            <w:r>
              <w:rPr>
                <w:rFonts w:cs="Times New Roman"/>
                <w:color w:val="auto"/>
                <w:kern w:val="0"/>
                <w:sz w:val="18"/>
                <w:szCs w:val="18"/>
              </w:rPr>
              <w:t>3.11 (2.24, 4.32)</w:t>
            </w:r>
          </w:p>
        </w:tc>
        <w:tc>
          <w:tcPr>
            <w:tcW w:w="1356" w:type="dxa"/>
          </w:tcPr>
          <w:p w14:paraId="7A308137">
            <w:pPr>
              <w:jc w:val="center"/>
              <w:rPr>
                <w:rFonts w:cs="Times New Roman"/>
                <w:color w:val="auto"/>
                <w:kern w:val="0"/>
                <w:sz w:val="18"/>
                <w:szCs w:val="18"/>
              </w:rPr>
            </w:pPr>
            <w:r>
              <w:rPr>
                <w:rFonts w:cs="Times New Roman"/>
                <w:color w:val="auto"/>
                <w:kern w:val="0"/>
                <w:sz w:val="18"/>
                <w:szCs w:val="18"/>
              </w:rPr>
              <w:t>&lt;0.0001</w:t>
            </w:r>
          </w:p>
        </w:tc>
      </w:tr>
      <w:tr w14:paraId="309D00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17576B91">
            <w:pPr>
              <w:ind w:firstLine="180" w:firstLineChars="100"/>
              <w:rPr>
                <w:rFonts w:cs="Times New Roman"/>
                <w:color w:val="auto"/>
                <w:kern w:val="0"/>
                <w:sz w:val="18"/>
                <w:szCs w:val="18"/>
              </w:rPr>
            </w:pPr>
            <w:r>
              <w:rPr>
                <w:rFonts w:cs="Times New Roman"/>
                <w:color w:val="auto"/>
                <w:kern w:val="0"/>
                <w:sz w:val="18"/>
                <w:szCs w:val="18"/>
              </w:rPr>
              <w:t>Other Hispanic</w:t>
            </w:r>
          </w:p>
        </w:tc>
        <w:tc>
          <w:tcPr>
            <w:tcW w:w="2268" w:type="dxa"/>
          </w:tcPr>
          <w:p w14:paraId="0FC64B6E">
            <w:pPr>
              <w:jc w:val="center"/>
              <w:rPr>
                <w:rFonts w:cs="Times New Roman"/>
                <w:color w:val="auto"/>
                <w:kern w:val="0"/>
                <w:sz w:val="18"/>
                <w:szCs w:val="18"/>
              </w:rPr>
            </w:pPr>
            <w:r>
              <w:rPr>
                <w:rFonts w:cs="Times New Roman"/>
                <w:color w:val="auto"/>
                <w:kern w:val="0"/>
                <w:sz w:val="18"/>
                <w:szCs w:val="18"/>
              </w:rPr>
              <w:t>3026 (20.11%)</w:t>
            </w:r>
          </w:p>
        </w:tc>
        <w:tc>
          <w:tcPr>
            <w:tcW w:w="2126" w:type="dxa"/>
          </w:tcPr>
          <w:p w14:paraId="454885D0">
            <w:pPr>
              <w:jc w:val="center"/>
              <w:rPr>
                <w:rFonts w:cs="Times New Roman"/>
                <w:color w:val="auto"/>
                <w:kern w:val="0"/>
                <w:sz w:val="18"/>
                <w:szCs w:val="18"/>
              </w:rPr>
            </w:pPr>
            <w:r>
              <w:rPr>
                <w:rFonts w:cs="Times New Roman"/>
                <w:color w:val="auto"/>
                <w:kern w:val="0"/>
                <w:sz w:val="18"/>
                <w:szCs w:val="18"/>
              </w:rPr>
              <w:t>2.31 (1.61, 3.33)</w:t>
            </w:r>
          </w:p>
        </w:tc>
        <w:tc>
          <w:tcPr>
            <w:tcW w:w="1356" w:type="dxa"/>
          </w:tcPr>
          <w:p w14:paraId="0A426803">
            <w:pPr>
              <w:jc w:val="center"/>
              <w:rPr>
                <w:rFonts w:cs="Times New Roman"/>
                <w:color w:val="auto"/>
                <w:kern w:val="0"/>
                <w:sz w:val="18"/>
                <w:szCs w:val="18"/>
              </w:rPr>
            </w:pPr>
            <w:r>
              <w:rPr>
                <w:rFonts w:cs="Times New Roman"/>
                <w:color w:val="auto"/>
                <w:kern w:val="0"/>
                <w:sz w:val="18"/>
                <w:szCs w:val="18"/>
              </w:rPr>
              <w:t>&lt;0.0001</w:t>
            </w:r>
          </w:p>
        </w:tc>
      </w:tr>
      <w:tr w14:paraId="06164C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1230A30E">
            <w:pPr>
              <w:ind w:firstLine="180" w:firstLineChars="100"/>
              <w:rPr>
                <w:rFonts w:cs="Times New Roman"/>
                <w:color w:val="auto"/>
                <w:kern w:val="0"/>
                <w:sz w:val="18"/>
                <w:szCs w:val="18"/>
              </w:rPr>
            </w:pPr>
            <w:r>
              <w:rPr>
                <w:rFonts w:cs="Times New Roman"/>
                <w:color w:val="auto"/>
                <w:kern w:val="0"/>
                <w:sz w:val="18"/>
                <w:szCs w:val="18"/>
              </w:rPr>
              <w:t>Other races</w:t>
            </w:r>
          </w:p>
        </w:tc>
        <w:tc>
          <w:tcPr>
            <w:tcW w:w="2268" w:type="dxa"/>
          </w:tcPr>
          <w:p w14:paraId="6EEC0342">
            <w:pPr>
              <w:jc w:val="center"/>
              <w:rPr>
                <w:rFonts w:cs="Times New Roman"/>
                <w:color w:val="auto"/>
                <w:kern w:val="0"/>
                <w:sz w:val="18"/>
                <w:szCs w:val="18"/>
              </w:rPr>
            </w:pPr>
            <w:r>
              <w:rPr>
                <w:rFonts w:cs="Times New Roman"/>
                <w:color w:val="auto"/>
                <w:kern w:val="0"/>
                <w:sz w:val="18"/>
                <w:szCs w:val="18"/>
              </w:rPr>
              <w:t>1785 (11.87%)</w:t>
            </w:r>
          </w:p>
        </w:tc>
        <w:tc>
          <w:tcPr>
            <w:tcW w:w="2126" w:type="dxa"/>
          </w:tcPr>
          <w:p w14:paraId="6F45FD80">
            <w:pPr>
              <w:jc w:val="center"/>
              <w:rPr>
                <w:rFonts w:cs="Times New Roman"/>
                <w:color w:val="auto"/>
                <w:kern w:val="0"/>
                <w:sz w:val="18"/>
                <w:szCs w:val="18"/>
              </w:rPr>
            </w:pPr>
            <w:r>
              <w:rPr>
                <w:rFonts w:cs="Times New Roman"/>
                <w:color w:val="auto"/>
                <w:kern w:val="0"/>
                <w:sz w:val="18"/>
                <w:szCs w:val="18"/>
              </w:rPr>
              <w:t>0.99 (0.58, 1.68)</w:t>
            </w:r>
          </w:p>
        </w:tc>
        <w:tc>
          <w:tcPr>
            <w:tcW w:w="1356" w:type="dxa"/>
          </w:tcPr>
          <w:p w14:paraId="6B1B0185">
            <w:pPr>
              <w:jc w:val="center"/>
              <w:rPr>
                <w:rFonts w:cs="Times New Roman"/>
                <w:color w:val="auto"/>
                <w:kern w:val="0"/>
                <w:sz w:val="18"/>
                <w:szCs w:val="18"/>
              </w:rPr>
            </w:pPr>
            <w:r>
              <w:rPr>
                <w:rFonts w:cs="Times New Roman"/>
                <w:color w:val="auto"/>
                <w:kern w:val="0"/>
                <w:sz w:val="18"/>
                <w:szCs w:val="18"/>
              </w:rPr>
              <w:t>0.9730</w:t>
            </w:r>
          </w:p>
        </w:tc>
      </w:tr>
      <w:tr w14:paraId="644785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207E7D83">
            <w:pPr>
              <w:rPr>
                <w:rFonts w:cs="Times New Roman"/>
                <w:color w:val="auto"/>
                <w:kern w:val="0"/>
                <w:sz w:val="18"/>
                <w:szCs w:val="18"/>
              </w:rPr>
            </w:pPr>
            <w:r>
              <w:rPr>
                <w:rFonts w:cs="Times New Roman"/>
                <w:color w:val="auto"/>
                <w:kern w:val="0"/>
                <w:sz w:val="18"/>
                <w:szCs w:val="18"/>
              </w:rPr>
              <w:t>Marital Status</w:t>
            </w:r>
            <w:r>
              <w:rPr>
                <w:rFonts w:hint="eastAsia" w:cs="Times New Roman"/>
                <w:color w:val="auto"/>
                <w:kern w:val="0"/>
                <w:sz w:val="18"/>
                <w:szCs w:val="18"/>
              </w:rPr>
              <w:t>, (%)</w:t>
            </w:r>
          </w:p>
        </w:tc>
        <w:tc>
          <w:tcPr>
            <w:tcW w:w="2268" w:type="dxa"/>
          </w:tcPr>
          <w:p w14:paraId="2FA1DFDC">
            <w:pPr>
              <w:jc w:val="center"/>
              <w:rPr>
                <w:rFonts w:cs="Times New Roman"/>
                <w:color w:val="auto"/>
                <w:kern w:val="0"/>
                <w:sz w:val="18"/>
                <w:szCs w:val="18"/>
              </w:rPr>
            </w:pPr>
          </w:p>
        </w:tc>
        <w:tc>
          <w:tcPr>
            <w:tcW w:w="2126" w:type="dxa"/>
          </w:tcPr>
          <w:p w14:paraId="7015C985">
            <w:pPr>
              <w:jc w:val="center"/>
              <w:rPr>
                <w:rFonts w:cs="Times New Roman"/>
                <w:color w:val="auto"/>
                <w:kern w:val="0"/>
                <w:sz w:val="18"/>
                <w:szCs w:val="18"/>
              </w:rPr>
            </w:pPr>
          </w:p>
        </w:tc>
        <w:tc>
          <w:tcPr>
            <w:tcW w:w="1356" w:type="dxa"/>
          </w:tcPr>
          <w:p w14:paraId="0EE0E1EA">
            <w:pPr>
              <w:jc w:val="center"/>
              <w:rPr>
                <w:rFonts w:cs="Times New Roman"/>
                <w:color w:val="auto"/>
                <w:kern w:val="0"/>
                <w:sz w:val="18"/>
                <w:szCs w:val="18"/>
              </w:rPr>
            </w:pPr>
          </w:p>
        </w:tc>
      </w:tr>
      <w:tr w14:paraId="69B37B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26D4BCFF">
            <w:pPr>
              <w:ind w:firstLine="180" w:firstLineChars="100"/>
              <w:rPr>
                <w:rFonts w:cs="Times New Roman"/>
                <w:color w:val="auto"/>
                <w:kern w:val="0"/>
                <w:sz w:val="18"/>
                <w:szCs w:val="18"/>
              </w:rPr>
            </w:pPr>
            <w:r>
              <w:rPr>
                <w:rFonts w:cs="Times New Roman"/>
                <w:color w:val="auto"/>
                <w:kern w:val="0"/>
                <w:sz w:val="18"/>
                <w:szCs w:val="18"/>
              </w:rPr>
              <w:t>Married/living with a partner</w:t>
            </w:r>
          </w:p>
        </w:tc>
        <w:tc>
          <w:tcPr>
            <w:tcW w:w="2268" w:type="dxa"/>
          </w:tcPr>
          <w:p w14:paraId="4A63458C">
            <w:pPr>
              <w:jc w:val="center"/>
              <w:rPr>
                <w:rFonts w:cs="Times New Roman"/>
                <w:color w:val="auto"/>
                <w:kern w:val="0"/>
                <w:sz w:val="18"/>
                <w:szCs w:val="18"/>
              </w:rPr>
            </w:pPr>
            <w:r>
              <w:rPr>
                <w:rFonts w:hint="eastAsia" w:cs="Times New Roman"/>
                <w:color w:val="auto"/>
                <w:kern w:val="0"/>
                <w:sz w:val="18"/>
                <w:szCs w:val="18"/>
              </w:rPr>
              <w:t>9148 (60.82%)</w:t>
            </w:r>
          </w:p>
        </w:tc>
        <w:tc>
          <w:tcPr>
            <w:tcW w:w="2126" w:type="dxa"/>
          </w:tcPr>
          <w:p w14:paraId="5D6FED90">
            <w:pPr>
              <w:jc w:val="center"/>
              <w:rPr>
                <w:rFonts w:cs="Times New Roman"/>
                <w:color w:val="auto"/>
                <w:kern w:val="0"/>
                <w:sz w:val="18"/>
                <w:szCs w:val="18"/>
              </w:rPr>
            </w:pPr>
            <w:r>
              <w:rPr>
                <w:rFonts w:hint="eastAsia" w:cs="Times New Roman"/>
                <w:color w:val="auto"/>
                <w:kern w:val="0"/>
                <w:sz w:val="18"/>
                <w:szCs w:val="18"/>
              </w:rPr>
              <w:t>1.0</w:t>
            </w:r>
          </w:p>
        </w:tc>
        <w:tc>
          <w:tcPr>
            <w:tcW w:w="1356" w:type="dxa"/>
          </w:tcPr>
          <w:p w14:paraId="29F9A81F">
            <w:pPr>
              <w:jc w:val="center"/>
              <w:rPr>
                <w:rFonts w:cs="Times New Roman"/>
                <w:color w:val="auto"/>
                <w:kern w:val="0"/>
                <w:sz w:val="18"/>
                <w:szCs w:val="18"/>
              </w:rPr>
            </w:pPr>
          </w:p>
        </w:tc>
      </w:tr>
      <w:tr w14:paraId="59F10E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25A67563">
            <w:pPr>
              <w:ind w:firstLine="180" w:firstLineChars="100"/>
              <w:rPr>
                <w:rFonts w:cs="Times New Roman"/>
                <w:color w:val="auto"/>
                <w:kern w:val="0"/>
                <w:sz w:val="18"/>
                <w:szCs w:val="18"/>
              </w:rPr>
            </w:pPr>
            <w:r>
              <w:rPr>
                <w:rFonts w:cs="Times New Roman"/>
                <w:color w:val="auto"/>
                <w:kern w:val="0"/>
                <w:sz w:val="18"/>
                <w:szCs w:val="18"/>
              </w:rPr>
              <w:t>All others</w:t>
            </w:r>
          </w:p>
        </w:tc>
        <w:tc>
          <w:tcPr>
            <w:tcW w:w="2268" w:type="dxa"/>
          </w:tcPr>
          <w:p w14:paraId="7DF23093">
            <w:pPr>
              <w:jc w:val="center"/>
              <w:rPr>
                <w:rFonts w:cs="Times New Roman"/>
                <w:color w:val="auto"/>
                <w:kern w:val="0"/>
                <w:sz w:val="18"/>
                <w:szCs w:val="18"/>
              </w:rPr>
            </w:pPr>
            <w:r>
              <w:rPr>
                <w:rFonts w:hint="eastAsia" w:cs="Times New Roman"/>
                <w:color w:val="auto"/>
                <w:kern w:val="0"/>
                <w:sz w:val="18"/>
                <w:szCs w:val="18"/>
              </w:rPr>
              <w:t>5892 (39.18%)</w:t>
            </w:r>
          </w:p>
        </w:tc>
        <w:tc>
          <w:tcPr>
            <w:tcW w:w="2126" w:type="dxa"/>
          </w:tcPr>
          <w:p w14:paraId="4F3E80E5">
            <w:pPr>
              <w:jc w:val="center"/>
              <w:rPr>
                <w:rFonts w:cs="Times New Roman"/>
                <w:color w:val="auto"/>
                <w:kern w:val="0"/>
                <w:sz w:val="18"/>
                <w:szCs w:val="18"/>
              </w:rPr>
            </w:pPr>
            <w:r>
              <w:rPr>
                <w:rFonts w:hint="eastAsia" w:cs="Times New Roman"/>
                <w:color w:val="auto"/>
                <w:kern w:val="0"/>
                <w:sz w:val="18"/>
                <w:szCs w:val="18"/>
              </w:rPr>
              <w:t>1.76 (1.48, 2.10)</w:t>
            </w:r>
          </w:p>
        </w:tc>
        <w:tc>
          <w:tcPr>
            <w:tcW w:w="1356" w:type="dxa"/>
          </w:tcPr>
          <w:p w14:paraId="2BE3B705">
            <w:pPr>
              <w:jc w:val="center"/>
              <w:rPr>
                <w:rFonts w:cs="Times New Roman"/>
                <w:color w:val="auto"/>
                <w:kern w:val="0"/>
                <w:sz w:val="18"/>
                <w:szCs w:val="18"/>
              </w:rPr>
            </w:pPr>
            <w:r>
              <w:rPr>
                <w:rFonts w:cs="Times New Roman"/>
                <w:color w:val="auto"/>
                <w:kern w:val="0"/>
                <w:sz w:val="18"/>
                <w:szCs w:val="18"/>
              </w:rPr>
              <w:t>&lt;0.0001</w:t>
            </w:r>
          </w:p>
        </w:tc>
      </w:tr>
      <w:tr w14:paraId="182834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FD4ECAA">
            <w:pPr>
              <w:rPr>
                <w:rFonts w:cs="Times New Roman"/>
                <w:color w:val="auto"/>
                <w:kern w:val="0"/>
                <w:sz w:val="18"/>
                <w:szCs w:val="18"/>
              </w:rPr>
            </w:pPr>
            <w:r>
              <w:rPr>
                <w:rFonts w:cs="Times New Roman"/>
                <w:color w:val="auto"/>
                <w:kern w:val="0"/>
                <w:sz w:val="18"/>
                <w:szCs w:val="18"/>
              </w:rPr>
              <w:t>Education level</w:t>
            </w:r>
            <w:r>
              <w:rPr>
                <w:rFonts w:hint="eastAsia" w:cs="Times New Roman"/>
                <w:color w:val="auto"/>
                <w:kern w:val="0"/>
                <w:sz w:val="18"/>
                <w:szCs w:val="18"/>
              </w:rPr>
              <w:t>, (%)</w:t>
            </w:r>
          </w:p>
        </w:tc>
        <w:tc>
          <w:tcPr>
            <w:tcW w:w="2268" w:type="dxa"/>
          </w:tcPr>
          <w:p w14:paraId="7687F332">
            <w:pPr>
              <w:jc w:val="center"/>
              <w:rPr>
                <w:rFonts w:cs="Times New Roman"/>
                <w:color w:val="auto"/>
                <w:kern w:val="0"/>
                <w:sz w:val="18"/>
                <w:szCs w:val="18"/>
              </w:rPr>
            </w:pPr>
          </w:p>
        </w:tc>
        <w:tc>
          <w:tcPr>
            <w:tcW w:w="2126" w:type="dxa"/>
          </w:tcPr>
          <w:p w14:paraId="5889C344">
            <w:pPr>
              <w:jc w:val="center"/>
              <w:rPr>
                <w:rFonts w:cs="Times New Roman"/>
                <w:color w:val="auto"/>
                <w:kern w:val="0"/>
                <w:sz w:val="18"/>
                <w:szCs w:val="18"/>
              </w:rPr>
            </w:pPr>
          </w:p>
        </w:tc>
        <w:tc>
          <w:tcPr>
            <w:tcW w:w="1356" w:type="dxa"/>
          </w:tcPr>
          <w:p w14:paraId="3814FC84">
            <w:pPr>
              <w:jc w:val="center"/>
              <w:rPr>
                <w:rFonts w:cs="Times New Roman"/>
                <w:color w:val="auto"/>
                <w:kern w:val="0"/>
                <w:sz w:val="18"/>
                <w:szCs w:val="18"/>
              </w:rPr>
            </w:pPr>
          </w:p>
        </w:tc>
      </w:tr>
      <w:tr w14:paraId="238336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9772AA6">
            <w:pPr>
              <w:rPr>
                <w:rFonts w:cs="Times New Roman"/>
                <w:color w:val="auto"/>
                <w:kern w:val="0"/>
                <w:sz w:val="18"/>
                <w:szCs w:val="18"/>
              </w:rPr>
            </w:pPr>
            <w:r>
              <w:rPr>
                <w:rFonts w:hint="eastAsia" w:cs="Times New Roman"/>
                <w:color w:val="auto"/>
                <w:kern w:val="0"/>
                <w:sz w:val="18"/>
                <w:szCs w:val="18"/>
              </w:rPr>
              <w:t>&lt;H</w:t>
            </w:r>
            <w:r>
              <w:rPr>
                <w:rFonts w:cs="Times New Roman"/>
                <w:color w:val="auto"/>
                <w:kern w:val="0"/>
                <w:sz w:val="18"/>
                <w:szCs w:val="18"/>
              </w:rPr>
              <w:t>igh school</w:t>
            </w:r>
          </w:p>
        </w:tc>
        <w:tc>
          <w:tcPr>
            <w:tcW w:w="2268" w:type="dxa"/>
          </w:tcPr>
          <w:p w14:paraId="4BAC044F">
            <w:pPr>
              <w:jc w:val="center"/>
              <w:rPr>
                <w:rFonts w:cs="Times New Roman"/>
                <w:color w:val="auto"/>
                <w:kern w:val="0"/>
                <w:sz w:val="18"/>
                <w:szCs w:val="18"/>
              </w:rPr>
            </w:pPr>
            <w:r>
              <w:rPr>
                <w:rFonts w:hint="eastAsia" w:cs="Times New Roman"/>
                <w:color w:val="auto"/>
                <w:kern w:val="0"/>
                <w:sz w:val="18"/>
                <w:szCs w:val="18"/>
              </w:rPr>
              <w:t>3809 (25.35%)</w:t>
            </w:r>
          </w:p>
        </w:tc>
        <w:tc>
          <w:tcPr>
            <w:tcW w:w="2126" w:type="dxa"/>
          </w:tcPr>
          <w:p w14:paraId="212E3B05">
            <w:pPr>
              <w:jc w:val="center"/>
              <w:rPr>
                <w:rFonts w:cs="Times New Roman"/>
                <w:color w:val="auto"/>
                <w:kern w:val="0"/>
                <w:sz w:val="18"/>
                <w:szCs w:val="18"/>
              </w:rPr>
            </w:pPr>
            <w:r>
              <w:rPr>
                <w:rFonts w:hint="eastAsia" w:cs="Times New Roman"/>
                <w:color w:val="auto"/>
                <w:kern w:val="0"/>
                <w:sz w:val="18"/>
                <w:szCs w:val="18"/>
              </w:rPr>
              <w:t>1.0</w:t>
            </w:r>
          </w:p>
        </w:tc>
        <w:tc>
          <w:tcPr>
            <w:tcW w:w="1356" w:type="dxa"/>
          </w:tcPr>
          <w:p w14:paraId="059AED03">
            <w:pPr>
              <w:jc w:val="center"/>
              <w:rPr>
                <w:rFonts w:cs="Times New Roman"/>
                <w:color w:val="auto"/>
                <w:kern w:val="0"/>
                <w:sz w:val="18"/>
                <w:szCs w:val="18"/>
              </w:rPr>
            </w:pPr>
          </w:p>
        </w:tc>
      </w:tr>
      <w:tr w14:paraId="13A4D1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7BCBBF1F">
            <w:pPr>
              <w:rPr>
                <w:rFonts w:cs="Times New Roman"/>
                <w:color w:val="auto"/>
                <w:kern w:val="0"/>
                <w:sz w:val="18"/>
                <w:szCs w:val="18"/>
              </w:rPr>
            </w:pPr>
            <w:r>
              <w:rPr>
                <w:rFonts w:cs="Times New Roman"/>
                <w:color w:val="auto"/>
                <w:kern w:val="0"/>
                <w:sz w:val="18"/>
                <w:szCs w:val="18"/>
              </w:rPr>
              <w:t xml:space="preserve">≥high school </w:t>
            </w:r>
          </w:p>
        </w:tc>
        <w:tc>
          <w:tcPr>
            <w:tcW w:w="2268" w:type="dxa"/>
          </w:tcPr>
          <w:p w14:paraId="52700C0F">
            <w:pPr>
              <w:jc w:val="center"/>
              <w:rPr>
                <w:rFonts w:cs="Times New Roman"/>
                <w:color w:val="auto"/>
                <w:kern w:val="0"/>
                <w:sz w:val="18"/>
                <w:szCs w:val="18"/>
              </w:rPr>
            </w:pPr>
            <w:r>
              <w:rPr>
                <w:rFonts w:hint="eastAsia" w:cs="Times New Roman"/>
                <w:color w:val="auto"/>
                <w:kern w:val="0"/>
                <w:sz w:val="18"/>
                <w:szCs w:val="18"/>
              </w:rPr>
              <w:t>11219 (74.65%)</w:t>
            </w:r>
          </w:p>
        </w:tc>
        <w:tc>
          <w:tcPr>
            <w:tcW w:w="2126" w:type="dxa"/>
          </w:tcPr>
          <w:p w14:paraId="2F8B88C5">
            <w:pPr>
              <w:jc w:val="center"/>
              <w:rPr>
                <w:rFonts w:cs="Times New Roman"/>
                <w:color w:val="auto"/>
                <w:kern w:val="0"/>
                <w:sz w:val="18"/>
                <w:szCs w:val="18"/>
              </w:rPr>
            </w:pPr>
            <w:r>
              <w:rPr>
                <w:rFonts w:hint="eastAsia" w:cs="Times New Roman"/>
                <w:color w:val="auto"/>
                <w:kern w:val="0"/>
                <w:sz w:val="18"/>
                <w:szCs w:val="18"/>
              </w:rPr>
              <w:t>0.65 (0.54, 0.78)</w:t>
            </w:r>
          </w:p>
        </w:tc>
        <w:tc>
          <w:tcPr>
            <w:tcW w:w="1356" w:type="dxa"/>
          </w:tcPr>
          <w:p w14:paraId="170AC7EF">
            <w:pPr>
              <w:jc w:val="center"/>
              <w:rPr>
                <w:rFonts w:cs="Times New Roman"/>
                <w:color w:val="auto"/>
                <w:kern w:val="0"/>
                <w:sz w:val="18"/>
                <w:szCs w:val="18"/>
              </w:rPr>
            </w:pPr>
            <w:r>
              <w:rPr>
                <w:rFonts w:hint="eastAsia" w:cs="Times New Roman"/>
                <w:color w:val="auto"/>
                <w:kern w:val="0"/>
                <w:sz w:val="18"/>
                <w:szCs w:val="18"/>
              </w:rPr>
              <w:t>&lt;0.0001</w:t>
            </w:r>
          </w:p>
        </w:tc>
      </w:tr>
      <w:tr w14:paraId="047E42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3507CAC4">
            <w:pPr>
              <w:rPr>
                <w:rFonts w:cs="Times New Roman"/>
                <w:color w:val="auto"/>
                <w:kern w:val="0"/>
                <w:sz w:val="18"/>
                <w:szCs w:val="18"/>
              </w:rPr>
            </w:pPr>
            <w:r>
              <w:rPr>
                <w:rFonts w:cs="Times New Roman"/>
                <w:color w:val="auto"/>
                <w:kern w:val="0"/>
                <w:sz w:val="18"/>
                <w:szCs w:val="18"/>
              </w:rPr>
              <w:t>Smoke status</w:t>
            </w:r>
            <w:r>
              <w:rPr>
                <w:rFonts w:hint="eastAsia" w:cs="Times New Roman"/>
                <w:color w:val="auto"/>
                <w:kern w:val="0"/>
                <w:sz w:val="18"/>
                <w:szCs w:val="18"/>
              </w:rPr>
              <w:t>, (%)</w:t>
            </w:r>
          </w:p>
        </w:tc>
        <w:tc>
          <w:tcPr>
            <w:tcW w:w="2268" w:type="dxa"/>
          </w:tcPr>
          <w:p w14:paraId="06FA920E">
            <w:pPr>
              <w:jc w:val="center"/>
              <w:rPr>
                <w:rFonts w:cs="Times New Roman"/>
                <w:color w:val="auto"/>
                <w:kern w:val="0"/>
                <w:sz w:val="18"/>
                <w:szCs w:val="18"/>
              </w:rPr>
            </w:pPr>
          </w:p>
        </w:tc>
        <w:tc>
          <w:tcPr>
            <w:tcW w:w="2126" w:type="dxa"/>
          </w:tcPr>
          <w:p w14:paraId="55C1D630">
            <w:pPr>
              <w:jc w:val="center"/>
              <w:rPr>
                <w:rFonts w:cs="Times New Roman"/>
                <w:color w:val="auto"/>
                <w:kern w:val="0"/>
                <w:sz w:val="18"/>
                <w:szCs w:val="18"/>
              </w:rPr>
            </w:pPr>
          </w:p>
        </w:tc>
        <w:tc>
          <w:tcPr>
            <w:tcW w:w="1356" w:type="dxa"/>
          </w:tcPr>
          <w:p w14:paraId="0842C4A2">
            <w:pPr>
              <w:jc w:val="center"/>
              <w:rPr>
                <w:rFonts w:cs="Times New Roman"/>
                <w:color w:val="auto"/>
                <w:kern w:val="0"/>
                <w:sz w:val="18"/>
                <w:szCs w:val="18"/>
              </w:rPr>
            </w:pPr>
          </w:p>
        </w:tc>
      </w:tr>
      <w:tr w14:paraId="714BAA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7AC95B65">
            <w:pPr>
              <w:ind w:firstLine="180" w:firstLineChars="100"/>
              <w:rPr>
                <w:rFonts w:cs="Times New Roman"/>
                <w:color w:val="auto"/>
                <w:kern w:val="0"/>
                <w:sz w:val="18"/>
                <w:szCs w:val="18"/>
              </w:rPr>
            </w:pPr>
            <w:r>
              <w:rPr>
                <w:rFonts w:cs="Times New Roman"/>
                <w:color w:val="auto"/>
                <w:kern w:val="0"/>
                <w:sz w:val="18"/>
                <w:szCs w:val="18"/>
              </w:rPr>
              <w:t>Never</w:t>
            </w:r>
          </w:p>
        </w:tc>
        <w:tc>
          <w:tcPr>
            <w:tcW w:w="2268" w:type="dxa"/>
          </w:tcPr>
          <w:p w14:paraId="19C4356B">
            <w:pPr>
              <w:jc w:val="center"/>
              <w:rPr>
                <w:rFonts w:cs="Times New Roman"/>
                <w:color w:val="auto"/>
                <w:kern w:val="0"/>
                <w:sz w:val="18"/>
                <w:szCs w:val="18"/>
              </w:rPr>
            </w:pPr>
            <w:r>
              <w:rPr>
                <w:rFonts w:cs="Times New Roman"/>
                <w:color w:val="auto"/>
                <w:kern w:val="0"/>
                <w:sz w:val="18"/>
                <w:szCs w:val="18"/>
              </w:rPr>
              <w:t>8279 (55.09%)</w:t>
            </w:r>
          </w:p>
        </w:tc>
        <w:tc>
          <w:tcPr>
            <w:tcW w:w="2126" w:type="dxa"/>
          </w:tcPr>
          <w:p w14:paraId="174209F0">
            <w:pPr>
              <w:jc w:val="center"/>
              <w:rPr>
                <w:rFonts w:cs="Times New Roman"/>
                <w:color w:val="auto"/>
                <w:kern w:val="0"/>
                <w:sz w:val="18"/>
                <w:szCs w:val="18"/>
              </w:rPr>
            </w:pPr>
            <w:r>
              <w:rPr>
                <w:rFonts w:cs="Times New Roman"/>
                <w:color w:val="auto"/>
                <w:kern w:val="0"/>
                <w:sz w:val="18"/>
                <w:szCs w:val="18"/>
              </w:rPr>
              <w:t>1.0</w:t>
            </w:r>
          </w:p>
        </w:tc>
        <w:tc>
          <w:tcPr>
            <w:tcW w:w="1356" w:type="dxa"/>
          </w:tcPr>
          <w:p w14:paraId="5B83FB47">
            <w:pPr>
              <w:jc w:val="center"/>
              <w:rPr>
                <w:rFonts w:cs="Times New Roman"/>
                <w:color w:val="auto"/>
                <w:kern w:val="0"/>
                <w:sz w:val="18"/>
                <w:szCs w:val="18"/>
              </w:rPr>
            </w:pPr>
          </w:p>
        </w:tc>
      </w:tr>
      <w:tr w14:paraId="3D9851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7ED45866">
            <w:pPr>
              <w:ind w:firstLine="180" w:firstLineChars="100"/>
              <w:rPr>
                <w:rFonts w:cs="Times New Roman"/>
                <w:color w:val="auto"/>
                <w:kern w:val="0"/>
                <w:sz w:val="18"/>
                <w:szCs w:val="18"/>
              </w:rPr>
            </w:pPr>
            <w:r>
              <w:rPr>
                <w:rFonts w:cs="Times New Roman"/>
                <w:color w:val="auto"/>
                <w:kern w:val="0"/>
                <w:sz w:val="18"/>
                <w:szCs w:val="18"/>
              </w:rPr>
              <w:t>Former</w:t>
            </w:r>
          </w:p>
        </w:tc>
        <w:tc>
          <w:tcPr>
            <w:tcW w:w="2268" w:type="dxa"/>
          </w:tcPr>
          <w:p w14:paraId="3350495A">
            <w:pPr>
              <w:jc w:val="center"/>
              <w:rPr>
                <w:rFonts w:cs="Times New Roman"/>
                <w:color w:val="auto"/>
                <w:kern w:val="0"/>
                <w:sz w:val="18"/>
                <w:szCs w:val="18"/>
              </w:rPr>
            </w:pPr>
            <w:r>
              <w:rPr>
                <w:rFonts w:cs="Times New Roman"/>
                <w:color w:val="auto"/>
                <w:kern w:val="0"/>
                <w:sz w:val="18"/>
                <w:szCs w:val="18"/>
              </w:rPr>
              <w:t>3786 (25.19%)</w:t>
            </w:r>
          </w:p>
        </w:tc>
        <w:tc>
          <w:tcPr>
            <w:tcW w:w="2126" w:type="dxa"/>
          </w:tcPr>
          <w:p w14:paraId="2A1AC4C2">
            <w:pPr>
              <w:jc w:val="center"/>
              <w:rPr>
                <w:rFonts w:cs="Times New Roman"/>
                <w:color w:val="auto"/>
                <w:kern w:val="0"/>
                <w:sz w:val="18"/>
                <w:szCs w:val="18"/>
              </w:rPr>
            </w:pPr>
            <w:r>
              <w:rPr>
                <w:rFonts w:cs="Times New Roman"/>
                <w:color w:val="auto"/>
                <w:kern w:val="0"/>
                <w:sz w:val="18"/>
                <w:szCs w:val="18"/>
              </w:rPr>
              <w:t>1.65 (1.36, 2.00)</w:t>
            </w:r>
          </w:p>
        </w:tc>
        <w:tc>
          <w:tcPr>
            <w:tcW w:w="1356" w:type="dxa"/>
          </w:tcPr>
          <w:p w14:paraId="5FFB0FC1">
            <w:pPr>
              <w:jc w:val="center"/>
              <w:rPr>
                <w:rFonts w:cs="Times New Roman"/>
                <w:color w:val="auto"/>
                <w:kern w:val="0"/>
                <w:sz w:val="18"/>
                <w:szCs w:val="18"/>
              </w:rPr>
            </w:pPr>
            <w:r>
              <w:rPr>
                <w:rFonts w:cs="Times New Roman"/>
                <w:color w:val="auto"/>
                <w:kern w:val="0"/>
                <w:sz w:val="18"/>
                <w:szCs w:val="18"/>
              </w:rPr>
              <w:t>&lt;0.0001</w:t>
            </w:r>
          </w:p>
        </w:tc>
      </w:tr>
      <w:tr w14:paraId="2ACBDD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17824FA3">
            <w:pPr>
              <w:ind w:firstLine="180" w:firstLineChars="100"/>
              <w:rPr>
                <w:rFonts w:cs="Times New Roman"/>
                <w:color w:val="auto"/>
                <w:kern w:val="0"/>
                <w:sz w:val="18"/>
                <w:szCs w:val="18"/>
              </w:rPr>
            </w:pPr>
            <w:r>
              <w:rPr>
                <w:rFonts w:cs="Times New Roman"/>
                <w:color w:val="auto"/>
                <w:kern w:val="0"/>
                <w:sz w:val="18"/>
                <w:szCs w:val="18"/>
              </w:rPr>
              <w:t>Current</w:t>
            </w:r>
          </w:p>
        </w:tc>
        <w:tc>
          <w:tcPr>
            <w:tcW w:w="2268" w:type="dxa"/>
          </w:tcPr>
          <w:p w14:paraId="7D35E85E">
            <w:pPr>
              <w:jc w:val="center"/>
              <w:rPr>
                <w:rFonts w:cs="Times New Roman"/>
                <w:color w:val="auto"/>
                <w:kern w:val="0"/>
                <w:sz w:val="18"/>
                <w:szCs w:val="18"/>
              </w:rPr>
            </w:pPr>
            <w:r>
              <w:rPr>
                <w:rFonts w:cs="Times New Roman"/>
                <w:color w:val="auto"/>
                <w:kern w:val="0"/>
                <w:sz w:val="18"/>
                <w:szCs w:val="18"/>
              </w:rPr>
              <w:t>2964 (19.72%)</w:t>
            </w:r>
          </w:p>
        </w:tc>
        <w:tc>
          <w:tcPr>
            <w:tcW w:w="2126" w:type="dxa"/>
          </w:tcPr>
          <w:p w14:paraId="18205B48">
            <w:pPr>
              <w:jc w:val="center"/>
              <w:rPr>
                <w:rFonts w:cs="Times New Roman"/>
                <w:color w:val="auto"/>
                <w:kern w:val="0"/>
                <w:sz w:val="18"/>
                <w:szCs w:val="18"/>
              </w:rPr>
            </w:pPr>
            <w:r>
              <w:rPr>
                <w:rFonts w:cs="Times New Roman"/>
                <w:color w:val="auto"/>
                <w:kern w:val="0"/>
                <w:sz w:val="18"/>
                <w:szCs w:val="18"/>
              </w:rPr>
              <w:t>0.86 (0.67, 1.11)</w:t>
            </w:r>
          </w:p>
        </w:tc>
        <w:tc>
          <w:tcPr>
            <w:tcW w:w="1356" w:type="dxa"/>
          </w:tcPr>
          <w:p w14:paraId="2C5A99D2">
            <w:pPr>
              <w:jc w:val="center"/>
              <w:rPr>
                <w:rFonts w:cs="Times New Roman"/>
                <w:color w:val="auto"/>
                <w:kern w:val="0"/>
                <w:sz w:val="18"/>
                <w:szCs w:val="18"/>
              </w:rPr>
            </w:pPr>
            <w:r>
              <w:rPr>
                <w:rFonts w:cs="Times New Roman"/>
                <w:color w:val="auto"/>
                <w:kern w:val="0"/>
                <w:sz w:val="18"/>
                <w:szCs w:val="18"/>
              </w:rPr>
              <w:t>0.2523</w:t>
            </w:r>
          </w:p>
        </w:tc>
      </w:tr>
      <w:tr w14:paraId="595C7F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A075ED3">
            <w:pPr>
              <w:rPr>
                <w:rFonts w:cs="Times New Roman"/>
                <w:color w:val="auto"/>
                <w:kern w:val="0"/>
                <w:sz w:val="18"/>
                <w:szCs w:val="18"/>
              </w:rPr>
            </w:pPr>
            <w:r>
              <w:rPr>
                <w:rFonts w:hint="eastAsia" w:cs="Times New Roman"/>
                <w:color w:val="auto"/>
                <w:kern w:val="0"/>
                <w:sz w:val="18"/>
                <w:szCs w:val="18"/>
              </w:rPr>
              <w:t>Drink, (%)</w:t>
            </w:r>
          </w:p>
        </w:tc>
        <w:tc>
          <w:tcPr>
            <w:tcW w:w="2268" w:type="dxa"/>
          </w:tcPr>
          <w:p w14:paraId="37CDAE74">
            <w:pPr>
              <w:jc w:val="center"/>
              <w:rPr>
                <w:rFonts w:cs="Times New Roman"/>
                <w:color w:val="auto"/>
                <w:kern w:val="0"/>
                <w:sz w:val="18"/>
                <w:szCs w:val="18"/>
              </w:rPr>
            </w:pPr>
          </w:p>
        </w:tc>
        <w:tc>
          <w:tcPr>
            <w:tcW w:w="2126" w:type="dxa"/>
          </w:tcPr>
          <w:p w14:paraId="68AA5DE6">
            <w:pPr>
              <w:jc w:val="center"/>
              <w:rPr>
                <w:rFonts w:cs="Times New Roman"/>
                <w:color w:val="auto"/>
                <w:kern w:val="0"/>
                <w:sz w:val="18"/>
                <w:szCs w:val="18"/>
              </w:rPr>
            </w:pPr>
          </w:p>
        </w:tc>
        <w:tc>
          <w:tcPr>
            <w:tcW w:w="1356" w:type="dxa"/>
          </w:tcPr>
          <w:p w14:paraId="6AE11E83">
            <w:pPr>
              <w:jc w:val="center"/>
              <w:rPr>
                <w:rFonts w:cs="Times New Roman"/>
                <w:color w:val="auto"/>
                <w:kern w:val="0"/>
                <w:sz w:val="18"/>
                <w:szCs w:val="18"/>
              </w:rPr>
            </w:pPr>
          </w:p>
        </w:tc>
      </w:tr>
      <w:tr w14:paraId="2BD2AB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C8A973C">
            <w:pPr>
              <w:rPr>
                <w:rFonts w:cs="Times New Roman"/>
                <w:color w:val="auto"/>
                <w:kern w:val="0"/>
                <w:sz w:val="18"/>
                <w:szCs w:val="18"/>
              </w:rPr>
            </w:pPr>
            <w:r>
              <w:rPr>
                <w:rFonts w:cs="Times New Roman"/>
                <w:color w:val="auto"/>
                <w:kern w:val="0"/>
                <w:sz w:val="18"/>
                <w:szCs w:val="18"/>
              </w:rPr>
              <w:t>  </w:t>
            </w:r>
            <w:r>
              <w:rPr>
                <w:rFonts w:hint="eastAsia" w:cs="Times New Roman"/>
                <w:color w:val="auto"/>
                <w:kern w:val="0"/>
                <w:sz w:val="18"/>
                <w:szCs w:val="18"/>
              </w:rPr>
              <w:t xml:space="preserve"> No</w:t>
            </w:r>
          </w:p>
        </w:tc>
        <w:tc>
          <w:tcPr>
            <w:tcW w:w="2268" w:type="dxa"/>
          </w:tcPr>
          <w:p w14:paraId="7BD8C298">
            <w:pPr>
              <w:jc w:val="center"/>
              <w:rPr>
                <w:rFonts w:cs="Times New Roman"/>
                <w:color w:val="auto"/>
                <w:kern w:val="0"/>
                <w:sz w:val="18"/>
                <w:szCs w:val="18"/>
              </w:rPr>
            </w:pPr>
            <w:r>
              <w:rPr>
                <w:rFonts w:cs="Times New Roman"/>
                <w:color w:val="auto"/>
                <w:kern w:val="0"/>
                <w:sz w:val="18"/>
                <w:szCs w:val="18"/>
              </w:rPr>
              <w:t>3440 (29.08%)</w:t>
            </w:r>
          </w:p>
        </w:tc>
        <w:tc>
          <w:tcPr>
            <w:tcW w:w="2126" w:type="dxa"/>
          </w:tcPr>
          <w:p w14:paraId="45AE2D57">
            <w:pPr>
              <w:jc w:val="center"/>
              <w:rPr>
                <w:rFonts w:cs="Times New Roman"/>
                <w:color w:val="auto"/>
                <w:kern w:val="0"/>
                <w:sz w:val="18"/>
                <w:szCs w:val="18"/>
              </w:rPr>
            </w:pPr>
            <w:r>
              <w:rPr>
                <w:rFonts w:cs="Times New Roman"/>
                <w:color w:val="auto"/>
                <w:kern w:val="0"/>
                <w:sz w:val="18"/>
                <w:szCs w:val="18"/>
              </w:rPr>
              <w:t>1.0</w:t>
            </w:r>
          </w:p>
        </w:tc>
        <w:tc>
          <w:tcPr>
            <w:tcW w:w="1356" w:type="dxa"/>
          </w:tcPr>
          <w:p w14:paraId="460E40A4">
            <w:pPr>
              <w:jc w:val="center"/>
              <w:rPr>
                <w:rFonts w:cs="Times New Roman"/>
                <w:color w:val="auto"/>
                <w:kern w:val="0"/>
                <w:sz w:val="18"/>
                <w:szCs w:val="18"/>
              </w:rPr>
            </w:pPr>
          </w:p>
        </w:tc>
      </w:tr>
      <w:tr w14:paraId="401798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C175642">
            <w:pPr>
              <w:rPr>
                <w:rFonts w:cs="Times New Roman"/>
                <w:color w:val="auto"/>
                <w:kern w:val="0"/>
                <w:sz w:val="18"/>
                <w:szCs w:val="18"/>
              </w:rPr>
            </w:pPr>
            <w:r>
              <w:rPr>
                <w:rFonts w:cs="Times New Roman"/>
                <w:color w:val="auto"/>
                <w:kern w:val="0"/>
                <w:sz w:val="18"/>
                <w:szCs w:val="18"/>
              </w:rPr>
              <w:t> </w:t>
            </w:r>
            <w:r>
              <w:rPr>
                <w:rFonts w:hint="eastAsia" w:cs="Times New Roman"/>
                <w:color w:val="auto"/>
                <w:kern w:val="0"/>
                <w:sz w:val="18"/>
                <w:szCs w:val="18"/>
              </w:rPr>
              <w:t xml:space="preserve"> Yes</w:t>
            </w:r>
          </w:p>
        </w:tc>
        <w:tc>
          <w:tcPr>
            <w:tcW w:w="2268" w:type="dxa"/>
          </w:tcPr>
          <w:p w14:paraId="3655052F">
            <w:pPr>
              <w:jc w:val="center"/>
              <w:rPr>
                <w:rFonts w:cs="Times New Roman"/>
                <w:color w:val="auto"/>
                <w:kern w:val="0"/>
                <w:sz w:val="18"/>
                <w:szCs w:val="18"/>
              </w:rPr>
            </w:pPr>
            <w:r>
              <w:rPr>
                <w:rFonts w:cs="Times New Roman"/>
                <w:color w:val="auto"/>
                <w:kern w:val="0"/>
                <w:sz w:val="18"/>
                <w:szCs w:val="18"/>
              </w:rPr>
              <w:t>8391 (70.92%)</w:t>
            </w:r>
          </w:p>
        </w:tc>
        <w:tc>
          <w:tcPr>
            <w:tcW w:w="2126" w:type="dxa"/>
          </w:tcPr>
          <w:p w14:paraId="76B4A26E">
            <w:pPr>
              <w:jc w:val="center"/>
              <w:rPr>
                <w:rFonts w:cs="Times New Roman"/>
                <w:color w:val="auto"/>
                <w:kern w:val="0"/>
                <w:sz w:val="18"/>
                <w:szCs w:val="18"/>
              </w:rPr>
            </w:pPr>
            <w:r>
              <w:rPr>
                <w:rFonts w:cs="Times New Roman"/>
                <w:color w:val="auto"/>
                <w:kern w:val="0"/>
                <w:sz w:val="18"/>
                <w:szCs w:val="18"/>
              </w:rPr>
              <w:t>0.71 (0.59, 0.86)</w:t>
            </w:r>
          </w:p>
        </w:tc>
        <w:tc>
          <w:tcPr>
            <w:tcW w:w="1356" w:type="dxa"/>
          </w:tcPr>
          <w:p w14:paraId="0AC8454F">
            <w:pPr>
              <w:jc w:val="center"/>
              <w:rPr>
                <w:rFonts w:cs="Times New Roman"/>
                <w:color w:val="auto"/>
                <w:kern w:val="0"/>
                <w:sz w:val="18"/>
                <w:szCs w:val="18"/>
              </w:rPr>
            </w:pPr>
            <w:r>
              <w:rPr>
                <w:rFonts w:cs="Times New Roman"/>
                <w:color w:val="auto"/>
                <w:kern w:val="0"/>
                <w:sz w:val="18"/>
                <w:szCs w:val="18"/>
              </w:rPr>
              <w:t>0.0005</w:t>
            </w:r>
          </w:p>
        </w:tc>
      </w:tr>
      <w:tr w14:paraId="1EC74C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435E431">
            <w:pPr>
              <w:rPr>
                <w:rFonts w:cs="Times New Roman"/>
                <w:color w:val="auto"/>
                <w:kern w:val="0"/>
                <w:sz w:val="18"/>
                <w:szCs w:val="18"/>
              </w:rPr>
            </w:pPr>
            <w:r>
              <w:rPr>
                <w:rFonts w:cs="Times New Roman"/>
                <w:color w:val="auto"/>
                <w:kern w:val="0"/>
                <w:sz w:val="18"/>
                <w:szCs w:val="18"/>
              </w:rPr>
              <w:t>BMI, mean (SD), kg/m</w:t>
            </w:r>
            <w:r>
              <w:rPr>
                <w:rFonts w:cs="Times New Roman"/>
                <w:color w:val="auto"/>
                <w:kern w:val="0"/>
                <w:sz w:val="18"/>
                <w:szCs w:val="18"/>
                <w:vertAlign w:val="superscript"/>
              </w:rPr>
              <w:t>2</w:t>
            </w:r>
          </w:p>
        </w:tc>
        <w:tc>
          <w:tcPr>
            <w:tcW w:w="2268" w:type="dxa"/>
          </w:tcPr>
          <w:p w14:paraId="02801095">
            <w:pPr>
              <w:jc w:val="center"/>
              <w:rPr>
                <w:rFonts w:cs="Times New Roman"/>
                <w:color w:val="auto"/>
                <w:kern w:val="0"/>
                <w:sz w:val="18"/>
                <w:szCs w:val="18"/>
              </w:rPr>
            </w:pPr>
            <w:r>
              <w:rPr>
                <w:rFonts w:cs="Times New Roman"/>
                <w:color w:val="auto"/>
                <w:kern w:val="0"/>
                <w:sz w:val="18"/>
                <w:szCs w:val="18"/>
              </w:rPr>
              <w:t>29.30 ± 7.09</w:t>
            </w:r>
          </w:p>
        </w:tc>
        <w:tc>
          <w:tcPr>
            <w:tcW w:w="2126" w:type="dxa"/>
          </w:tcPr>
          <w:p w14:paraId="0608E35F">
            <w:pPr>
              <w:jc w:val="center"/>
              <w:rPr>
                <w:rFonts w:cs="Times New Roman"/>
                <w:color w:val="auto"/>
                <w:kern w:val="0"/>
                <w:sz w:val="18"/>
                <w:szCs w:val="18"/>
              </w:rPr>
            </w:pPr>
            <w:r>
              <w:rPr>
                <w:rFonts w:cs="Times New Roman"/>
                <w:color w:val="auto"/>
                <w:kern w:val="0"/>
                <w:sz w:val="18"/>
                <w:szCs w:val="18"/>
              </w:rPr>
              <w:t>1.00 (0.99, 1.01)</w:t>
            </w:r>
          </w:p>
        </w:tc>
        <w:tc>
          <w:tcPr>
            <w:tcW w:w="1356" w:type="dxa"/>
          </w:tcPr>
          <w:p w14:paraId="1E0772AE">
            <w:pPr>
              <w:jc w:val="center"/>
              <w:rPr>
                <w:rFonts w:cs="Times New Roman"/>
                <w:color w:val="auto"/>
                <w:kern w:val="0"/>
                <w:sz w:val="18"/>
                <w:szCs w:val="18"/>
              </w:rPr>
            </w:pPr>
            <w:r>
              <w:rPr>
                <w:rFonts w:cs="Times New Roman"/>
                <w:color w:val="auto"/>
                <w:kern w:val="0"/>
                <w:sz w:val="18"/>
                <w:szCs w:val="18"/>
              </w:rPr>
              <w:t>0.7941</w:t>
            </w:r>
          </w:p>
        </w:tc>
      </w:tr>
      <w:tr w14:paraId="0F9619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ECAD5C8">
            <w:pPr>
              <w:rPr>
                <w:rFonts w:cs="Times New Roman"/>
                <w:color w:val="auto"/>
                <w:kern w:val="0"/>
                <w:sz w:val="18"/>
                <w:szCs w:val="18"/>
              </w:rPr>
            </w:pPr>
            <w:r>
              <w:rPr>
                <w:rFonts w:cs="Times New Roman"/>
                <w:color w:val="auto"/>
                <w:kern w:val="0"/>
                <w:sz w:val="18"/>
                <w:szCs w:val="18"/>
              </w:rPr>
              <w:t>PIR</w:t>
            </w:r>
          </w:p>
        </w:tc>
        <w:tc>
          <w:tcPr>
            <w:tcW w:w="2268" w:type="dxa"/>
          </w:tcPr>
          <w:p w14:paraId="2678515B">
            <w:pPr>
              <w:jc w:val="center"/>
              <w:rPr>
                <w:rFonts w:cs="Times New Roman"/>
                <w:color w:val="auto"/>
                <w:kern w:val="0"/>
                <w:sz w:val="18"/>
                <w:szCs w:val="18"/>
              </w:rPr>
            </w:pPr>
            <w:r>
              <w:rPr>
                <w:rFonts w:cs="Times New Roman"/>
                <w:color w:val="auto"/>
                <w:kern w:val="0"/>
                <w:sz w:val="18"/>
                <w:szCs w:val="18"/>
              </w:rPr>
              <w:t>2.50 ± 1.61</w:t>
            </w:r>
          </w:p>
        </w:tc>
        <w:tc>
          <w:tcPr>
            <w:tcW w:w="2126" w:type="dxa"/>
          </w:tcPr>
          <w:p w14:paraId="70D5DD3B">
            <w:pPr>
              <w:jc w:val="center"/>
              <w:rPr>
                <w:rFonts w:cs="Times New Roman"/>
                <w:color w:val="auto"/>
                <w:kern w:val="0"/>
                <w:sz w:val="18"/>
                <w:szCs w:val="18"/>
              </w:rPr>
            </w:pPr>
            <w:r>
              <w:rPr>
                <w:rFonts w:cs="Times New Roman"/>
                <w:color w:val="auto"/>
                <w:kern w:val="0"/>
                <w:sz w:val="18"/>
                <w:szCs w:val="18"/>
              </w:rPr>
              <w:t>0.87 (0.82, 0.92) &lt;0.0001</w:t>
            </w:r>
          </w:p>
        </w:tc>
        <w:tc>
          <w:tcPr>
            <w:tcW w:w="1356" w:type="dxa"/>
          </w:tcPr>
          <w:p w14:paraId="57952415">
            <w:pPr>
              <w:jc w:val="center"/>
              <w:rPr>
                <w:rFonts w:cs="Times New Roman"/>
                <w:color w:val="auto"/>
                <w:kern w:val="0"/>
                <w:sz w:val="18"/>
                <w:szCs w:val="18"/>
              </w:rPr>
            </w:pPr>
          </w:p>
        </w:tc>
      </w:tr>
      <w:tr w14:paraId="22B772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C4A6AB3">
            <w:pPr>
              <w:rPr>
                <w:rFonts w:cs="Times New Roman"/>
                <w:color w:val="auto"/>
                <w:kern w:val="0"/>
                <w:sz w:val="18"/>
                <w:szCs w:val="18"/>
              </w:rPr>
            </w:pPr>
            <w:r>
              <w:rPr>
                <w:rFonts w:cs="Times New Roman"/>
                <w:color w:val="auto"/>
                <w:kern w:val="0"/>
                <w:sz w:val="18"/>
                <w:szCs w:val="18"/>
              </w:rPr>
              <w:t>Hypertension, (%)</w:t>
            </w:r>
          </w:p>
        </w:tc>
        <w:tc>
          <w:tcPr>
            <w:tcW w:w="2268" w:type="dxa"/>
          </w:tcPr>
          <w:p w14:paraId="1DEC0A01">
            <w:pPr>
              <w:jc w:val="center"/>
              <w:rPr>
                <w:rFonts w:cs="Times New Roman"/>
                <w:color w:val="auto"/>
                <w:kern w:val="0"/>
                <w:sz w:val="18"/>
                <w:szCs w:val="18"/>
              </w:rPr>
            </w:pPr>
          </w:p>
        </w:tc>
        <w:tc>
          <w:tcPr>
            <w:tcW w:w="2126" w:type="dxa"/>
          </w:tcPr>
          <w:p w14:paraId="03488BF4">
            <w:pPr>
              <w:jc w:val="center"/>
              <w:rPr>
                <w:rFonts w:cs="Times New Roman"/>
                <w:color w:val="auto"/>
                <w:kern w:val="0"/>
                <w:sz w:val="18"/>
                <w:szCs w:val="18"/>
              </w:rPr>
            </w:pPr>
          </w:p>
        </w:tc>
        <w:tc>
          <w:tcPr>
            <w:tcW w:w="1356" w:type="dxa"/>
          </w:tcPr>
          <w:p w14:paraId="112DBCFA">
            <w:pPr>
              <w:jc w:val="center"/>
              <w:rPr>
                <w:rFonts w:cs="Times New Roman"/>
                <w:color w:val="auto"/>
                <w:kern w:val="0"/>
                <w:sz w:val="18"/>
                <w:szCs w:val="18"/>
              </w:rPr>
            </w:pPr>
          </w:p>
        </w:tc>
      </w:tr>
      <w:tr w14:paraId="42EC99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72A41165">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2268" w:type="dxa"/>
          </w:tcPr>
          <w:p w14:paraId="1B3C42DC">
            <w:pPr>
              <w:jc w:val="center"/>
              <w:rPr>
                <w:rFonts w:cs="Times New Roman"/>
                <w:color w:val="auto"/>
                <w:kern w:val="0"/>
                <w:sz w:val="18"/>
                <w:szCs w:val="18"/>
              </w:rPr>
            </w:pPr>
            <w:r>
              <w:rPr>
                <w:rFonts w:cs="Times New Roman"/>
                <w:color w:val="auto"/>
                <w:kern w:val="0"/>
                <w:sz w:val="18"/>
                <w:szCs w:val="18"/>
              </w:rPr>
              <w:t>9155 (60.94%)</w:t>
            </w:r>
          </w:p>
        </w:tc>
        <w:tc>
          <w:tcPr>
            <w:tcW w:w="2126" w:type="dxa"/>
          </w:tcPr>
          <w:p w14:paraId="71DDAC70">
            <w:pPr>
              <w:jc w:val="center"/>
              <w:rPr>
                <w:rFonts w:cs="Times New Roman"/>
                <w:color w:val="auto"/>
                <w:kern w:val="0"/>
                <w:sz w:val="18"/>
                <w:szCs w:val="18"/>
              </w:rPr>
            </w:pPr>
            <w:r>
              <w:rPr>
                <w:rFonts w:cs="Times New Roman"/>
                <w:color w:val="auto"/>
                <w:kern w:val="0"/>
                <w:sz w:val="18"/>
                <w:szCs w:val="18"/>
              </w:rPr>
              <w:t>1.0</w:t>
            </w:r>
          </w:p>
        </w:tc>
        <w:tc>
          <w:tcPr>
            <w:tcW w:w="1356" w:type="dxa"/>
          </w:tcPr>
          <w:p w14:paraId="602D3F91">
            <w:pPr>
              <w:jc w:val="center"/>
              <w:rPr>
                <w:rFonts w:cs="Times New Roman"/>
                <w:color w:val="auto"/>
                <w:kern w:val="0"/>
                <w:sz w:val="18"/>
                <w:szCs w:val="18"/>
              </w:rPr>
            </w:pPr>
          </w:p>
        </w:tc>
      </w:tr>
      <w:tr w14:paraId="2FEAB7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9D099A8">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2268" w:type="dxa"/>
          </w:tcPr>
          <w:p w14:paraId="22A375A9">
            <w:pPr>
              <w:jc w:val="center"/>
              <w:rPr>
                <w:rFonts w:cs="Times New Roman"/>
                <w:color w:val="auto"/>
                <w:kern w:val="0"/>
                <w:sz w:val="18"/>
                <w:szCs w:val="18"/>
              </w:rPr>
            </w:pPr>
            <w:r>
              <w:rPr>
                <w:rFonts w:cs="Times New Roman"/>
                <w:color w:val="auto"/>
                <w:kern w:val="0"/>
                <w:sz w:val="18"/>
                <w:szCs w:val="18"/>
              </w:rPr>
              <w:t>5867 (39.06%)</w:t>
            </w:r>
          </w:p>
        </w:tc>
        <w:tc>
          <w:tcPr>
            <w:tcW w:w="2126" w:type="dxa"/>
          </w:tcPr>
          <w:p w14:paraId="73E58DA3">
            <w:pPr>
              <w:jc w:val="center"/>
              <w:rPr>
                <w:rFonts w:cs="Times New Roman"/>
                <w:color w:val="auto"/>
                <w:kern w:val="0"/>
                <w:sz w:val="18"/>
                <w:szCs w:val="18"/>
              </w:rPr>
            </w:pPr>
            <w:r>
              <w:rPr>
                <w:rFonts w:cs="Times New Roman"/>
                <w:color w:val="auto"/>
                <w:kern w:val="0"/>
                <w:sz w:val="18"/>
                <w:szCs w:val="18"/>
              </w:rPr>
              <w:t>3.68 (3.05, 4.44)</w:t>
            </w:r>
          </w:p>
        </w:tc>
        <w:tc>
          <w:tcPr>
            <w:tcW w:w="1356" w:type="dxa"/>
          </w:tcPr>
          <w:p w14:paraId="48779DBA">
            <w:pPr>
              <w:jc w:val="center"/>
              <w:rPr>
                <w:rFonts w:cs="Times New Roman"/>
                <w:color w:val="auto"/>
                <w:kern w:val="0"/>
                <w:sz w:val="18"/>
                <w:szCs w:val="18"/>
              </w:rPr>
            </w:pPr>
            <w:r>
              <w:rPr>
                <w:rFonts w:cs="Times New Roman"/>
                <w:color w:val="auto"/>
                <w:kern w:val="0"/>
                <w:sz w:val="18"/>
                <w:szCs w:val="18"/>
              </w:rPr>
              <w:t>&lt;0.0001</w:t>
            </w:r>
          </w:p>
        </w:tc>
      </w:tr>
      <w:tr w14:paraId="334F69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A931A70">
            <w:pPr>
              <w:rPr>
                <w:rFonts w:cs="Times New Roman"/>
                <w:color w:val="auto"/>
                <w:kern w:val="0"/>
                <w:sz w:val="18"/>
                <w:szCs w:val="18"/>
              </w:rPr>
            </w:pPr>
            <w:r>
              <w:rPr>
                <w:rFonts w:cs="Times New Roman"/>
                <w:color w:val="auto"/>
                <w:kern w:val="0"/>
                <w:sz w:val="18"/>
                <w:szCs w:val="18"/>
              </w:rPr>
              <w:t>Diabetes</w:t>
            </w:r>
            <w:r>
              <w:rPr>
                <w:rFonts w:hint="eastAsia" w:cs="Times New Roman"/>
                <w:color w:val="auto"/>
                <w:kern w:val="0"/>
                <w:sz w:val="18"/>
                <w:szCs w:val="18"/>
              </w:rPr>
              <w:t>, (%)</w:t>
            </w:r>
          </w:p>
        </w:tc>
        <w:tc>
          <w:tcPr>
            <w:tcW w:w="2268" w:type="dxa"/>
          </w:tcPr>
          <w:p w14:paraId="586A260F">
            <w:pPr>
              <w:jc w:val="center"/>
              <w:rPr>
                <w:rFonts w:cs="Times New Roman"/>
                <w:color w:val="auto"/>
                <w:kern w:val="0"/>
                <w:sz w:val="18"/>
                <w:szCs w:val="18"/>
              </w:rPr>
            </w:pPr>
          </w:p>
        </w:tc>
        <w:tc>
          <w:tcPr>
            <w:tcW w:w="2126" w:type="dxa"/>
          </w:tcPr>
          <w:p w14:paraId="7B42F273">
            <w:pPr>
              <w:jc w:val="center"/>
              <w:rPr>
                <w:rFonts w:cs="Times New Roman"/>
                <w:color w:val="auto"/>
                <w:kern w:val="0"/>
                <w:sz w:val="18"/>
                <w:szCs w:val="18"/>
              </w:rPr>
            </w:pPr>
          </w:p>
        </w:tc>
        <w:tc>
          <w:tcPr>
            <w:tcW w:w="1356" w:type="dxa"/>
          </w:tcPr>
          <w:p w14:paraId="525C2049">
            <w:pPr>
              <w:jc w:val="center"/>
              <w:rPr>
                <w:rFonts w:cs="Times New Roman"/>
                <w:color w:val="auto"/>
                <w:kern w:val="0"/>
                <w:sz w:val="18"/>
                <w:szCs w:val="18"/>
              </w:rPr>
            </w:pPr>
          </w:p>
        </w:tc>
      </w:tr>
      <w:tr w14:paraId="1352E4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8991E22">
            <w:pPr>
              <w:rPr>
                <w:rFonts w:cs="Times New Roman"/>
                <w:color w:val="auto"/>
                <w:kern w:val="0"/>
                <w:sz w:val="18"/>
                <w:szCs w:val="18"/>
              </w:rPr>
            </w:pPr>
            <w:r>
              <w:rPr>
                <w:rFonts w:cs="Times New Roman"/>
                <w:color w:val="auto"/>
                <w:kern w:val="0"/>
                <w:sz w:val="18"/>
                <w:szCs w:val="18"/>
              </w:rPr>
              <w:t>  </w:t>
            </w:r>
            <w:r>
              <w:rPr>
                <w:rFonts w:hint="eastAsia" w:cs="Times New Roman"/>
                <w:color w:val="auto"/>
                <w:kern w:val="0"/>
                <w:sz w:val="18"/>
                <w:szCs w:val="18"/>
              </w:rPr>
              <w:t xml:space="preserve"> No</w:t>
            </w:r>
          </w:p>
        </w:tc>
        <w:tc>
          <w:tcPr>
            <w:tcW w:w="2268" w:type="dxa"/>
          </w:tcPr>
          <w:p w14:paraId="7525ABFB">
            <w:pPr>
              <w:jc w:val="center"/>
              <w:rPr>
                <w:rFonts w:cs="Times New Roman"/>
                <w:color w:val="auto"/>
                <w:kern w:val="0"/>
                <w:sz w:val="18"/>
                <w:szCs w:val="18"/>
              </w:rPr>
            </w:pPr>
            <w:r>
              <w:rPr>
                <w:rFonts w:cs="Times New Roman"/>
                <w:color w:val="auto"/>
                <w:kern w:val="0"/>
                <w:sz w:val="18"/>
                <w:szCs w:val="18"/>
              </w:rPr>
              <w:t>11425 (76.99%)</w:t>
            </w:r>
          </w:p>
        </w:tc>
        <w:tc>
          <w:tcPr>
            <w:tcW w:w="2126" w:type="dxa"/>
          </w:tcPr>
          <w:p w14:paraId="4143ADC6">
            <w:pPr>
              <w:jc w:val="center"/>
              <w:rPr>
                <w:rFonts w:cs="Times New Roman"/>
                <w:color w:val="auto"/>
                <w:kern w:val="0"/>
                <w:sz w:val="18"/>
                <w:szCs w:val="18"/>
              </w:rPr>
            </w:pPr>
            <w:r>
              <w:rPr>
                <w:rFonts w:cs="Times New Roman"/>
                <w:color w:val="auto"/>
                <w:kern w:val="0"/>
                <w:sz w:val="18"/>
                <w:szCs w:val="18"/>
              </w:rPr>
              <w:t>1.0</w:t>
            </w:r>
          </w:p>
        </w:tc>
        <w:tc>
          <w:tcPr>
            <w:tcW w:w="1356" w:type="dxa"/>
          </w:tcPr>
          <w:p w14:paraId="5C6E6CDB">
            <w:pPr>
              <w:jc w:val="center"/>
              <w:rPr>
                <w:rFonts w:cs="Times New Roman"/>
                <w:color w:val="auto"/>
                <w:kern w:val="0"/>
                <w:sz w:val="18"/>
                <w:szCs w:val="18"/>
              </w:rPr>
            </w:pPr>
          </w:p>
        </w:tc>
      </w:tr>
      <w:tr w14:paraId="7B3076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6E2529FE">
            <w:pPr>
              <w:rPr>
                <w:rFonts w:cs="Times New Roman"/>
                <w:color w:val="auto"/>
                <w:kern w:val="0"/>
                <w:sz w:val="18"/>
                <w:szCs w:val="18"/>
              </w:rPr>
            </w:pPr>
            <w:r>
              <w:rPr>
                <w:rFonts w:cs="Times New Roman"/>
                <w:color w:val="auto"/>
                <w:kern w:val="0"/>
                <w:sz w:val="18"/>
                <w:szCs w:val="18"/>
              </w:rPr>
              <w:t> </w:t>
            </w:r>
            <w:r>
              <w:rPr>
                <w:rFonts w:hint="eastAsia" w:cs="Times New Roman"/>
                <w:color w:val="auto"/>
                <w:kern w:val="0"/>
                <w:sz w:val="18"/>
                <w:szCs w:val="18"/>
              </w:rPr>
              <w:t xml:space="preserve"> Yes</w:t>
            </w:r>
          </w:p>
        </w:tc>
        <w:tc>
          <w:tcPr>
            <w:tcW w:w="2268" w:type="dxa"/>
          </w:tcPr>
          <w:p w14:paraId="22C8E392">
            <w:pPr>
              <w:jc w:val="center"/>
              <w:rPr>
                <w:rFonts w:cs="Times New Roman"/>
                <w:color w:val="auto"/>
                <w:kern w:val="0"/>
                <w:sz w:val="18"/>
                <w:szCs w:val="18"/>
              </w:rPr>
            </w:pPr>
            <w:r>
              <w:rPr>
                <w:rFonts w:cs="Times New Roman"/>
                <w:color w:val="auto"/>
                <w:kern w:val="0"/>
                <w:sz w:val="18"/>
                <w:szCs w:val="18"/>
              </w:rPr>
              <w:t>3415 (23.01%)</w:t>
            </w:r>
          </w:p>
        </w:tc>
        <w:tc>
          <w:tcPr>
            <w:tcW w:w="2126" w:type="dxa"/>
          </w:tcPr>
          <w:p w14:paraId="0FCF19E8">
            <w:pPr>
              <w:jc w:val="center"/>
              <w:rPr>
                <w:rFonts w:cs="Times New Roman"/>
                <w:color w:val="auto"/>
                <w:kern w:val="0"/>
                <w:sz w:val="18"/>
                <w:szCs w:val="18"/>
              </w:rPr>
            </w:pPr>
            <w:r>
              <w:rPr>
                <w:rFonts w:cs="Times New Roman"/>
                <w:color w:val="auto"/>
                <w:kern w:val="0"/>
                <w:sz w:val="18"/>
                <w:szCs w:val="18"/>
              </w:rPr>
              <w:t>3.34 (2.80, 3.98)</w:t>
            </w:r>
          </w:p>
        </w:tc>
        <w:tc>
          <w:tcPr>
            <w:tcW w:w="1356" w:type="dxa"/>
          </w:tcPr>
          <w:p w14:paraId="17217FCC">
            <w:pPr>
              <w:jc w:val="center"/>
              <w:rPr>
                <w:rFonts w:cs="Times New Roman"/>
                <w:color w:val="auto"/>
                <w:kern w:val="0"/>
                <w:sz w:val="18"/>
                <w:szCs w:val="18"/>
              </w:rPr>
            </w:pPr>
            <w:r>
              <w:rPr>
                <w:rFonts w:cs="Times New Roman"/>
                <w:color w:val="auto"/>
                <w:kern w:val="0"/>
                <w:sz w:val="18"/>
                <w:szCs w:val="18"/>
              </w:rPr>
              <w:t>&lt;0.0001</w:t>
            </w:r>
          </w:p>
        </w:tc>
      </w:tr>
      <w:tr w14:paraId="3C3B8C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D3FBC1D">
            <w:pPr>
              <w:rPr>
                <w:rFonts w:cs="Times New Roman"/>
                <w:color w:val="auto"/>
                <w:kern w:val="0"/>
                <w:sz w:val="18"/>
                <w:szCs w:val="18"/>
              </w:rPr>
            </w:pPr>
            <w:r>
              <w:rPr>
                <w:rFonts w:hint="eastAsia" w:cs="Times New Roman"/>
                <w:color w:val="auto"/>
                <w:kern w:val="0"/>
                <w:sz w:val="18"/>
                <w:szCs w:val="18"/>
              </w:rPr>
              <w:t xml:space="preserve">Stroke, </w:t>
            </w:r>
            <w:r>
              <w:rPr>
                <w:rFonts w:cs="Times New Roman"/>
                <w:color w:val="auto"/>
                <w:kern w:val="0"/>
                <w:sz w:val="18"/>
                <w:szCs w:val="18"/>
              </w:rPr>
              <w:t>(%)</w:t>
            </w:r>
          </w:p>
        </w:tc>
        <w:tc>
          <w:tcPr>
            <w:tcW w:w="2268" w:type="dxa"/>
          </w:tcPr>
          <w:p w14:paraId="6120584F">
            <w:pPr>
              <w:jc w:val="center"/>
              <w:rPr>
                <w:rFonts w:cs="Times New Roman"/>
                <w:color w:val="auto"/>
                <w:kern w:val="0"/>
                <w:sz w:val="18"/>
                <w:szCs w:val="18"/>
              </w:rPr>
            </w:pPr>
          </w:p>
        </w:tc>
        <w:tc>
          <w:tcPr>
            <w:tcW w:w="2126" w:type="dxa"/>
          </w:tcPr>
          <w:p w14:paraId="30E8BC3F">
            <w:pPr>
              <w:jc w:val="center"/>
              <w:rPr>
                <w:rFonts w:cs="Times New Roman"/>
                <w:color w:val="auto"/>
                <w:kern w:val="0"/>
                <w:sz w:val="18"/>
                <w:szCs w:val="18"/>
              </w:rPr>
            </w:pPr>
          </w:p>
        </w:tc>
        <w:tc>
          <w:tcPr>
            <w:tcW w:w="1356" w:type="dxa"/>
          </w:tcPr>
          <w:p w14:paraId="6B8A85CA">
            <w:pPr>
              <w:jc w:val="center"/>
              <w:rPr>
                <w:rFonts w:cs="Times New Roman"/>
                <w:color w:val="auto"/>
                <w:kern w:val="0"/>
                <w:sz w:val="18"/>
                <w:szCs w:val="18"/>
              </w:rPr>
            </w:pPr>
          </w:p>
        </w:tc>
      </w:tr>
      <w:tr w14:paraId="25233D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388BB9F">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No</w:t>
            </w:r>
          </w:p>
        </w:tc>
        <w:tc>
          <w:tcPr>
            <w:tcW w:w="2268" w:type="dxa"/>
          </w:tcPr>
          <w:p w14:paraId="3F92AF68">
            <w:pPr>
              <w:jc w:val="center"/>
              <w:rPr>
                <w:rFonts w:cs="Times New Roman"/>
                <w:color w:val="auto"/>
                <w:kern w:val="0"/>
                <w:sz w:val="18"/>
                <w:szCs w:val="18"/>
              </w:rPr>
            </w:pPr>
            <w:r>
              <w:rPr>
                <w:rFonts w:cs="Times New Roman"/>
                <w:color w:val="auto"/>
                <w:kern w:val="0"/>
                <w:sz w:val="18"/>
                <w:szCs w:val="18"/>
              </w:rPr>
              <w:t>14421 (95.96%)</w:t>
            </w:r>
          </w:p>
        </w:tc>
        <w:tc>
          <w:tcPr>
            <w:tcW w:w="2126" w:type="dxa"/>
          </w:tcPr>
          <w:p w14:paraId="79601127">
            <w:pPr>
              <w:jc w:val="center"/>
              <w:rPr>
                <w:rFonts w:cs="Times New Roman"/>
                <w:color w:val="auto"/>
                <w:kern w:val="0"/>
                <w:sz w:val="18"/>
                <w:szCs w:val="18"/>
              </w:rPr>
            </w:pPr>
            <w:r>
              <w:rPr>
                <w:rFonts w:cs="Times New Roman"/>
                <w:color w:val="auto"/>
                <w:kern w:val="0"/>
                <w:sz w:val="18"/>
                <w:szCs w:val="18"/>
              </w:rPr>
              <w:t>1.0</w:t>
            </w:r>
          </w:p>
        </w:tc>
        <w:tc>
          <w:tcPr>
            <w:tcW w:w="1356" w:type="dxa"/>
          </w:tcPr>
          <w:p w14:paraId="757F0657">
            <w:pPr>
              <w:jc w:val="center"/>
              <w:rPr>
                <w:rFonts w:cs="Times New Roman"/>
                <w:color w:val="auto"/>
                <w:kern w:val="0"/>
                <w:sz w:val="18"/>
                <w:szCs w:val="18"/>
              </w:rPr>
            </w:pPr>
          </w:p>
        </w:tc>
      </w:tr>
      <w:tr w14:paraId="1EA157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53FB481E">
            <w:pPr>
              <w:rPr>
                <w:rFonts w:cs="Times New Roman"/>
                <w:color w:val="auto"/>
                <w:kern w:val="0"/>
                <w:sz w:val="18"/>
                <w:szCs w:val="18"/>
              </w:rPr>
            </w:pPr>
            <w:r>
              <w:rPr>
                <w:rFonts w:cs="Times New Roman"/>
                <w:color w:val="auto"/>
                <w:kern w:val="0"/>
                <w:sz w:val="18"/>
                <w:szCs w:val="18"/>
              </w:rPr>
              <w:t xml:space="preserve">   </w:t>
            </w:r>
            <w:r>
              <w:rPr>
                <w:rFonts w:hint="eastAsia" w:cs="Times New Roman"/>
                <w:color w:val="auto"/>
                <w:kern w:val="0"/>
                <w:sz w:val="18"/>
                <w:szCs w:val="18"/>
              </w:rPr>
              <w:t>Yes</w:t>
            </w:r>
          </w:p>
        </w:tc>
        <w:tc>
          <w:tcPr>
            <w:tcW w:w="2268" w:type="dxa"/>
          </w:tcPr>
          <w:p w14:paraId="6A0A80F6">
            <w:pPr>
              <w:jc w:val="center"/>
              <w:rPr>
                <w:rFonts w:cs="Times New Roman"/>
                <w:color w:val="auto"/>
                <w:kern w:val="0"/>
                <w:sz w:val="18"/>
                <w:szCs w:val="18"/>
              </w:rPr>
            </w:pPr>
            <w:r>
              <w:rPr>
                <w:rFonts w:cs="Times New Roman"/>
                <w:color w:val="auto"/>
                <w:kern w:val="0"/>
                <w:sz w:val="18"/>
                <w:szCs w:val="18"/>
              </w:rPr>
              <w:t>607 (4.04%)</w:t>
            </w:r>
          </w:p>
        </w:tc>
        <w:tc>
          <w:tcPr>
            <w:tcW w:w="2126" w:type="dxa"/>
          </w:tcPr>
          <w:p w14:paraId="300243F2">
            <w:pPr>
              <w:jc w:val="center"/>
              <w:rPr>
                <w:rFonts w:cs="Times New Roman"/>
                <w:color w:val="auto"/>
                <w:kern w:val="0"/>
                <w:sz w:val="18"/>
                <w:szCs w:val="18"/>
              </w:rPr>
            </w:pPr>
            <w:r>
              <w:rPr>
                <w:rFonts w:cs="Times New Roman"/>
                <w:color w:val="auto"/>
                <w:kern w:val="0"/>
                <w:sz w:val="18"/>
                <w:szCs w:val="18"/>
              </w:rPr>
              <w:t>5.30 (4.16, 6.76)</w:t>
            </w:r>
          </w:p>
        </w:tc>
        <w:tc>
          <w:tcPr>
            <w:tcW w:w="1356" w:type="dxa"/>
          </w:tcPr>
          <w:p w14:paraId="61F567F0">
            <w:pPr>
              <w:jc w:val="center"/>
              <w:rPr>
                <w:rFonts w:cs="Times New Roman"/>
                <w:color w:val="auto"/>
                <w:kern w:val="0"/>
                <w:sz w:val="18"/>
                <w:szCs w:val="18"/>
              </w:rPr>
            </w:pPr>
            <w:r>
              <w:rPr>
                <w:rFonts w:cs="Times New Roman"/>
                <w:color w:val="auto"/>
                <w:kern w:val="0"/>
                <w:sz w:val="18"/>
                <w:szCs w:val="18"/>
              </w:rPr>
              <w:t>&lt;0.0001</w:t>
            </w:r>
          </w:p>
        </w:tc>
      </w:tr>
      <w:tr w14:paraId="6910E4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2EB5FA1B">
            <w:pPr>
              <w:rPr>
                <w:rFonts w:cs="Times New Roman"/>
                <w:color w:val="auto"/>
                <w:kern w:val="0"/>
                <w:sz w:val="18"/>
                <w:szCs w:val="18"/>
              </w:rPr>
            </w:pPr>
            <w:r>
              <w:rPr>
                <w:rFonts w:cs="Times New Roman"/>
                <w:color w:val="auto"/>
                <w:kern w:val="0"/>
                <w:sz w:val="18"/>
                <w:szCs w:val="18"/>
              </w:rPr>
              <w:t>BU</w:t>
            </w:r>
            <w:r>
              <w:rPr>
                <w:rFonts w:hint="eastAsia" w:cs="Times New Roman"/>
                <w:color w:val="auto"/>
                <w:kern w:val="0"/>
                <w:sz w:val="18"/>
                <w:szCs w:val="18"/>
              </w:rPr>
              <w:t xml:space="preserve">N, </w:t>
            </w:r>
            <w:r>
              <w:rPr>
                <w:rFonts w:cs="Times New Roman"/>
                <w:color w:val="auto"/>
                <w:kern w:val="0"/>
                <w:sz w:val="18"/>
                <w:szCs w:val="18"/>
              </w:rPr>
              <w:t>mg/dL</w:t>
            </w:r>
          </w:p>
        </w:tc>
        <w:tc>
          <w:tcPr>
            <w:tcW w:w="2268" w:type="dxa"/>
          </w:tcPr>
          <w:p w14:paraId="1648B8B3">
            <w:pPr>
              <w:jc w:val="center"/>
              <w:rPr>
                <w:rFonts w:cs="Times New Roman"/>
                <w:color w:val="auto"/>
                <w:kern w:val="0"/>
                <w:sz w:val="18"/>
                <w:szCs w:val="18"/>
              </w:rPr>
            </w:pPr>
            <w:r>
              <w:rPr>
                <w:rFonts w:cs="Times New Roman"/>
                <w:color w:val="auto"/>
                <w:kern w:val="0"/>
                <w:sz w:val="18"/>
                <w:szCs w:val="18"/>
              </w:rPr>
              <w:t>13.73 ± 6.09</w:t>
            </w:r>
          </w:p>
        </w:tc>
        <w:tc>
          <w:tcPr>
            <w:tcW w:w="2126" w:type="dxa"/>
          </w:tcPr>
          <w:p w14:paraId="7EE26B2A">
            <w:pPr>
              <w:jc w:val="center"/>
              <w:rPr>
                <w:rFonts w:cs="Times New Roman"/>
                <w:color w:val="auto"/>
                <w:kern w:val="0"/>
                <w:sz w:val="18"/>
                <w:szCs w:val="18"/>
              </w:rPr>
            </w:pPr>
            <w:r>
              <w:rPr>
                <w:rFonts w:cs="Times New Roman"/>
                <w:color w:val="auto"/>
                <w:kern w:val="0"/>
                <w:sz w:val="18"/>
                <w:szCs w:val="18"/>
              </w:rPr>
              <w:t>1.07 (1.06, 1.08)</w:t>
            </w:r>
          </w:p>
        </w:tc>
        <w:tc>
          <w:tcPr>
            <w:tcW w:w="1356" w:type="dxa"/>
          </w:tcPr>
          <w:p w14:paraId="4F3616AE">
            <w:pPr>
              <w:jc w:val="center"/>
              <w:rPr>
                <w:rFonts w:cs="Times New Roman"/>
                <w:color w:val="auto"/>
                <w:kern w:val="0"/>
                <w:sz w:val="18"/>
                <w:szCs w:val="18"/>
              </w:rPr>
            </w:pPr>
            <w:r>
              <w:rPr>
                <w:rFonts w:cs="Times New Roman"/>
                <w:color w:val="auto"/>
                <w:kern w:val="0"/>
                <w:sz w:val="18"/>
                <w:szCs w:val="18"/>
              </w:rPr>
              <w:t>&lt;0.0001</w:t>
            </w:r>
          </w:p>
        </w:tc>
      </w:tr>
      <w:tr w14:paraId="5CEB27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824AE42">
            <w:pPr>
              <w:rPr>
                <w:rFonts w:cs="Times New Roman"/>
                <w:color w:val="auto"/>
                <w:kern w:val="0"/>
                <w:sz w:val="18"/>
                <w:szCs w:val="18"/>
              </w:rPr>
            </w:pPr>
            <w:r>
              <w:rPr>
                <w:rFonts w:cs="Times New Roman"/>
                <w:color w:val="auto"/>
                <w:kern w:val="0"/>
                <w:sz w:val="18"/>
                <w:szCs w:val="18"/>
              </w:rPr>
              <w:t>Scr,</w:t>
            </w:r>
            <w:r>
              <w:rPr>
                <w:rFonts w:hint="eastAsia" w:cs="Times New Roman"/>
                <w:color w:val="auto"/>
                <w:kern w:val="0"/>
                <w:sz w:val="18"/>
                <w:szCs w:val="18"/>
              </w:rPr>
              <w:t xml:space="preserve"> </w:t>
            </w:r>
            <w:r>
              <w:rPr>
                <w:rFonts w:cs="Times New Roman"/>
                <w:color w:val="auto"/>
                <w:kern w:val="0"/>
                <w:sz w:val="18"/>
                <w:szCs w:val="18"/>
              </w:rPr>
              <w:t>mg/dL</w:t>
            </w:r>
          </w:p>
        </w:tc>
        <w:tc>
          <w:tcPr>
            <w:tcW w:w="2268" w:type="dxa"/>
          </w:tcPr>
          <w:p w14:paraId="423DF444">
            <w:pPr>
              <w:jc w:val="center"/>
              <w:rPr>
                <w:rFonts w:cs="Times New Roman"/>
                <w:color w:val="auto"/>
                <w:kern w:val="0"/>
                <w:sz w:val="18"/>
                <w:szCs w:val="18"/>
              </w:rPr>
            </w:pPr>
            <w:r>
              <w:rPr>
                <w:rFonts w:cs="Times New Roman"/>
                <w:color w:val="auto"/>
                <w:kern w:val="0"/>
                <w:sz w:val="18"/>
                <w:szCs w:val="18"/>
              </w:rPr>
              <w:t>0.90 ± 0.47</w:t>
            </w:r>
          </w:p>
        </w:tc>
        <w:tc>
          <w:tcPr>
            <w:tcW w:w="2126" w:type="dxa"/>
          </w:tcPr>
          <w:p w14:paraId="5DD0A9D2">
            <w:pPr>
              <w:jc w:val="center"/>
              <w:rPr>
                <w:rFonts w:cs="Times New Roman"/>
                <w:color w:val="auto"/>
                <w:kern w:val="0"/>
                <w:sz w:val="18"/>
                <w:szCs w:val="18"/>
              </w:rPr>
            </w:pPr>
            <w:r>
              <w:rPr>
                <w:rFonts w:cs="Times New Roman"/>
                <w:color w:val="auto"/>
                <w:kern w:val="0"/>
                <w:sz w:val="18"/>
                <w:szCs w:val="18"/>
              </w:rPr>
              <w:t>1.40 (1.33, 1.46)</w:t>
            </w:r>
          </w:p>
        </w:tc>
        <w:tc>
          <w:tcPr>
            <w:tcW w:w="1356" w:type="dxa"/>
          </w:tcPr>
          <w:p w14:paraId="290FC451">
            <w:pPr>
              <w:jc w:val="center"/>
              <w:rPr>
                <w:rFonts w:cs="Times New Roman"/>
                <w:color w:val="auto"/>
                <w:kern w:val="0"/>
                <w:sz w:val="18"/>
                <w:szCs w:val="18"/>
              </w:rPr>
            </w:pPr>
            <w:r>
              <w:rPr>
                <w:rFonts w:cs="Times New Roman"/>
                <w:color w:val="auto"/>
                <w:kern w:val="0"/>
                <w:sz w:val="18"/>
                <w:szCs w:val="18"/>
              </w:rPr>
              <w:t>&lt;0.0001</w:t>
            </w:r>
          </w:p>
        </w:tc>
      </w:tr>
      <w:tr w14:paraId="018FD5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44667F8A">
            <w:pPr>
              <w:rPr>
                <w:rFonts w:cs="Times New Roman"/>
                <w:color w:val="auto"/>
                <w:kern w:val="0"/>
                <w:sz w:val="18"/>
                <w:szCs w:val="18"/>
              </w:rPr>
            </w:pPr>
            <w:r>
              <w:rPr>
                <w:rFonts w:hint="eastAsia" w:cs="Times New Roman"/>
                <w:color w:val="auto"/>
                <w:kern w:val="0"/>
                <w:sz w:val="18"/>
                <w:szCs w:val="18"/>
              </w:rPr>
              <w:t>e</w:t>
            </w:r>
            <w:r>
              <w:rPr>
                <w:rFonts w:cs="Times New Roman"/>
                <w:color w:val="auto"/>
                <w:kern w:val="0"/>
                <w:sz w:val="18"/>
                <w:szCs w:val="18"/>
              </w:rPr>
              <w:t>GFR</w:t>
            </w:r>
            <w:r>
              <w:rPr>
                <w:rFonts w:hint="eastAsia" w:cs="Times New Roman"/>
                <w:color w:val="auto"/>
                <w:kern w:val="0"/>
                <w:sz w:val="18"/>
                <w:szCs w:val="18"/>
              </w:rPr>
              <w:t xml:space="preserve">, </w:t>
            </w:r>
            <w:r>
              <w:rPr>
                <w:rFonts w:cs="Times New Roman"/>
                <w:color w:val="auto"/>
                <w:kern w:val="0"/>
                <w:sz w:val="18"/>
                <w:szCs w:val="18"/>
              </w:rPr>
              <w:t>ml/min/1.73m</w:t>
            </w:r>
            <w:r>
              <w:rPr>
                <w:rFonts w:cs="Times New Roman"/>
                <w:color w:val="auto"/>
                <w:kern w:val="0"/>
                <w:sz w:val="18"/>
                <w:szCs w:val="18"/>
                <w:vertAlign w:val="superscript"/>
              </w:rPr>
              <w:t>2</w:t>
            </w:r>
          </w:p>
        </w:tc>
        <w:tc>
          <w:tcPr>
            <w:tcW w:w="2268" w:type="dxa"/>
          </w:tcPr>
          <w:p w14:paraId="2B37BAEF">
            <w:pPr>
              <w:jc w:val="center"/>
              <w:rPr>
                <w:rFonts w:cs="Times New Roman"/>
                <w:color w:val="auto"/>
                <w:kern w:val="0"/>
                <w:sz w:val="18"/>
                <w:szCs w:val="18"/>
              </w:rPr>
            </w:pPr>
            <w:r>
              <w:rPr>
                <w:rFonts w:cs="Times New Roman"/>
                <w:color w:val="auto"/>
                <w:kern w:val="0"/>
                <w:sz w:val="18"/>
                <w:szCs w:val="18"/>
              </w:rPr>
              <w:t>94.65 ± 22.74</w:t>
            </w:r>
          </w:p>
        </w:tc>
        <w:tc>
          <w:tcPr>
            <w:tcW w:w="2126" w:type="dxa"/>
          </w:tcPr>
          <w:p w14:paraId="140B2896">
            <w:pPr>
              <w:jc w:val="center"/>
              <w:rPr>
                <w:rFonts w:cs="Times New Roman"/>
                <w:color w:val="auto"/>
                <w:kern w:val="0"/>
                <w:sz w:val="18"/>
                <w:szCs w:val="18"/>
              </w:rPr>
            </w:pPr>
            <w:r>
              <w:rPr>
                <w:rFonts w:cs="Times New Roman"/>
                <w:color w:val="auto"/>
                <w:kern w:val="0"/>
                <w:sz w:val="18"/>
                <w:szCs w:val="18"/>
              </w:rPr>
              <w:t>0.96 (0.96, 0.96)</w:t>
            </w:r>
          </w:p>
        </w:tc>
        <w:tc>
          <w:tcPr>
            <w:tcW w:w="1356" w:type="dxa"/>
          </w:tcPr>
          <w:p w14:paraId="0B20BA18">
            <w:pPr>
              <w:jc w:val="center"/>
              <w:rPr>
                <w:rFonts w:cs="Times New Roman"/>
                <w:color w:val="auto"/>
                <w:kern w:val="0"/>
                <w:sz w:val="18"/>
                <w:szCs w:val="18"/>
              </w:rPr>
            </w:pPr>
            <w:r>
              <w:rPr>
                <w:rFonts w:cs="Times New Roman"/>
                <w:color w:val="auto"/>
                <w:kern w:val="0"/>
                <w:sz w:val="18"/>
                <w:szCs w:val="18"/>
              </w:rPr>
              <w:t>&lt;0.0001</w:t>
            </w:r>
          </w:p>
        </w:tc>
      </w:tr>
      <w:tr w14:paraId="098093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06044495">
            <w:pPr>
              <w:rPr>
                <w:rFonts w:cs="Times New Roman"/>
                <w:color w:val="auto"/>
                <w:kern w:val="0"/>
                <w:sz w:val="18"/>
                <w:szCs w:val="18"/>
              </w:rPr>
            </w:pPr>
            <w:r>
              <w:rPr>
                <w:rFonts w:cs="Times New Roman"/>
                <w:color w:val="auto"/>
                <w:kern w:val="0"/>
                <w:sz w:val="18"/>
                <w:szCs w:val="18"/>
              </w:rPr>
              <w:t>HbA1c</w:t>
            </w:r>
            <w:r>
              <w:rPr>
                <w:rFonts w:hint="eastAsia" w:cs="Times New Roman"/>
                <w:color w:val="auto"/>
                <w:kern w:val="0"/>
                <w:sz w:val="18"/>
                <w:szCs w:val="18"/>
              </w:rPr>
              <w:t>, %</w:t>
            </w:r>
          </w:p>
        </w:tc>
        <w:tc>
          <w:tcPr>
            <w:tcW w:w="2268" w:type="dxa"/>
          </w:tcPr>
          <w:p w14:paraId="6CC7C498">
            <w:pPr>
              <w:jc w:val="center"/>
              <w:rPr>
                <w:rFonts w:cs="Times New Roman"/>
                <w:color w:val="auto"/>
                <w:kern w:val="0"/>
                <w:sz w:val="18"/>
                <w:szCs w:val="18"/>
              </w:rPr>
            </w:pPr>
            <w:r>
              <w:rPr>
                <w:rFonts w:cs="Times New Roman"/>
                <w:color w:val="auto"/>
                <w:kern w:val="0"/>
                <w:sz w:val="18"/>
                <w:szCs w:val="18"/>
              </w:rPr>
              <w:t>5.81 ± 1.13</w:t>
            </w:r>
          </w:p>
        </w:tc>
        <w:tc>
          <w:tcPr>
            <w:tcW w:w="2126" w:type="dxa"/>
          </w:tcPr>
          <w:p w14:paraId="46CDF6F5">
            <w:pPr>
              <w:jc w:val="center"/>
              <w:rPr>
                <w:rFonts w:cs="Times New Roman"/>
                <w:color w:val="auto"/>
                <w:kern w:val="0"/>
                <w:sz w:val="18"/>
                <w:szCs w:val="18"/>
              </w:rPr>
            </w:pPr>
            <w:r>
              <w:rPr>
                <w:rFonts w:cs="Times New Roman"/>
                <w:color w:val="auto"/>
                <w:kern w:val="0"/>
                <w:sz w:val="18"/>
                <w:szCs w:val="18"/>
              </w:rPr>
              <w:t>1.27 (1.22, 1.33)</w:t>
            </w:r>
          </w:p>
        </w:tc>
        <w:tc>
          <w:tcPr>
            <w:tcW w:w="1356" w:type="dxa"/>
          </w:tcPr>
          <w:p w14:paraId="6687F9A1">
            <w:pPr>
              <w:jc w:val="center"/>
              <w:rPr>
                <w:rFonts w:cs="Times New Roman"/>
                <w:color w:val="auto"/>
                <w:kern w:val="0"/>
                <w:sz w:val="18"/>
                <w:szCs w:val="18"/>
              </w:rPr>
            </w:pPr>
            <w:r>
              <w:rPr>
                <w:rFonts w:cs="Times New Roman"/>
                <w:color w:val="auto"/>
                <w:kern w:val="0"/>
                <w:sz w:val="18"/>
                <w:szCs w:val="18"/>
              </w:rPr>
              <w:t>&lt;0.0001</w:t>
            </w:r>
          </w:p>
        </w:tc>
      </w:tr>
      <w:tr w14:paraId="130CF1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24A81CBA">
            <w:pPr>
              <w:rPr>
                <w:rFonts w:cs="Times New Roman"/>
                <w:color w:val="auto"/>
                <w:kern w:val="0"/>
                <w:sz w:val="18"/>
                <w:szCs w:val="18"/>
              </w:rPr>
            </w:pPr>
            <w:r>
              <w:rPr>
                <w:rFonts w:cs="Times New Roman"/>
                <w:color w:val="auto"/>
                <w:kern w:val="0"/>
                <w:sz w:val="18"/>
                <w:szCs w:val="18"/>
              </w:rPr>
              <w:t>FBG, mg/dL</w:t>
            </w:r>
          </w:p>
        </w:tc>
        <w:tc>
          <w:tcPr>
            <w:tcW w:w="2268" w:type="dxa"/>
          </w:tcPr>
          <w:p w14:paraId="6062C304">
            <w:pPr>
              <w:jc w:val="center"/>
              <w:rPr>
                <w:rFonts w:cs="Times New Roman"/>
                <w:color w:val="auto"/>
                <w:kern w:val="0"/>
                <w:sz w:val="18"/>
                <w:szCs w:val="18"/>
              </w:rPr>
            </w:pPr>
            <w:r>
              <w:rPr>
                <w:rFonts w:cs="Times New Roman"/>
                <w:color w:val="auto"/>
                <w:kern w:val="0"/>
                <w:sz w:val="18"/>
                <w:szCs w:val="18"/>
              </w:rPr>
              <w:t>110.54 ± 36.25</w:t>
            </w:r>
          </w:p>
        </w:tc>
        <w:tc>
          <w:tcPr>
            <w:tcW w:w="2126" w:type="dxa"/>
          </w:tcPr>
          <w:p w14:paraId="47E05A2D">
            <w:pPr>
              <w:jc w:val="center"/>
              <w:rPr>
                <w:rFonts w:cs="Times New Roman"/>
                <w:color w:val="auto"/>
                <w:kern w:val="0"/>
                <w:sz w:val="18"/>
                <w:szCs w:val="18"/>
              </w:rPr>
            </w:pPr>
            <w:r>
              <w:rPr>
                <w:rFonts w:cs="Times New Roman"/>
                <w:color w:val="auto"/>
                <w:kern w:val="0"/>
                <w:sz w:val="18"/>
                <w:szCs w:val="18"/>
              </w:rPr>
              <w:t>1.01 (1.00, 1.01)</w:t>
            </w:r>
          </w:p>
        </w:tc>
        <w:tc>
          <w:tcPr>
            <w:tcW w:w="1356" w:type="dxa"/>
          </w:tcPr>
          <w:p w14:paraId="04F05581">
            <w:pPr>
              <w:jc w:val="center"/>
              <w:rPr>
                <w:rFonts w:cs="Times New Roman"/>
                <w:color w:val="auto"/>
                <w:kern w:val="0"/>
                <w:sz w:val="18"/>
                <w:szCs w:val="18"/>
              </w:rPr>
            </w:pPr>
            <w:r>
              <w:rPr>
                <w:rFonts w:cs="Times New Roman"/>
                <w:color w:val="auto"/>
                <w:kern w:val="0"/>
                <w:sz w:val="18"/>
                <w:szCs w:val="18"/>
              </w:rPr>
              <w:t>&lt;0.0001</w:t>
            </w:r>
          </w:p>
        </w:tc>
      </w:tr>
      <w:tr w14:paraId="360516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729CB20C">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G</w:t>
            </w:r>
            <w:r>
              <w:rPr>
                <w:rFonts w:cs="Times New Roman"/>
                <w:color w:val="auto"/>
                <w:kern w:val="0"/>
                <w:sz w:val="18"/>
                <w:szCs w:val="18"/>
              </w:rPr>
              <w:t>, mg/dL</w:t>
            </w:r>
          </w:p>
        </w:tc>
        <w:tc>
          <w:tcPr>
            <w:tcW w:w="2268" w:type="dxa"/>
          </w:tcPr>
          <w:p w14:paraId="00677D29">
            <w:pPr>
              <w:jc w:val="center"/>
              <w:rPr>
                <w:rFonts w:cs="Times New Roman"/>
                <w:color w:val="auto"/>
                <w:kern w:val="0"/>
                <w:sz w:val="18"/>
                <w:szCs w:val="18"/>
              </w:rPr>
            </w:pPr>
            <w:r>
              <w:rPr>
                <w:rFonts w:cs="Times New Roman"/>
                <w:color w:val="auto"/>
                <w:kern w:val="0"/>
                <w:sz w:val="18"/>
                <w:szCs w:val="18"/>
              </w:rPr>
              <w:t>129.65 ± 113.04</w:t>
            </w:r>
          </w:p>
        </w:tc>
        <w:tc>
          <w:tcPr>
            <w:tcW w:w="2126" w:type="dxa"/>
          </w:tcPr>
          <w:p w14:paraId="1D3938AE">
            <w:pPr>
              <w:jc w:val="center"/>
              <w:rPr>
                <w:rFonts w:cs="Times New Roman"/>
                <w:color w:val="auto"/>
                <w:kern w:val="0"/>
                <w:sz w:val="18"/>
                <w:szCs w:val="18"/>
              </w:rPr>
            </w:pPr>
            <w:r>
              <w:rPr>
                <w:rFonts w:cs="Times New Roman"/>
                <w:color w:val="auto"/>
                <w:kern w:val="0"/>
                <w:sz w:val="18"/>
                <w:szCs w:val="18"/>
              </w:rPr>
              <w:t>1.00 (1.00, 1.00)</w:t>
            </w:r>
          </w:p>
        </w:tc>
        <w:tc>
          <w:tcPr>
            <w:tcW w:w="1356" w:type="dxa"/>
          </w:tcPr>
          <w:p w14:paraId="37403A30">
            <w:pPr>
              <w:jc w:val="center"/>
              <w:rPr>
                <w:rFonts w:cs="Times New Roman"/>
                <w:color w:val="auto"/>
                <w:kern w:val="0"/>
                <w:sz w:val="18"/>
                <w:szCs w:val="18"/>
              </w:rPr>
            </w:pPr>
            <w:r>
              <w:rPr>
                <w:rFonts w:cs="Times New Roman"/>
                <w:color w:val="auto"/>
                <w:kern w:val="0"/>
                <w:sz w:val="18"/>
                <w:szCs w:val="18"/>
              </w:rPr>
              <w:t>0.8130</w:t>
            </w:r>
          </w:p>
        </w:tc>
      </w:tr>
      <w:tr w14:paraId="092FF7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547" w:type="dxa"/>
          </w:tcPr>
          <w:p w14:paraId="7C3E4A1A">
            <w:pPr>
              <w:rPr>
                <w:rFonts w:cs="Times New Roman"/>
                <w:color w:val="auto"/>
                <w:kern w:val="0"/>
                <w:sz w:val="18"/>
                <w:szCs w:val="18"/>
              </w:rPr>
            </w:pPr>
            <w:r>
              <w:rPr>
                <w:rFonts w:cs="Times New Roman"/>
                <w:color w:val="auto"/>
                <w:kern w:val="0"/>
                <w:sz w:val="18"/>
                <w:szCs w:val="18"/>
              </w:rPr>
              <w:t>T</w:t>
            </w:r>
            <w:r>
              <w:rPr>
                <w:rFonts w:hint="eastAsia" w:cs="Times New Roman"/>
                <w:color w:val="auto"/>
                <w:kern w:val="0"/>
                <w:sz w:val="18"/>
                <w:szCs w:val="18"/>
              </w:rPr>
              <w:t>y</w:t>
            </w:r>
            <w:r>
              <w:rPr>
                <w:rFonts w:cs="Times New Roman"/>
                <w:color w:val="auto"/>
                <w:kern w:val="0"/>
                <w:sz w:val="18"/>
                <w:szCs w:val="18"/>
              </w:rPr>
              <w:t>G</w:t>
            </w:r>
          </w:p>
        </w:tc>
        <w:tc>
          <w:tcPr>
            <w:tcW w:w="2268" w:type="dxa"/>
          </w:tcPr>
          <w:p w14:paraId="7CADBA75">
            <w:pPr>
              <w:jc w:val="center"/>
              <w:rPr>
                <w:rFonts w:cs="Times New Roman"/>
                <w:color w:val="auto"/>
                <w:kern w:val="0"/>
                <w:sz w:val="18"/>
                <w:szCs w:val="18"/>
              </w:rPr>
            </w:pPr>
            <w:r>
              <w:rPr>
                <w:rFonts w:cs="Times New Roman"/>
                <w:color w:val="auto"/>
                <w:kern w:val="0"/>
                <w:sz w:val="18"/>
                <w:szCs w:val="18"/>
              </w:rPr>
              <w:t>8.65 ± 0.68</w:t>
            </w:r>
          </w:p>
        </w:tc>
        <w:tc>
          <w:tcPr>
            <w:tcW w:w="2126" w:type="dxa"/>
          </w:tcPr>
          <w:p w14:paraId="2FD713D0">
            <w:pPr>
              <w:jc w:val="center"/>
              <w:rPr>
                <w:rFonts w:cs="Times New Roman"/>
                <w:color w:val="auto"/>
                <w:kern w:val="0"/>
                <w:sz w:val="18"/>
                <w:szCs w:val="18"/>
              </w:rPr>
            </w:pPr>
            <w:r>
              <w:rPr>
                <w:rFonts w:cs="Times New Roman"/>
                <w:color w:val="auto"/>
                <w:kern w:val="0"/>
                <w:sz w:val="18"/>
                <w:szCs w:val="18"/>
              </w:rPr>
              <w:t>1.31 (1.16, 1.48)</w:t>
            </w:r>
          </w:p>
        </w:tc>
        <w:tc>
          <w:tcPr>
            <w:tcW w:w="1356" w:type="dxa"/>
          </w:tcPr>
          <w:p w14:paraId="691FEF65">
            <w:pPr>
              <w:jc w:val="center"/>
              <w:rPr>
                <w:rFonts w:cs="Times New Roman"/>
                <w:color w:val="auto"/>
                <w:kern w:val="0"/>
                <w:sz w:val="18"/>
                <w:szCs w:val="18"/>
              </w:rPr>
            </w:pPr>
            <w:r>
              <w:rPr>
                <w:rFonts w:cs="Times New Roman"/>
                <w:color w:val="auto"/>
                <w:kern w:val="0"/>
                <w:sz w:val="18"/>
                <w:szCs w:val="18"/>
              </w:rPr>
              <w:t>&lt;0.0001</w:t>
            </w:r>
          </w:p>
        </w:tc>
      </w:tr>
      <w:tr w14:paraId="00C5D4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1046C060">
            <w:pPr>
              <w:rPr>
                <w:rFonts w:cs="Times New Roman"/>
                <w:color w:val="auto"/>
                <w:kern w:val="0"/>
                <w:sz w:val="18"/>
                <w:szCs w:val="18"/>
              </w:rPr>
            </w:pPr>
            <w:r>
              <w:rPr>
                <w:rFonts w:hint="eastAsia" w:cs="Times New Roman"/>
                <w:color w:val="auto"/>
                <w:kern w:val="0"/>
                <w:sz w:val="18"/>
                <w:szCs w:val="18"/>
              </w:rPr>
              <w:t>CKM, (%)</w:t>
            </w:r>
          </w:p>
        </w:tc>
        <w:tc>
          <w:tcPr>
            <w:tcW w:w="2268" w:type="dxa"/>
          </w:tcPr>
          <w:p w14:paraId="054ED9BA">
            <w:pPr>
              <w:jc w:val="center"/>
              <w:rPr>
                <w:rFonts w:cs="Times New Roman"/>
                <w:color w:val="auto"/>
                <w:kern w:val="0"/>
                <w:sz w:val="18"/>
                <w:szCs w:val="18"/>
              </w:rPr>
            </w:pPr>
          </w:p>
        </w:tc>
        <w:tc>
          <w:tcPr>
            <w:tcW w:w="2126" w:type="dxa"/>
          </w:tcPr>
          <w:p w14:paraId="3D03668C">
            <w:pPr>
              <w:jc w:val="center"/>
              <w:rPr>
                <w:rFonts w:cs="Times New Roman"/>
                <w:color w:val="auto"/>
                <w:kern w:val="0"/>
                <w:sz w:val="18"/>
                <w:szCs w:val="18"/>
              </w:rPr>
            </w:pPr>
          </w:p>
        </w:tc>
        <w:tc>
          <w:tcPr>
            <w:tcW w:w="1356" w:type="dxa"/>
          </w:tcPr>
          <w:p w14:paraId="4681E89E">
            <w:pPr>
              <w:jc w:val="center"/>
              <w:rPr>
                <w:rFonts w:cs="Times New Roman"/>
                <w:color w:val="auto"/>
                <w:kern w:val="0"/>
                <w:sz w:val="18"/>
                <w:szCs w:val="18"/>
              </w:rPr>
            </w:pPr>
          </w:p>
        </w:tc>
      </w:tr>
      <w:tr w14:paraId="653211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40755FC8">
            <w:pPr>
              <w:rPr>
                <w:rFonts w:cs="Times New Roman"/>
                <w:color w:val="auto"/>
                <w:kern w:val="0"/>
                <w:sz w:val="18"/>
                <w:szCs w:val="18"/>
              </w:rPr>
            </w:pPr>
            <w:r>
              <w:rPr>
                <w:rFonts w:hint="eastAsia" w:cs="Times New Roman"/>
                <w:color w:val="auto"/>
                <w:kern w:val="0"/>
                <w:sz w:val="18"/>
                <w:szCs w:val="18"/>
              </w:rPr>
              <w:t>   0</w:t>
            </w:r>
          </w:p>
        </w:tc>
        <w:tc>
          <w:tcPr>
            <w:tcW w:w="2268" w:type="dxa"/>
          </w:tcPr>
          <w:p w14:paraId="71E8411D">
            <w:pPr>
              <w:jc w:val="center"/>
              <w:rPr>
                <w:rFonts w:cs="Times New Roman"/>
                <w:color w:val="auto"/>
                <w:kern w:val="0"/>
                <w:sz w:val="18"/>
                <w:szCs w:val="18"/>
              </w:rPr>
            </w:pPr>
            <w:r>
              <w:rPr>
                <w:rFonts w:hint="eastAsia" w:cs="Times New Roman"/>
                <w:color w:val="auto"/>
                <w:kern w:val="0"/>
                <w:sz w:val="18"/>
                <w:szCs w:val="18"/>
              </w:rPr>
              <w:t>1278 (8.50%)</w:t>
            </w:r>
          </w:p>
        </w:tc>
        <w:tc>
          <w:tcPr>
            <w:tcW w:w="2126" w:type="dxa"/>
          </w:tcPr>
          <w:p w14:paraId="7616E972">
            <w:pPr>
              <w:jc w:val="center"/>
              <w:rPr>
                <w:rFonts w:cs="Times New Roman"/>
                <w:color w:val="auto"/>
                <w:kern w:val="0"/>
                <w:sz w:val="18"/>
                <w:szCs w:val="18"/>
              </w:rPr>
            </w:pPr>
            <w:r>
              <w:rPr>
                <w:rFonts w:hint="eastAsia" w:cs="Times New Roman"/>
                <w:color w:val="auto"/>
                <w:kern w:val="0"/>
                <w:sz w:val="18"/>
                <w:szCs w:val="18"/>
              </w:rPr>
              <w:t>1.0</w:t>
            </w:r>
          </w:p>
        </w:tc>
        <w:tc>
          <w:tcPr>
            <w:tcW w:w="1356" w:type="dxa"/>
          </w:tcPr>
          <w:p w14:paraId="6806BA9D">
            <w:pPr>
              <w:jc w:val="center"/>
              <w:rPr>
                <w:rFonts w:cs="Times New Roman"/>
                <w:color w:val="auto"/>
                <w:kern w:val="0"/>
                <w:sz w:val="18"/>
                <w:szCs w:val="18"/>
              </w:rPr>
            </w:pPr>
          </w:p>
        </w:tc>
      </w:tr>
      <w:tr w14:paraId="7097E4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4CC898CC">
            <w:pPr>
              <w:rPr>
                <w:rFonts w:cs="Times New Roman"/>
                <w:color w:val="auto"/>
                <w:kern w:val="0"/>
                <w:sz w:val="18"/>
                <w:szCs w:val="18"/>
              </w:rPr>
            </w:pPr>
            <w:r>
              <w:rPr>
                <w:rFonts w:hint="eastAsia" w:cs="Times New Roman"/>
                <w:color w:val="auto"/>
                <w:kern w:val="0"/>
                <w:sz w:val="18"/>
                <w:szCs w:val="18"/>
              </w:rPr>
              <w:t>   1</w:t>
            </w:r>
          </w:p>
        </w:tc>
        <w:tc>
          <w:tcPr>
            <w:tcW w:w="2268" w:type="dxa"/>
          </w:tcPr>
          <w:p w14:paraId="469ABA94">
            <w:pPr>
              <w:jc w:val="center"/>
              <w:rPr>
                <w:rFonts w:cs="Times New Roman"/>
                <w:color w:val="auto"/>
                <w:kern w:val="0"/>
                <w:sz w:val="18"/>
                <w:szCs w:val="18"/>
              </w:rPr>
            </w:pPr>
            <w:r>
              <w:rPr>
                <w:rFonts w:hint="eastAsia" w:cs="Times New Roman"/>
                <w:color w:val="auto"/>
                <w:kern w:val="0"/>
                <w:sz w:val="18"/>
                <w:szCs w:val="18"/>
              </w:rPr>
              <w:t>2523 (16.77%)</w:t>
            </w:r>
          </w:p>
        </w:tc>
        <w:tc>
          <w:tcPr>
            <w:tcW w:w="2126" w:type="dxa"/>
          </w:tcPr>
          <w:p w14:paraId="38F48BE5">
            <w:pPr>
              <w:jc w:val="center"/>
              <w:rPr>
                <w:rFonts w:cs="Times New Roman"/>
                <w:color w:val="auto"/>
                <w:kern w:val="0"/>
                <w:sz w:val="18"/>
                <w:szCs w:val="18"/>
              </w:rPr>
            </w:pPr>
            <w:r>
              <w:rPr>
                <w:rFonts w:hint="eastAsia" w:cs="Times New Roman"/>
                <w:color w:val="auto"/>
                <w:kern w:val="0"/>
                <w:sz w:val="18"/>
                <w:szCs w:val="18"/>
              </w:rPr>
              <w:t>8.99 (1.20, 67.53)</w:t>
            </w:r>
          </w:p>
        </w:tc>
        <w:tc>
          <w:tcPr>
            <w:tcW w:w="1356" w:type="dxa"/>
          </w:tcPr>
          <w:p w14:paraId="18A798A6">
            <w:pPr>
              <w:jc w:val="center"/>
              <w:rPr>
                <w:rFonts w:cs="Times New Roman"/>
                <w:color w:val="auto"/>
                <w:kern w:val="0"/>
                <w:sz w:val="18"/>
                <w:szCs w:val="18"/>
              </w:rPr>
            </w:pPr>
            <w:r>
              <w:rPr>
                <w:rFonts w:hint="eastAsia" w:cs="Times New Roman"/>
                <w:color w:val="auto"/>
                <w:kern w:val="0"/>
                <w:sz w:val="18"/>
                <w:szCs w:val="18"/>
              </w:rPr>
              <w:t>0.0329</w:t>
            </w:r>
          </w:p>
        </w:tc>
      </w:tr>
      <w:tr w14:paraId="7CFF4F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Pr>
          <w:p w14:paraId="0E28FE86">
            <w:pPr>
              <w:rPr>
                <w:rFonts w:cs="Times New Roman"/>
                <w:color w:val="auto"/>
                <w:kern w:val="0"/>
                <w:sz w:val="18"/>
                <w:szCs w:val="18"/>
              </w:rPr>
            </w:pPr>
            <w:r>
              <w:rPr>
                <w:rFonts w:hint="eastAsia" w:cs="Times New Roman"/>
                <w:color w:val="auto"/>
                <w:kern w:val="0"/>
                <w:sz w:val="18"/>
                <w:szCs w:val="18"/>
              </w:rPr>
              <w:t>   2</w:t>
            </w:r>
          </w:p>
        </w:tc>
        <w:tc>
          <w:tcPr>
            <w:tcW w:w="2268" w:type="dxa"/>
          </w:tcPr>
          <w:p w14:paraId="55B91ECA">
            <w:pPr>
              <w:jc w:val="center"/>
              <w:rPr>
                <w:rFonts w:cs="Times New Roman"/>
                <w:color w:val="auto"/>
                <w:kern w:val="0"/>
                <w:sz w:val="18"/>
                <w:szCs w:val="18"/>
              </w:rPr>
            </w:pPr>
            <w:r>
              <w:rPr>
                <w:rFonts w:hint="eastAsia" w:cs="Times New Roman"/>
                <w:color w:val="auto"/>
                <w:kern w:val="0"/>
                <w:sz w:val="18"/>
                <w:szCs w:val="18"/>
              </w:rPr>
              <w:t>8636 (57.40%)</w:t>
            </w:r>
          </w:p>
        </w:tc>
        <w:tc>
          <w:tcPr>
            <w:tcW w:w="2126" w:type="dxa"/>
          </w:tcPr>
          <w:p w14:paraId="39DF097E">
            <w:pPr>
              <w:jc w:val="center"/>
              <w:rPr>
                <w:rFonts w:cs="Times New Roman"/>
                <w:color w:val="auto"/>
                <w:kern w:val="0"/>
                <w:sz w:val="18"/>
                <w:szCs w:val="18"/>
              </w:rPr>
            </w:pPr>
            <w:r>
              <w:rPr>
                <w:rFonts w:hint="eastAsia" w:cs="Times New Roman"/>
                <w:color w:val="auto"/>
                <w:kern w:val="0"/>
                <w:sz w:val="18"/>
                <w:szCs w:val="18"/>
              </w:rPr>
              <w:t>31.68 (4.44, 225.86)</w:t>
            </w:r>
          </w:p>
        </w:tc>
        <w:tc>
          <w:tcPr>
            <w:tcW w:w="1356" w:type="dxa"/>
          </w:tcPr>
          <w:p w14:paraId="3C7C0602">
            <w:pPr>
              <w:jc w:val="center"/>
              <w:rPr>
                <w:rFonts w:cs="Times New Roman"/>
                <w:color w:val="auto"/>
                <w:kern w:val="0"/>
                <w:sz w:val="18"/>
                <w:szCs w:val="18"/>
              </w:rPr>
            </w:pPr>
            <w:r>
              <w:rPr>
                <w:rFonts w:hint="eastAsia" w:cs="Times New Roman"/>
                <w:color w:val="auto"/>
                <w:kern w:val="0"/>
                <w:sz w:val="18"/>
                <w:szCs w:val="18"/>
              </w:rPr>
              <w:t>0.0006</w:t>
            </w:r>
          </w:p>
        </w:tc>
      </w:tr>
      <w:tr w14:paraId="632202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Borders>
              <w:bottom w:val="nil"/>
            </w:tcBorders>
          </w:tcPr>
          <w:p w14:paraId="6995B945">
            <w:pPr>
              <w:rPr>
                <w:rFonts w:cs="Times New Roman"/>
                <w:color w:val="auto"/>
                <w:kern w:val="0"/>
                <w:sz w:val="18"/>
                <w:szCs w:val="18"/>
              </w:rPr>
            </w:pPr>
            <w:r>
              <w:rPr>
                <w:rFonts w:hint="eastAsia" w:cs="Times New Roman"/>
                <w:color w:val="auto"/>
                <w:kern w:val="0"/>
                <w:sz w:val="18"/>
                <w:szCs w:val="18"/>
              </w:rPr>
              <w:t>   3</w:t>
            </w:r>
          </w:p>
        </w:tc>
        <w:tc>
          <w:tcPr>
            <w:tcW w:w="2268" w:type="dxa"/>
            <w:tcBorders>
              <w:bottom w:val="nil"/>
            </w:tcBorders>
          </w:tcPr>
          <w:p w14:paraId="2FF17558">
            <w:pPr>
              <w:jc w:val="center"/>
              <w:rPr>
                <w:rFonts w:cs="Times New Roman"/>
                <w:color w:val="auto"/>
                <w:kern w:val="0"/>
                <w:sz w:val="18"/>
                <w:szCs w:val="18"/>
              </w:rPr>
            </w:pPr>
            <w:r>
              <w:rPr>
                <w:rFonts w:hint="eastAsia" w:cs="Times New Roman"/>
                <w:color w:val="auto"/>
                <w:kern w:val="0"/>
                <w:sz w:val="18"/>
                <w:szCs w:val="18"/>
              </w:rPr>
              <w:t>853 (5.67%)</w:t>
            </w:r>
          </w:p>
        </w:tc>
        <w:tc>
          <w:tcPr>
            <w:tcW w:w="2126" w:type="dxa"/>
            <w:tcBorders>
              <w:bottom w:val="nil"/>
            </w:tcBorders>
          </w:tcPr>
          <w:p w14:paraId="5D2F6C4F">
            <w:pPr>
              <w:jc w:val="center"/>
              <w:rPr>
                <w:rFonts w:cs="Times New Roman"/>
                <w:color w:val="auto"/>
                <w:kern w:val="0"/>
                <w:sz w:val="18"/>
                <w:szCs w:val="18"/>
              </w:rPr>
            </w:pPr>
            <w:r>
              <w:rPr>
                <w:rFonts w:hint="eastAsia" w:cs="Times New Roman"/>
                <w:color w:val="auto"/>
                <w:kern w:val="0"/>
                <w:sz w:val="18"/>
                <w:szCs w:val="18"/>
              </w:rPr>
              <w:t>50.23 (6.89, 366.41)</w:t>
            </w:r>
          </w:p>
        </w:tc>
        <w:tc>
          <w:tcPr>
            <w:tcW w:w="1356" w:type="dxa"/>
            <w:tcBorders>
              <w:bottom w:val="nil"/>
            </w:tcBorders>
          </w:tcPr>
          <w:p w14:paraId="7F5B0D81">
            <w:pPr>
              <w:jc w:val="center"/>
              <w:rPr>
                <w:rFonts w:cs="Times New Roman"/>
                <w:color w:val="auto"/>
                <w:kern w:val="0"/>
                <w:sz w:val="18"/>
                <w:szCs w:val="18"/>
              </w:rPr>
            </w:pPr>
            <w:r>
              <w:rPr>
                <w:rFonts w:hint="eastAsia" w:cs="Times New Roman"/>
                <w:color w:val="auto"/>
                <w:kern w:val="0"/>
                <w:sz w:val="18"/>
                <w:szCs w:val="18"/>
              </w:rPr>
              <w:t>0.0001</w:t>
            </w:r>
          </w:p>
        </w:tc>
      </w:tr>
      <w:tr w14:paraId="708514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47" w:type="dxa"/>
            <w:tcBorders>
              <w:top w:val="nil"/>
              <w:bottom w:val="single" w:color="auto" w:sz="12" w:space="0"/>
            </w:tcBorders>
          </w:tcPr>
          <w:p w14:paraId="2AD62745">
            <w:pPr>
              <w:rPr>
                <w:rFonts w:cs="Times New Roman"/>
                <w:color w:val="auto"/>
                <w:kern w:val="0"/>
                <w:sz w:val="18"/>
                <w:szCs w:val="18"/>
              </w:rPr>
            </w:pPr>
            <w:r>
              <w:rPr>
                <w:rFonts w:hint="eastAsia" w:cs="Times New Roman"/>
                <w:color w:val="auto"/>
                <w:kern w:val="0"/>
                <w:sz w:val="18"/>
                <w:szCs w:val="18"/>
              </w:rPr>
              <w:t>   4</w:t>
            </w:r>
          </w:p>
        </w:tc>
        <w:tc>
          <w:tcPr>
            <w:tcW w:w="2268" w:type="dxa"/>
            <w:tcBorders>
              <w:top w:val="nil"/>
              <w:bottom w:val="single" w:color="auto" w:sz="12" w:space="0"/>
            </w:tcBorders>
          </w:tcPr>
          <w:p w14:paraId="74AD4340">
            <w:pPr>
              <w:jc w:val="center"/>
              <w:rPr>
                <w:rFonts w:cs="Times New Roman"/>
                <w:color w:val="auto"/>
                <w:kern w:val="0"/>
                <w:sz w:val="18"/>
                <w:szCs w:val="18"/>
              </w:rPr>
            </w:pPr>
            <w:r>
              <w:rPr>
                <w:rFonts w:hint="eastAsia" w:cs="Times New Roman"/>
                <w:color w:val="auto"/>
                <w:kern w:val="0"/>
                <w:sz w:val="18"/>
                <w:szCs w:val="18"/>
              </w:rPr>
              <w:t>1754 (11.66%)</w:t>
            </w:r>
          </w:p>
        </w:tc>
        <w:tc>
          <w:tcPr>
            <w:tcW w:w="2126" w:type="dxa"/>
            <w:tcBorders>
              <w:top w:val="nil"/>
              <w:bottom w:val="single" w:color="auto" w:sz="12" w:space="0"/>
            </w:tcBorders>
          </w:tcPr>
          <w:p w14:paraId="35F9EF81">
            <w:pPr>
              <w:jc w:val="center"/>
              <w:rPr>
                <w:rFonts w:cs="Times New Roman"/>
                <w:color w:val="auto"/>
                <w:kern w:val="0"/>
                <w:sz w:val="18"/>
                <w:szCs w:val="18"/>
              </w:rPr>
            </w:pPr>
            <w:r>
              <w:rPr>
                <w:rFonts w:hint="eastAsia" w:cs="Times New Roman"/>
                <w:color w:val="auto"/>
                <w:kern w:val="0"/>
                <w:sz w:val="18"/>
                <w:szCs w:val="18"/>
              </w:rPr>
              <w:t>194.62 (27.30, 1387.62)</w:t>
            </w:r>
          </w:p>
        </w:tc>
        <w:tc>
          <w:tcPr>
            <w:tcW w:w="1356" w:type="dxa"/>
            <w:tcBorders>
              <w:top w:val="nil"/>
              <w:bottom w:val="single" w:color="auto" w:sz="12" w:space="0"/>
            </w:tcBorders>
          </w:tcPr>
          <w:p w14:paraId="5065E813">
            <w:pPr>
              <w:jc w:val="center"/>
              <w:rPr>
                <w:rFonts w:cs="Times New Roman"/>
                <w:color w:val="auto"/>
                <w:kern w:val="0"/>
                <w:sz w:val="18"/>
                <w:szCs w:val="18"/>
              </w:rPr>
            </w:pPr>
            <w:r>
              <w:rPr>
                <w:rFonts w:hint="eastAsia" w:cs="Times New Roman"/>
                <w:color w:val="auto"/>
                <w:kern w:val="0"/>
                <w:sz w:val="18"/>
                <w:szCs w:val="18"/>
              </w:rPr>
              <w:t>&lt;0.0001</w:t>
            </w:r>
          </w:p>
        </w:tc>
      </w:tr>
    </w:tbl>
    <w:p w14:paraId="3C685099">
      <w:pPr>
        <w:rPr>
          <w:rFonts w:cs="Times New Roman"/>
        </w:rPr>
      </w:pPr>
      <w:r>
        <w:rPr>
          <w:rFonts w:cs="Times New Roman"/>
        </w:rPr>
        <w:t>Data are</w:t>
      </w:r>
      <w:r>
        <w:rPr>
          <w:rFonts w:hint="eastAsia" w:cs="Times New Roman"/>
        </w:rPr>
        <w:t xml:space="preserve"> </w:t>
      </w:r>
      <w:r>
        <w:rPr>
          <w:rFonts w:cs="Times New Roman"/>
        </w:rPr>
        <w:t>expressed as the mean ± SD, or percentage. BMI, body mass index; PIR, poverty income ratio; BUN, blood urea nitrogen; Scr, serum creatinine; eGFR, estimated glomerular filtration rate; HbA1c, glycosylated hemoglobin type A1c; FBG, fasting blood glucose; TG, triglyceride; TyG, triglyceride-glucose index; FI, frailty index;</w:t>
      </w:r>
      <w:r>
        <w:rPr>
          <w:rFonts w:hint="eastAsia" w:cs="Times New Roman"/>
        </w:rPr>
        <w:t xml:space="preserve"> </w:t>
      </w:r>
      <w:r>
        <w:rPr>
          <w:rFonts w:cs="Times New Roman"/>
        </w:rPr>
        <w:t xml:space="preserve">CKM, cardiovascular-kidney-metabolic. </w:t>
      </w:r>
    </w:p>
    <w:p w14:paraId="08E8BED9">
      <w:pPr>
        <w:pStyle w:val="3"/>
      </w:pPr>
      <w:bookmarkStart w:id="15" w:name="_Toc218184815"/>
      <w:bookmarkStart w:id="16" w:name="OLE_LINK4"/>
      <w:r>
        <w:rPr>
          <w:rFonts w:ascii="Times New Roman" w:hAnsi="Times New Roman" w:cs="Times New Roman" w:eastAsiaTheme="minorEastAsia"/>
          <w:b/>
          <w:bCs/>
          <w:color w:val="auto"/>
          <w:sz w:val="28"/>
          <w:szCs w:val="28"/>
        </w:rPr>
        <w:t xml:space="preserve">III.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Cox </w:t>
      </w:r>
      <w:r>
        <w:rPr>
          <w:rFonts w:ascii="Times New Roman" w:hAnsi="Times New Roman" w:cs="Times New Roman" w:eastAsiaTheme="minorEastAsia"/>
          <w:b/>
          <w:bCs/>
          <w:color w:val="auto"/>
          <w:sz w:val="28"/>
          <w:szCs w:val="28"/>
        </w:rPr>
        <w:t>r</w:t>
      </w:r>
      <w:r>
        <w:rPr>
          <w:rFonts w:ascii="Times New Roman" w:hAnsi="Times New Roman" w:cs="Times New Roman"/>
          <w:b/>
          <w:bCs/>
          <w:color w:val="auto"/>
          <w:sz w:val="28"/>
          <w:szCs w:val="28"/>
        </w:rPr>
        <w:t xml:space="preserve">egression </w:t>
      </w:r>
      <w:r>
        <w:rPr>
          <w:rFonts w:ascii="Times New Roman" w:hAnsi="Times New Roman" w:cs="Times New Roman" w:eastAsiaTheme="minorEastAsia"/>
          <w:b/>
          <w:bCs/>
          <w:color w:val="auto"/>
          <w:sz w:val="28"/>
          <w:szCs w:val="28"/>
        </w:rPr>
        <w:t>a</w:t>
      </w:r>
      <w:r>
        <w:rPr>
          <w:rFonts w:ascii="Times New Roman" w:hAnsi="Times New Roman" w:cs="Times New Roman"/>
          <w:b/>
          <w:bCs/>
          <w:color w:val="auto"/>
          <w:sz w:val="28"/>
          <w:szCs w:val="28"/>
        </w:rPr>
        <w:t xml:space="preserve">nalyses for TyGFI, TyG, and FI with </w:t>
      </w:r>
      <w:r>
        <w:rPr>
          <w:rFonts w:ascii="Times New Roman" w:hAnsi="Times New Roman" w:cs="Times New Roman" w:eastAsiaTheme="minorEastAsia"/>
          <w:b/>
          <w:bCs/>
          <w:color w:val="auto"/>
          <w:sz w:val="28"/>
          <w:szCs w:val="28"/>
        </w:rPr>
        <w:t>m</w:t>
      </w:r>
      <w:r>
        <w:rPr>
          <w:rFonts w:ascii="Times New Roman" w:hAnsi="Times New Roman" w:cs="Times New Roman"/>
          <w:b/>
          <w:bCs/>
          <w:color w:val="auto"/>
          <w:sz w:val="28"/>
          <w:szCs w:val="28"/>
        </w:rPr>
        <w:t>ortality</w:t>
      </w:r>
      <w:bookmarkEnd w:id="15"/>
      <w:r>
        <w:rPr>
          <w:rFonts w:ascii="Times New Roman" w:hAnsi="Times New Roman" w:cs="Times New Roman"/>
          <w:b/>
          <w:bCs/>
          <w:color w:val="auto"/>
          <w:sz w:val="28"/>
          <w:szCs w:val="28"/>
        </w:rPr>
        <w:fldChar w:fldCharType="end"/>
      </w:r>
    </w:p>
    <w:p w14:paraId="63EE4653"/>
    <w:p w14:paraId="470CC088">
      <w:pPr>
        <w:pStyle w:val="4"/>
        <w:rPr>
          <w:rFonts w:ascii="Times New Roman" w:hAnsi="Times New Roman" w:cs="Times New Roman"/>
          <w:color w:val="auto"/>
          <w:sz w:val="24"/>
          <w:szCs w:val="24"/>
        </w:rPr>
      </w:pPr>
      <w:bookmarkStart w:id="17" w:name="_Toc218184816"/>
      <w:r>
        <w:rPr>
          <w:rFonts w:ascii="Times New Roman" w:hAnsi="Times New Roman" w:cs="Times New Roman"/>
          <w:b/>
          <w:bCs/>
          <w:color w:val="auto"/>
          <w:sz w:val="24"/>
          <w:szCs w:val="24"/>
        </w:rPr>
        <w:t>Table S5.</w:t>
      </w:r>
      <w:r>
        <w:rPr>
          <w:rFonts w:ascii="Times New Roman" w:hAnsi="Times New Roman" w:cs="Times New Roman"/>
          <w:color w:val="auto"/>
          <w:sz w:val="24"/>
          <w:szCs w:val="24"/>
        </w:rPr>
        <w:t xml:space="preserve"> Association between TyGFI and mortality in adults with CKM syndrome: Cox regression analysis after multiple imputation</w:t>
      </w:r>
      <w:bookmarkEnd w:id="16"/>
      <w:bookmarkEnd w:id="17"/>
    </w:p>
    <w:tbl>
      <w:tblPr>
        <w:tblStyle w:val="23"/>
        <w:tblW w:w="9761"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7"/>
        <w:gridCol w:w="1784"/>
        <w:gridCol w:w="880"/>
        <w:gridCol w:w="1958"/>
        <w:gridCol w:w="861"/>
        <w:gridCol w:w="1899"/>
        <w:gridCol w:w="912"/>
      </w:tblGrid>
      <w:tr w14:paraId="5AA541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Borders>
              <w:top w:val="single" w:color="auto" w:sz="12" w:space="0"/>
              <w:bottom w:val="single" w:color="auto" w:sz="6" w:space="0"/>
            </w:tcBorders>
          </w:tcPr>
          <w:p w14:paraId="4F430E34">
            <w:pPr>
              <w:rPr>
                <w:b/>
                <w:bCs/>
                <w:color w:val="auto"/>
                <w:sz w:val="18"/>
                <w:szCs w:val="18"/>
              </w:rPr>
            </w:pPr>
            <w:r>
              <w:rPr>
                <w:b/>
                <w:bCs/>
                <w:color w:val="auto"/>
                <w:sz w:val="18"/>
                <w:szCs w:val="18"/>
              </w:rPr>
              <w:t>Exposure</w:t>
            </w:r>
          </w:p>
        </w:tc>
        <w:tc>
          <w:tcPr>
            <w:tcW w:w="1784" w:type="dxa"/>
            <w:tcBorders>
              <w:top w:val="single" w:color="auto" w:sz="12" w:space="0"/>
              <w:bottom w:val="single" w:color="auto" w:sz="6" w:space="0"/>
            </w:tcBorders>
          </w:tcPr>
          <w:p w14:paraId="5A84B0D6">
            <w:pPr>
              <w:rPr>
                <w:b/>
                <w:bCs/>
                <w:color w:val="auto"/>
                <w:sz w:val="18"/>
                <w:szCs w:val="18"/>
              </w:rPr>
            </w:pPr>
            <w:r>
              <w:rPr>
                <w:b/>
                <w:bCs/>
                <w:color w:val="auto"/>
                <w:sz w:val="18"/>
                <w:szCs w:val="18"/>
              </w:rPr>
              <w:t>Model 1</w:t>
            </w:r>
          </w:p>
          <w:p w14:paraId="2F80FAAE">
            <w:pPr>
              <w:rPr>
                <w:b/>
                <w:bCs/>
                <w:color w:val="auto"/>
                <w:sz w:val="18"/>
                <w:szCs w:val="18"/>
              </w:rPr>
            </w:pPr>
            <w:r>
              <w:rPr>
                <w:rFonts w:hint="eastAsia"/>
                <w:b/>
                <w:bCs/>
                <w:color w:val="auto"/>
                <w:sz w:val="18"/>
                <w:szCs w:val="18"/>
              </w:rPr>
              <w:t>H</w:t>
            </w:r>
            <w:r>
              <w:rPr>
                <w:b/>
                <w:bCs/>
                <w:color w:val="auto"/>
                <w:sz w:val="18"/>
                <w:szCs w:val="18"/>
              </w:rPr>
              <w:t>R (95% CI)</w:t>
            </w:r>
          </w:p>
        </w:tc>
        <w:tc>
          <w:tcPr>
            <w:tcW w:w="880" w:type="dxa"/>
            <w:tcBorders>
              <w:top w:val="single" w:color="auto" w:sz="12" w:space="0"/>
              <w:bottom w:val="single" w:color="auto" w:sz="6" w:space="0"/>
            </w:tcBorders>
          </w:tcPr>
          <w:p w14:paraId="021D9F22">
            <w:pPr>
              <w:rPr>
                <w:b/>
                <w:bCs/>
                <w:i/>
                <w:iCs/>
                <w:color w:val="auto"/>
                <w:sz w:val="18"/>
                <w:szCs w:val="18"/>
              </w:rPr>
            </w:pPr>
            <w:r>
              <w:rPr>
                <w:rFonts w:hint="eastAsia"/>
                <w:b/>
                <w:bCs/>
                <w:i/>
                <w:iCs/>
                <w:color w:val="auto"/>
                <w:sz w:val="18"/>
                <w:szCs w:val="18"/>
              </w:rPr>
              <w:t xml:space="preserve">P </w:t>
            </w:r>
            <w:r>
              <w:rPr>
                <w:rFonts w:hint="eastAsia"/>
                <w:b/>
                <w:bCs/>
                <w:color w:val="auto"/>
                <w:sz w:val="18"/>
                <w:szCs w:val="18"/>
              </w:rPr>
              <w:t>value</w:t>
            </w:r>
          </w:p>
        </w:tc>
        <w:tc>
          <w:tcPr>
            <w:tcW w:w="1958" w:type="dxa"/>
            <w:tcBorders>
              <w:top w:val="single" w:color="auto" w:sz="12" w:space="0"/>
              <w:bottom w:val="single" w:color="auto" w:sz="6" w:space="0"/>
            </w:tcBorders>
          </w:tcPr>
          <w:p w14:paraId="456E9E7D">
            <w:pPr>
              <w:rPr>
                <w:b/>
                <w:bCs/>
                <w:color w:val="auto"/>
                <w:sz w:val="18"/>
                <w:szCs w:val="18"/>
              </w:rPr>
            </w:pPr>
            <w:r>
              <w:rPr>
                <w:b/>
                <w:bCs/>
                <w:color w:val="auto"/>
                <w:sz w:val="18"/>
                <w:szCs w:val="18"/>
              </w:rPr>
              <w:t xml:space="preserve">Model </w:t>
            </w:r>
            <w:r>
              <w:rPr>
                <w:rFonts w:hint="eastAsia"/>
                <w:b/>
                <w:bCs/>
                <w:color w:val="auto"/>
                <w:sz w:val="18"/>
                <w:szCs w:val="18"/>
              </w:rPr>
              <w:t>2</w:t>
            </w:r>
          </w:p>
          <w:p w14:paraId="3FC2F1A9">
            <w:pPr>
              <w:rPr>
                <w:b/>
                <w:bCs/>
                <w:color w:val="auto"/>
                <w:sz w:val="18"/>
                <w:szCs w:val="18"/>
              </w:rPr>
            </w:pPr>
            <w:r>
              <w:rPr>
                <w:rFonts w:hint="eastAsia"/>
                <w:b/>
                <w:bCs/>
                <w:color w:val="auto"/>
                <w:sz w:val="18"/>
                <w:szCs w:val="18"/>
              </w:rPr>
              <w:t>H</w:t>
            </w:r>
            <w:r>
              <w:rPr>
                <w:b/>
                <w:bCs/>
                <w:color w:val="auto"/>
                <w:sz w:val="18"/>
                <w:szCs w:val="18"/>
              </w:rPr>
              <w:t>R (95% CI)</w:t>
            </w:r>
          </w:p>
        </w:tc>
        <w:tc>
          <w:tcPr>
            <w:tcW w:w="861" w:type="dxa"/>
            <w:tcBorders>
              <w:top w:val="single" w:color="auto" w:sz="12" w:space="0"/>
              <w:bottom w:val="single" w:color="auto" w:sz="6" w:space="0"/>
            </w:tcBorders>
          </w:tcPr>
          <w:p w14:paraId="34BDBF7B">
            <w:pPr>
              <w:rPr>
                <w:b/>
                <w:bCs/>
                <w:color w:val="auto"/>
                <w:sz w:val="18"/>
                <w:szCs w:val="18"/>
              </w:rPr>
            </w:pPr>
            <w:r>
              <w:rPr>
                <w:b/>
                <w:bCs/>
                <w:i/>
                <w:iCs/>
                <w:color w:val="auto"/>
                <w:sz w:val="18"/>
                <w:szCs w:val="18"/>
              </w:rPr>
              <w:t xml:space="preserve">P </w:t>
            </w:r>
            <w:r>
              <w:rPr>
                <w:rFonts w:hint="eastAsia"/>
                <w:b/>
                <w:bCs/>
                <w:color w:val="auto"/>
                <w:sz w:val="18"/>
                <w:szCs w:val="18"/>
              </w:rPr>
              <w:t>value</w:t>
            </w:r>
          </w:p>
        </w:tc>
        <w:tc>
          <w:tcPr>
            <w:tcW w:w="1899" w:type="dxa"/>
            <w:tcBorders>
              <w:top w:val="single" w:color="auto" w:sz="12" w:space="0"/>
              <w:bottom w:val="single" w:color="auto" w:sz="6" w:space="0"/>
            </w:tcBorders>
          </w:tcPr>
          <w:p w14:paraId="6E67986A">
            <w:pPr>
              <w:rPr>
                <w:b/>
                <w:bCs/>
                <w:color w:val="auto"/>
                <w:sz w:val="18"/>
                <w:szCs w:val="18"/>
              </w:rPr>
            </w:pPr>
            <w:r>
              <w:rPr>
                <w:b/>
                <w:bCs/>
                <w:color w:val="auto"/>
                <w:sz w:val="18"/>
                <w:szCs w:val="18"/>
              </w:rPr>
              <w:t xml:space="preserve">Model </w:t>
            </w:r>
            <w:r>
              <w:rPr>
                <w:rFonts w:hint="eastAsia"/>
                <w:b/>
                <w:bCs/>
                <w:color w:val="auto"/>
                <w:sz w:val="18"/>
                <w:szCs w:val="18"/>
              </w:rPr>
              <w:t>3</w:t>
            </w:r>
          </w:p>
          <w:p w14:paraId="174F0655">
            <w:pPr>
              <w:rPr>
                <w:b/>
                <w:bCs/>
                <w:color w:val="auto"/>
                <w:sz w:val="18"/>
                <w:szCs w:val="18"/>
              </w:rPr>
            </w:pPr>
            <w:r>
              <w:rPr>
                <w:rFonts w:hint="eastAsia"/>
                <w:b/>
                <w:bCs/>
                <w:color w:val="auto"/>
                <w:sz w:val="18"/>
                <w:szCs w:val="18"/>
              </w:rPr>
              <w:t>H</w:t>
            </w:r>
            <w:r>
              <w:rPr>
                <w:b/>
                <w:bCs/>
                <w:color w:val="auto"/>
                <w:sz w:val="18"/>
                <w:szCs w:val="18"/>
              </w:rPr>
              <w:t>R (95% CI)</w:t>
            </w:r>
          </w:p>
        </w:tc>
        <w:tc>
          <w:tcPr>
            <w:tcW w:w="912" w:type="dxa"/>
            <w:tcBorders>
              <w:top w:val="single" w:color="auto" w:sz="12" w:space="0"/>
              <w:bottom w:val="single" w:color="auto" w:sz="6" w:space="0"/>
            </w:tcBorders>
          </w:tcPr>
          <w:p w14:paraId="4DB2AD0A">
            <w:pPr>
              <w:rPr>
                <w:b/>
                <w:bCs/>
                <w:color w:val="auto"/>
                <w:sz w:val="18"/>
                <w:szCs w:val="18"/>
              </w:rPr>
            </w:pPr>
            <w:r>
              <w:rPr>
                <w:b/>
                <w:bCs/>
                <w:i/>
                <w:iCs/>
                <w:color w:val="auto"/>
                <w:sz w:val="18"/>
                <w:szCs w:val="18"/>
              </w:rPr>
              <w:t xml:space="preserve">P </w:t>
            </w:r>
            <w:r>
              <w:rPr>
                <w:rFonts w:hint="eastAsia"/>
                <w:b/>
                <w:bCs/>
                <w:color w:val="auto"/>
                <w:sz w:val="18"/>
                <w:szCs w:val="18"/>
              </w:rPr>
              <w:t>value</w:t>
            </w:r>
          </w:p>
        </w:tc>
      </w:tr>
      <w:tr w14:paraId="15044A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0" w:type="auto"/>
            <w:tcBorders>
              <w:top w:val="single" w:color="auto" w:sz="6" w:space="0"/>
              <w:bottom w:val="nil"/>
            </w:tcBorders>
          </w:tcPr>
          <w:p w14:paraId="10CA23E5">
            <w:pPr>
              <w:rPr>
                <w:b/>
                <w:bCs/>
                <w:color w:val="auto"/>
                <w:sz w:val="18"/>
                <w:szCs w:val="18"/>
              </w:rPr>
            </w:pPr>
            <w:r>
              <w:rPr>
                <w:b/>
                <w:bCs/>
                <w:color w:val="auto"/>
                <w:sz w:val="18"/>
                <w:szCs w:val="18"/>
              </w:rPr>
              <w:t>All-cause mortality</w:t>
            </w:r>
          </w:p>
        </w:tc>
        <w:tc>
          <w:tcPr>
            <w:tcW w:w="1784" w:type="dxa"/>
            <w:tcBorders>
              <w:top w:val="single" w:color="auto" w:sz="6" w:space="0"/>
              <w:bottom w:val="nil"/>
            </w:tcBorders>
          </w:tcPr>
          <w:p w14:paraId="35CFD31F">
            <w:pPr>
              <w:rPr>
                <w:color w:val="auto"/>
                <w:sz w:val="18"/>
                <w:szCs w:val="18"/>
              </w:rPr>
            </w:pPr>
          </w:p>
        </w:tc>
        <w:tc>
          <w:tcPr>
            <w:tcW w:w="880" w:type="dxa"/>
            <w:tcBorders>
              <w:top w:val="single" w:color="auto" w:sz="6" w:space="0"/>
              <w:bottom w:val="nil"/>
            </w:tcBorders>
          </w:tcPr>
          <w:p w14:paraId="00E31851">
            <w:pPr>
              <w:rPr>
                <w:color w:val="auto"/>
                <w:sz w:val="18"/>
                <w:szCs w:val="18"/>
              </w:rPr>
            </w:pPr>
          </w:p>
        </w:tc>
        <w:tc>
          <w:tcPr>
            <w:tcW w:w="1958" w:type="dxa"/>
            <w:tcBorders>
              <w:top w:val="single" w:color="auto" w:sz="6" w:space="0"/>
              <w:bottom w:val="nil"/>
            </w:tcBorders>
          </w:tcPr>
          <w:p w14:paraId="23289CEA">
            <w:pPr>
              <w:rPr>
                <w:color w:val="auto"/>
                <w:sz w:val="18"/>
                <w:szCs w:val="18"/>
              </w:rPr>
            </w:pPr>
          </w:p>
        </w:tc>
        <w:tc>
          <w:tcPr>
            <w:tcW w:w="861" w:type="dxa"/>
            <w:tcBorders>
              <w:top w:val="single" w:color="auto" w:sz="6" w:space="0"/>
              <w:bottom w:val="nil"/>
            </w:tcBorders>
          </w:tcPr>
          <w:p w14:paraId="68188D68">
            <w:pPr>
              <w:rPr>
                <w:color w:val="auto"/>
                <w:sz w:val="18"/>
                <w:szCs w:val="18"/>
              </w:rPr>
            </w:pPr>
          </w:p>
        </w:tc>
        <w:tc>
          <w:tcPr>
            <w:tcW w:w="1899" w:type="dxa"/>
            <w:tcBorders>
              <w:top w:val="single" w:color="auto" w:sz="6" w:space="0"/>
              <w:bottom w:val="nil"/>
            </w:tcBorders>
          </w:tcPr>
          <w:p w14:paraId="10F5B04E">
            <w:pPr>
              <w:rPr>
                <w:color w:val="auto"/>
                <w:sz w:val="18"/>
                <w:szCs w:val="18"/>
              </w:rPr>
            </w:pPr>
          </w:p>
        </w:tc>
        <w:tc>
          <w:tcPr>
            <w:tcW w:w="912" w:type="dxa"/>
            <w:tcBorders>
              <w:top w:val="single" w:color="auto" w:sz="6" w:space="0"/>
              <w:bottom w:val="nil"/>
            </w:tcBorders>
          </w:tcPr>
          <w:p w14:paraId="3C795024">
            <w:pPr>
              <w:rPr>
                <w:color w:val="auto"/>
                <w:sz w:val="18"/>
                <w:szCs w:val="18"/>
              </w:rPr>
            </w:pPr>
          </w:p>
        </w:tc>
      </w:tr>
      <w:tr w14:paraId="27322D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0" w:type="auto"/>
            <w:tcBorders>
              <w:top w:val="nil"/>
            </w:tcBorders>
          </w:tcPr>
          <w:p w14:paraId="60ADA68B">
            <w:pPr>
              <w:rPr>
                <w:color w:val="auto"/>
                <w:sz w:val="18"/>
                <w:szCs w:val="18"/>
              </w:rPr>
            </w:pPr>
            <w:r>
              <w:rPr>
                <w:color w:val="auto"/>
                <w:sz w:val="18"/>
                <w:szCs w:val="18"/>
              </w:rPr>
              <w:t xml:space="preserve">TyGFI </w:t>
            </w:r>
          </w:p>
        </w:tc>
        <w:tc>
          <w:tcPr>
            <w:tcW w:w="1784" w:type="dxa"/>
            <w:tcBorders>
              <w:top w:val="nil"/>
            </w:tcBorders>
          </w:tcPr>
          <w:p w14:paraId="00DB04BB">
            <w:pPr>
              <w:rPr>
                <w:color w:val="auto"/>
                <w:sz w:val="18"/>
                <w:szCs w:val="18"/>
              </w:rPr>
            </w:pPr>
            <w:r>
              <w:rPr>
                <w:color w:val="auto"/>
                <w:sz w:val="18"/>
                <w:szCs w:val="18"/>
              </w:rPr>
              <w:t>1.99 (1.92~2.06)</w:t>
            </w:r>
          </w:p>
        </w:tc>
        <w:tc>
          <w:tcPr>
            <w:tcW w:w="880" w:type="dxa"/>
            <w:tcBorders>
              <w:top w:val="nil"/>
            </w:tcBorders>
          </w:tcPr>
          <w:p w14:paraId="6D51326D">
            <w:pPr>
              <w:rPr>
                <w:color w:val="auto"/>
                <w:sz w:val="18"/>
                <w:szCs w:val="18"/>
              </w:rPr>
            </w:pPr>
            <w:r>
              <w:rPr>
                <w:color w:val="auto"/>
                <w:sz w:val="18"/>
                <w:szCs w:val="18"/>
              </w:rPr>
              <w:t>&lt;0.001</w:t>
            </w:r>
          </w:p>
        </w:tc>
        <w:tc>
          <w:tcPr>
            <w:tcW w:w="1958" w:type="dxa"/>
            <w:tcBorders>
              <w:top w:val="nil"/>
            </w:tcBorders>
          </w:tcPr>
          <w:p w14:paraId="5F087E27">
            <w:pPr>
              <w:rPr>
                <w:color w:val="auto"/>
                <w:sz w:val="18"/>
                <w:szCs w:val="18"/>
              </w:rPr>
            </w:pPr>
            <w:r>
              <w:rPr>
                <w:color w:val="auto"/>
                <w:sz w:val="18"/>
                <w:szCs w:val="18"/>
              </w:rPr>
              <w:t>1.65 (1.59~1.73)</w:t>
            </w:r>
          </w:p>
        </w:tc>
        <w:tc>
          <w:tcPr>
            <w:tcW w:w="861" w:type="dxa"/>
            <w:tcBorders>
              <w:top w:val="nil"/>
            </w:tcBorders>
          </w:tcPr>
          <w:p w14:paraId="63DC7B9A">
            <w:pPr>
              <w:rPr>
                <w:color w:val="auto"/>
                <w:sz w:val="18"/>
                <w:szCs w:val="18"/>
              </w:rPr>
            </w:pPr>
            <w:r>
              <w:rPr>
                <w:color w:val="auto"/>
                <w:sz w:val="18"/>
                <w:szCs w:val="18"/>
              </w:rPr>
              <w:t>&lt;0.001</w:t>
            </w:r>
          </w:p>
        </w:tc>
        <w:tc>
          <w:tcPr>
            <w:tcW w:w="1899" w:type="dxa"/>
            <w:tcBorders>
              <w:top w:val="nil"/>
            </w:tcBorders>
          </w:tcPr>
          <w:p w14:paraId="1C7EB031">
            <w:pPr>
              <w:rPr>
                <w:color w:val="auto"/>
                <w:sz w:val="18"/>
                <w:szCs w:val="18"/>
              </w:rPr>
            </w:pPr>
            <w:r>
              <w:rPr>
                <w:rFonts w:cs="Times New Roman"/>
                <w:color w:val="auto"/>
                <w:kern w:val="0"/>
                <w:sz w:val="18"/>
                <w:szCs w:val="18"/>
              </w:rPr>
              <w:t>1.55 (1.47~1.63)</w:t>
            </w:r>
          </w:p>
        </w:tc>
        <w:tc>
          <w:tcPr>
            <w:tcW w:w="912" w:type="dxa"/>
            <w:tcBorders>
              <w:top w:val="nil"/>
            </w:tcBorders>
          </w:tcPr>
          <w:p w14:paraId="433A1B32">
            <w:pPr>
              <w:rPr>
                <w:color w:val="auto"/>
                <w:sz w:val="18"/>
                <w:szCs w:val="18"/>
              </w:rPr>
            </w:pPr>
            <w:r>
              <w:rPr>
                <w:color w:val="auto"/>
                <w:sz w:val="18"/>
                <w:szCs w:val="18"/>
              </w:rPr>
              <w:t>&lt;0.001</w:t>
            </w:r>
          </w:p>
        </w:tc>
      </w:tr>
      <w:tr w14:paraId="18F5DA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Pr>
          <w:p w14:paraId="4B03780B">
            <w:pPr>
              <w:rPr>
                <w:color w:val="auto"/>
                <w:sz w:val="18"/>
                <w:szCs w:val="18"/>
              </w:rPr>
            </w:pPr>
            <w:r>
              <w:rPr>
                <w:color w:val="auto"/>
                <w:sz w:val="18"/>
                <w:szCs w:val="18"/>
              </w:rPr>
              <w:t xml:space="preserve">TyGFI </w:t>
            </w:r>
            <w:r>
              <w:rPr>
                <w:rFonts w:hint="eastAsia"/>
                <w:color w:val="auto"/>
                <w:sz w:val="18"/>
                <w:szCs w:val="18"/>
              </w:rPr>
              <w:t>t</w:t>
            </w:r>
            <w:r>
              <w:rPr>
                <w:color w:val="auto"/>
                <w:sz w:val="18"/>
                <w:szCs w:val="18"/>
              </w:rPr>
              <w:t xml:space="preserve">ertiles  </w:t>
            </w:r>
          </w:p>
        </w:tc>
        <w:tc>
          <w:tcPr>
            <w:tcW w:w="1784" w:type="dxa"/>
          </w:tcPr>
          <w:p w14:paraId="5F21125D">
            <w:pPr>
              <w:rPr>
                <w:color w:val="auto"/>
                <w:sz w:val="18"/>
                <w:szCs w:val="18"/>
              </w:rPr>
            </w:pPr>
          </w:p>
        </w:tc>
        <w:tc>
          <w:tcPr>
            <w:tcW w:w="880" w:type="dxa"/>
          </w:tcPr>
          <w:p w14:paraId="12CA67DC">
            <w:pPr>
              <w:rPr>
                <w:color w:val="auto"/>
                <w:sz w:val="18"/>
                <w:szCs w:val="18"/>
              </w:rPr>
            </w:pPr>
          </w:p>
        </w:tc>
        <w:tc>
          <w:tcPr>
            <w:tcW w:w="1958" w:type="dxa"/>
          </w:tcPr>
          <w:p w14:paraId="79FF0FE0">
            <w:pPr>
              <w:rPr>
                <w:color w:val="auto"/>
                <w:sz w:val="18"/>
                <w:szCs w:val="18"/>
              </w:rPr>
            </w:pPr>
          </w:p>
        </w:tc>
        <w:tc>
          <w:tcPr>
            <w:tcW w:w="861" w:type="dxa"/>
          </w:tcPr>
          <w:p w14:paraId="491103FA">
            <w:pPr>
              <w:rPr>
                <w:color w:val="auto"/>
                <w:sz w:val="18"/>
                <w:szCs w:val="18"/>
              </w:rPr>
            </w:pPr>
          </w:p>
        </w:tc>
        <w:tc>
          <w:tcPr>
            <w:tcW w:w="1899" w:type="dxa"/>
          </w:tcPr>
          <w:p w14:paraId="2CD2748C">
            <w:pPr>
              <w:rPr>
                <w:color w:val="auto"/>
                <w:sz w:val="18"/>
                <w:szCs w:val="18"/>
              </w:rPr>
            </w:pPr>
          </w:p>
        </w:tc>
        <w:tc>
          <w:tcPr>
            <w:tcW w:w="912" w:type="dxa"/>
          </w:tcPr>
          <w:p w14:paraId="20CDF9D3">
            <w:pPr>
              <w:rPr>
                <w:color w:val="auto"/>
                <w:sz w:val="18"/>
                <w:szCs w:val="18"/>
              </w:rPr>
            </w:pPr>
          </w:p>
        </w:tc>
      </w:tr>
      <w:tr w14:paraId="366EB5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Pr>
          <w:p w14:paraId="2AD62CC7">
            <w:pPr>
              <w:rPr>
                <w:color w:val="auto"/>
                <w:sz w:val="18"/>
                <w:szCs w:val="18"/>
              </w:rPr>
            </w:pPr>
            <w:r>
              <w:rPr>
                <w:color w:val="auto"/>
                <w:sz w:val="18"/>
                <w:szCs w:val="18"/>
              </w:rPr>
              <w:t>  </w:t>
            </w:r>
            <w:r>
              <w:rPr>
                <w:rFonts w:hint="eastAsia"/>
                <w:color w:val="auto"/>
                <w:sz w:val="18"/>
                <w:szCs w:val="18"/>
              </w:rPr>
              <w:t>T</w:t>
            </w:r>
            <w:r>
              <w:rPr>
                <w:color w:val="auto"/>
                <w:sz w:val="18"/>
                <w:szCs w:val="18"/>
              </w:rPr>
              <w:t xml:space="preserve">1 </w:t>
            </w:r>
            <w:r>
              <w:rPr>
                <w:rFonts w:hint="eastAsia"/>
                <w:color w:val="auto"/>
                <w:sz w:val="18"/>
                <w:szCs w:val="18"/>
              </w:rPr>
              <w:t>(</w:t>
            </w:r>
            <w:r>
              <w:rPr>
                <w:color w:val="auto"/>
                <w:sz w:val="18"/>
                <w:szCs w:val="18"/>
              </w:rPr>
              <w:t>0.08-0.82</w:t>
            </w:r>
            <w:r>
              <w:rPr>
                <w:rFonts w:hint="eastAsia"/>
                <w:color w:val="auto"/>
                <w:sz w:val="18"/>
                <w:szCs w:val="18"/>
              </w:rPr>
              <w:t>)</w:t>
            </w:r>
          </w:p>
        </w:tc>
        <w:tc>
          <w:tcPr>
            <w:tcW w:w="1784" w:type="dxa"/>
          </w:tcPr>
          <w:p w14:paraId="7580A223">
            <w:pPr>
              <w:rPr>
                <w:color w:val="auto"/>
                <w:sz w:val="18"/>
                <w:szCs w:val="18"/>
              </w:rPr>
            </w:pPr>
            <w:r>
              <w:rPr>
                <w:color w:val="auto"/>
                <w:sz w:val="18"/>
                <w:szCs w:val="18"/>
              </w:rPr>
              <w:t>Reference</w:t>
            </w:r>
          </w:p>
        </w:tc>
        <w:tc>
          <w:tcPr>
            <w:tcW w:w="880" w:type="dxa"/>
          </w:tcPr>
          <w:p w14:paraId="62D8FC5E">
            <w:pPr>
              <w:rPr>
                <w:color w:val="auto"/>
                <w:sz w:val="18"/>
                <w:szCs w:val="18"/>
              </w:rPr>
            </w:pPr>
          </w:p>
        </w:tc>
        <w:tc>
          <w:tcPr>
            <w:tcW w:w="1958" w:type="dxa"/>
          </w:tcPr>
          <w:p w14:paraId="39569277">
            <w:pPr>
              <w:rPr>
                <w:color w:val="auto"/>
                <w:sz w:val="18"/>
                <w:szCs w:val="18"/>
              </w:rPr>
            </w:pPr>
            <w:r>
              <w:rPr>
                <w:color w:val="auto"/>
                <w:sz w:val="18"/>
                <w:szCs w:val="18"/>
              </w:rPr>
              <w:t>Reference</w:t>
            </w:r>
          </w:p>
        </w:tc>
        <w:tc>
          <w:tcPr>
            <w:tcW w:w="861" w:type="dxa"/>
          </w:tcPr>
          <w:p w14:paraId="493DC3C9">
            <w:pPr>
              <w:rPr>
                <w:color w:val="auto"/>
                <w:sz w:val="18"/>
                <w:szCs w:val="18"/>
              </w:rPr>
            </w:pPr>
          </w:p>
        </w:tc>
        <w:tc>
          <w:tcPr>
            <w:tcW w:w="1899" w:type="dxa"/>
          </w:tcPr>
          <w:p w14:paraId="618CC6B7">
            <w:pPr>
              <w:rPr>
                <w:color w:val="auto"/>
                <w:sz w:val="18"/>
                <w:szCs w:val="18"/>
              </w:rPr>
            </w:pPr>
            <w:r>
              <w:rPr>
                <w:color w:val="auto"/>
                <w:sz w:val="18"/>
                <w:szCs w:val="18"/>
              </w:rPr>
              <w:t>Reference</w:t>
            </w:r>
          </w:p>
        </w:tc>
        <w:tc>
          <w:tcPr>
            <w:tcW w:w="912" w:type="dxa"/>
          </w:tcPr>
          <w:p w14:paraId="70B04C5E">
            <w:pPr>
              <w:rPr>
                <w:color w:val="auto"/>
                <w:sz w:val="18"/>
                <w:szCs w:val="18"/>
              </w:rPr>
            </w:pPr>
          </w:p>
        </w:tc>
      </w:tr>
      <w:tr w14:paraId="53E9A2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0" w:type="auto"/>
          </w:tcPr>
          <w:p w14:paraId="5046F23C">
            <w:pPr>
              <w:rPr>
                <w:color w:val="auto"/>
                <w:sz w:val="18"/>
                <w:szCs w:val="18"/>
              </w:rPr>
            </w:pPr>
            <w:r>
              <w:rPr>
                <w:color w:val="auto"/>
                <w:sz w:val="18"/>
                <w:szCs w:val="18"/>
              </w:rPr>
              <w:t>  </w:t>
            </w:r>
            <w:r>
              <w:rPr>
                <w:rFonts w:hint="eastAsia"/>
                <w:color w:val="auto"/>
                <w:sz w:val="18"/>
                <w:szCs w:val="18"/>
              </w:rPr>
              <w:t>T</w:t>
            </w:r>
            <w:r>
              <w:rPr>
                <w:color w:val="auto"/>
                <w:sz w:val="18"/>
                <w:szCs w:val="18"/>
              </w:rPr>
              <w:t xml:space="preserve">2 </w:t>
            </w:r>
            <w:r>
              <w:rPr>
                <w:rFonts w:hint="eastAsia"/>
                <w:color w:val="auto"/>
                <w:sz w:val="18"/>
                <w:szCs w:val="18"/>
              </w:rPr>
              <w:t>(</w:t>
            </w:r>
            <w:r>
              <w:rPr>
                <w:color w:val="auto"/>
                <w:sz w:val="18"/>
                <w:szCs w:val="18"/>
              </w:rPr>
              <w:t>0.82-1.49</w:t>
            </w:r>
            <w:r>
              <w:rPr>
                <w:rFonts w:hint="eastAsia"/>
                <w:color w:val="auto"/>
                <w:sz w:val="18"/>
                <w:szCs w:val="18"/>
              </w:rPr>
              <w:t>)</w:t>
            </w:r>
          </w:p>
        </w:tc>
        <w:tc>
          <w:tcPr>
            <w:tcW w:w="1784" w:type="dxa"/>
          </w:tcPr>
          <w:p w14:paraId="4CC7C229">
            <w:pPr>
              <w:rPr>
                <w:color w:val="auto"/>
                <w:sz w:val="18"/>
                <w:szCs w:val="18"/>
              </w:rPr>
            </w:pPr>
            <w:r>
              <w:rPr>
                <w:color w:val="auto"/>
                <w:sz w:val="18"/>
                <w:szCs w:val="18"/>
              </w:rPr>
              <w:t>2.53 (2.1~3.04)</w:t>
            </w:r>
          </w:p>
        </w:tc>
        <w:tc>
          <w:tcPr>
            <w:tcW w:w="880" w:type="dxa"/>
          </w:tcPr>
          <w:p w14:paraId="26707AFC">
            <w:pPr>
              <w:rPr>
                <w:color w:val="auto"/>
                <w:sz w:val="18"/>
                <w:szCs w:val="18"/>
              </w:rPr>
            </w:pPr>
            <w:r>
              <w:rPr>
                <w:color w:val="auto"/>
                <w:sz w:val="18"/>
                <w:szCs w:val="18"/>
              </w:rPr>
              <w:t>&lt;0.001</w:t>
            </w:r>
          </w:p>
        </w:tc>
        <w:tc>
          <w:tcPr>
            <w:tcW w:w="1958" w:type="dxa"/>
          </w:tcPr>
          <w:p w14:paraId="442AD217">
            <w:pPr>
              <w:rPr>
                <w:color w:val="auto"/>
                <w:sz w:val="18"/>
                <w:szCs w:val="18"/>
              </w:rPr>
            </w:pPr>
            <w:r>
              <w:rPr>
                <w:rFonts w:hint="eastAsia"/>
                <w:color w:val="auto"/>
                <w:sz w:val="18"/>
                <w:szCs w:val="18"/>
              </w:rPr>
              <w:t>1.56 (1.3~1.88)</w:t>
            </w:r>
          </w:p>
        </w:tc>
        <w:tc>
          <w:tcPr>
            <w:tcW w:w="861" w:type="dxa"/>
          </w:tcPr>
          <w:p w14:paraId="39CA8D34">
            <w:pPr>
              <w:rPr>
                <w:color w:val="auto"/>
                <w:sz w:val="18"/>
                <w:szCs w:val="18"/>
              </w:rPr>
            </w:pPr>
            <w:r>
              <w:rPr>
                <w:color w:val="auto"/>
                <w:sz w:val="18"/>
                <w:szCs w:val="18"/>
              </w:rPr>
              <w:t>&lt;0.001</w:t>
            </w:r>
          </w:p>
        </w:tc>
        <w:tc>
          <w:tcPr>
            <w:tcW w:w="1899" w:type="dxa"/>
          </w:tcPr>
          <w:p w14:paraId="2A97DD5B">
            <w:pPr>
              <w:rPr>
                <w:color w:val="auto"/>
                <w:sz w:val="18"/>
                <w:szCs w:val="18"/>
              </w:rPr>
            </w:pPr>
            <w:r>
              <w:rPr>
                <w:rFonts w:hint="eastAsia" w:cs="Times New Roman"/>
                <w:color w:val="auto"/>
                <w:kern w:val="0"/>
                <w:sz w:val="18"/>
                <w:szCs w:val="18"/>
              </w:rPr>
              <w:t>1.57 (1.3~1.89)</w:t>
            </w:r>
          </w:p>
        </w:tc>
        <w:tc>
          <w:tcPr>
            <w:tcW w:w="912" w:type="dxa"/>
          </w:tcPr>
          <w:p w14:paraId="1F13C141">
            <w:pPr>
              <w:rPr>
                <w:color w:val="auto"/>
                <w:sz w:val="18"/>
                <w:szCs w:val="18"/>
              </w:rPr>
            </w:pPr>
            <w:r>
              <w:rPr>
                <w:color w:val="auto"/>
                <w:sz w:val="18"/>
                <w:szCs w:val="18"/>
              </w:rPr>
              <w:t>&lt;0.001</w:t>
            </w:r>
          </w:p>
        </w:tc>
      </w:tr>
      <w:tr w14:paraId="130DD7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tcPr>
          <w:p w14:paraId="4502173D">
            <w:pPr>
              <w:rPr>
                <w:color w:val="auto"/>
                <w:sz w:val="18"/>
                <w:szCs w:val="18"/>
              </w:rPr>
            </w:pPr>
            <w:r>
              <w:rPr>
                <w:color w:val="auto"/>
                <w:sz w:val="18"/>
                <w:szCs w:val="18"/>
              </w:rPr>
              <w:t>  </w:t>
            </w:r>
            <w:r>
              <w:rPr>
                <w:rFonts w:hint="eastAsia"/>
                <w:color w:val="auto"/>
                <w:sz w:val="18"/>
                <w:szCs w:val="18"/>
              </w:rPr>
              <w:t>T</w:t>
            </w:r>
            <w:r>
              <w:rPr>
                <w:color w:val="auto"/>
                <w:sz w:val="18"/>
                <w:szCs w:val="18"/>
              </w:rPr>
              <w:t xml:space="preserve">3 </w:t>
            </w:r>
            <w:r>
              <w:rPr>
                <w:rFonts w:hint="eastAsia"/>
                <w:color w:val="auto"/>
                <w:sz w:val="18"/>
                <w:szCs w:val="18"/>
              </w:rPr>
              <w:t>(</w:t>
            </w:r>
            <w:r>
              <w:rPr>
                <w:color w:val="auto"/>
                <w:sz w:val="18"/>
                <w:szCs w:val="18"/>
              </w:rPr>
              <w:t>1.49-5.98</w:t>
            </w:r>
            <w:r>
              <w:rPr>
                <w:rFonts w:hint="eastAsia"/>
                <w:color w:val="auto"/>
                <w:sz w:val="18"/>
                <w:szCs w:val="18"/>
              </w:rPr>
              <w:t>)</w:t>
            </w:r>
          </w:p>
        </w:tc>
        <w:tc>
          <w:tcPr>
            <w:tcW w:w="1784" w:type="dxa"/>
          </w:tcPr>
          <w:p w14:paraId="7C425C84">
            <w:pPr>
              <w:rPr>
                <w:color w:val="auto"/>
                <w:sz w:val="18"/>
                <w:szCs w:val="18"/>
              </w:rPr>
            </w:pPr>
            <w:r>
              <w:rPr>
                <w:color w:val="auto"/>
                <w:sz w:val="18"/>
                <w:szCs w:val="18"/>
              </w:rPr>
              <w:t>7.76 (6.56~9.17)</w:t>
            </w:r>
          </w:p>
        </w:tc>
        <w:tc>
          <w:tcPr>
            <w:tcW w:w="880" w:type="dxa"/>
          </w:tcPr>
          <w:p w14:paraId="18E44099">
            <w:pPr>
              <w:rPr>
                <w:color w:val="auto"/>
                <w:sz w:val="18"/>
                <w:szCs w:val="18"/>
              </w:rPr>
            </w:pPr>
            <w:r>
              <w:rPr>
                <w:color w:val="auto"/>
                <w:sz w:val="18"/>
                <w:szCs w:val="18"/>
              </w:rPr>
              <w:t>&lt;0.001</w:t>
            </w:r>
          </w:p>
        </w:tc>
        <w:tc>
          <w:tcPr>
            <w:tcW w:w="1958" w:type="dxa"/>
          </w:tcPr>
          <w:p w14:paraId="078EDED0">
            <w:pPr>
              <w:rPr>
                <w:color w:val="auto"/>
                <w:sz w:val="18"/>
                <w:szCs w:val="18"/>
              </w:rPr>
            </w:pPr>
            <w:r>
              <w:rPr>
                <w:rFonts w:hint="eastAsia"/>
                <w:color w:val="auto"/>
                <w:sz w:val="18"/>
                <w:szCs w:val="18"/>
              </w:rPr>
              <w:t>3.67 (3.09~4.35)</w:t>
            </w:r>
          </w:p>
        </w:tc>
        <w:tc>
          <w:tcPr>
            <w:tcW w:w="861" w:type="dxa"/>
          </w:tcPr>
          <w:p w14:paraId="0F069201">
            <w:pPr>
              <w:rPr>
                <w:color w:val="auto"/>
                <w:sz w:val="18"/>
                <w:szCs w:val="18"/>
              </w:rPr>
            </w:pPr>
            <w:r>
              <w:rPr>
                <w:color w:val="auto"/>
                <w:sz w:val="18"/>
                <w:szCs w:val="18"/>
              </w:rPr>
              <w:t>&lt;0.001</w:t>
            </w:r>
          </w:p>
        </w:tc>
        <w:tc>
          <w:tcPr>
            <w:tcW w:w="1899" w:type="dxa"/>
          </w:tcPr>
          <w:p w14:paraId="0A1BEBEF">
            <w:pPr>
              <w:rPr>
                <w:color w:val="auto"/>
                <w:sz w:val="18"/>
                <w:szCs w:val="18"/>
              </w:rPr>
            </w:pPr>
            <w:r>
              <w:rPr>
                <w:rFonts w:hint="eastAsia" w:cs="Times New Roman"/>
                <w:color w:val="auto"/>
                <w:kern w:val="0"/>
                <w:sz w:val="18"/>
                <w:szCs w:val="18"/>
              </w:rPr>
              <w:t>3.15 (2.62~3.78)</w:t>
            </w:r>
          </w:p>
        </w:tc>
        <w:tc>
          <w:tcPr>
            <w:tcW w:w="912" w:type="dxa"/>
          </w:tcPr>
          <w:p w14:paraId="6C36F2CF">
            <w:pPr>
              <w:rPr>
                <w:color w:val="auto"/>
                <w:sz w:val="18"/>
                <w:szCs w:val="18"/>
              </w:rPr>
            </w:pPr>
            <w:r>
              <w:rPr>
                <w:color w:val="auto"/>
                <w:sz w:val="18"/>
                <w:szCs w:val="18"/>
              </w:rPr>
              <w:t>&lt;0.001</w:t>
            </w:r>
          </w:p>
        </w:tc>
      </w:tr>
      <w:tr w14:paraId="2BE7B7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Borders>
              <w:bottom w:val="nil"/>
            </w:tcBorders>
          </w:tcPr>
          <w:p w14:paraId="151F7CC7">
            <w:pPr>
              <w:rPr>
                <w:color w:val="auto"/>
                <w:sz w:val="18"/>
                <w:szCs w:val="18"/>
              </w:rPr>
            </w:pPr>
            <w:r>
              <w:rPr>
                <w:i/>
                <w:iCs/>
                <w:color w:val="auto"/>
                <w:sz w:val="18"/>
                <w:szCs w:val="18"/>
              </w:rPr>
              <w:t>P</w:t>
            </w:r>
            <w:r>
              <w:rPr>
                <w:color w:val="auto"/>
                <w:sz w:val="18"/>
                <w:szCs w:val="18"/>
              </w:rPr>
              <w:t xml:space="preserve"> for trend</w:t>
            </w:r>
          </w:p>
        </w:tc>
        <w:tc>
          <w:tcPr>
            <w:tcW w:w="1784" w:type="dxa"/>
            <w:tcBorders>
              <w:bottom w:val="nil"/>
            </w:tcBorders>
          </w:tcPr>
          <w:p w14:paraId="74028DF2">
            <w:pPr>
              <w:rPr>
                <w:color w:val="auto"/>
                <w:sz w:val="18"/>
                <w:szCs w:val="18"/>
              </w:rPr>
            </w:pPr>
            <w:r>
              <w:rPr>
                <w:color w:val="auto"/>
                <w:sz w:val="18"/>
                <w:szCs w:val="18"/>
              </w:rPr>
              <w:t>2.87 (2.67~3.1)</w:t>
            </w:r>
          </w:p>
        </w:tc>
        <w:tc>
          <w:tcPr>
            <w:tcW w:w="880" w:type="dxa"/>
            <w:tcBorders>
              <w:bottom w:val="nil"/>
            </w:tcBorders>
          </w:tcPr>
          <w:p w14:paraId="210C6AD6">
            <w:pPr>
              <w:rPr>
                <w:color w:val="auto"/>
                <w:sz w:val="18"/>
                <w:szCs w:val="18"/>
              </w:rPr>
            </w:pPr>
            <w:r>
              <w:rPr>
                <w:color w:val="auto"/>
                <w:sz w:val="18"/>
                <w:szCs w:val="18"/>
              </w:rPr>
              <w:t>&lt;0.001</w:t>
            </w:r>
          </w:p>
        </w:tc>
        <w:tc>
          <w:tcPr>
            <w:tcW w:w="1958" w:type="dxa"/>
            <w:tcBorders>
              <w:bottom w:val="nil"/>
            </w:tcBorders>
          </w:tcPr>
          <w:p w14:paraId="746B5933">
            <w:pPr>
              <w:rPr>
                <w:color w:val="auto"/>
                <w:sz w:val="18"/>
                <w:szCs w:val="18"/>
              </w:rPr>
            </w:pPr>
            <w:r>
              <w:rPr>
                <w:rFonts w:hint="eastAsia"/>
                <w:color w:val="auto"/>
                <w:sz w:val="18"/>
                <w:szCs w:val="18"/>
              </w:rPr>
              <w:t>2.05 (1.9~2.22)</w:t>
            </w:r>
          </w:p>
        </w:tc>
        <w:tc>
          <w:tcPr>
            <w:tcW w:w="861" w:type="dxa"/>
            <w:tcBorders>
              <w:bottom w:val="nil"/>
            </w:tcBorders>
          </w:tcPr>
          <w:p w14:paraId="5549E1FA">
            <w:pPr>
              <w:rPr>
                <w:color w:val="auto"/>
                <w:sz w:val="18"/>
                <w:szCs w:val="18"/>
              </w:rPr>
            </w:pPr>
            <w:r>
              <w:rPr>
                <w:color w:val="auto"/>
                <w:sz w:val="18"/>
                <w:szCs w:val="18"/>
              </w:rPr>
              <w:t>&lt;0.001</w:t>
            </w:r>
          </w:p>
        </w:tc>
        <w:tc>
          <w:tcPr>
            <w:tcW w:w="1899" w:type="dxa"/>
            <w:tcBorders>
              <w:bottom w:val="nil"/>
            </w:tcBorders>
          </w:tcPr>
          <w:p w14:paraId="0E6F15C1">
            <w:pPr>
              <w:rPr>
                <w:color w:val="auto"/>
                <w:sz w:val="18"/>
                <w:szCs w:val="18"/>
              </w:rPr>
            </w:pPr>
            <w:r>
              <w:rPr>
                <w:rFonts w:cs="Times New Roman"/>
                <w:color w:val="auto"/>
                <w:kern w:val="0"/>
                <w:sz w:val="18"/>
                <w:szCs w:val="18"/>
              </w:rPr>
              <w:t>1.84 (1.7~2.01)</w:t>
            </w:r>
          </w:p>
        </w:tc>
        <w:tc>
          <w:tcPr>
            <w:tcW w:w="912" w:type="dxa"/>
            <w:tcBorders>
              <w:bottom w:val="nil"/>
            </w:tcBorders>
          </w:tcPr>
          <w:p w14:paraId="56A25019">
            <w:pPr>
              <w:rPr>
                <w:color w:val="auto"/>
                <w:sz w:val="18"/>
                <w:szCs w:val="18"/>
              </w:rPr>
            </w:pPr>
            <w:r>
              <w:rPr>
                <w:color w:val="auto"/>
                <w:sz w:val="18"/>
                <w:szCs w:val="18"/>
              </w:rPr>
              <w:t>&lt;0.001</w:t>
            </w:r>
          </w:p>
        </w:tc>
      </w:tr>
      <w:tr w14:paraId="7146EB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Borders>
              <w:top w:val="nil"/>
              <w:bottom w:val="nil"/>
            </w:tcBorders>
          </w:tcPr>
          <w:p w14:paraId="73815DCC">
            <w:pPr>
              <w:rPr>
                <w:b/>
                <w:bCs/>
                <w:color w:val="auto"/>
                <w:sz w:val="18"/>
                <w:szCs w:val="18"/>
              </w:rPr>
            </w:pPr>
            <w:r>
              <w:rPr>
                <w:b/>
                <w:bCs/>
                <w:color w:val="auto"/>
                <w:sz w:val="18"/>
                <w:szCs w:val="18"/>
              </w:rPr>
              <w:t>CVD mortality</w:t>
            </w:r>
          </w:p>
        </w:tc>
        <w:tc>
          <w:tcPr>
            <w:tcW w:w="1784" w:type="dxa"/>
            <w:tcBorders>
              <w:top w:val="nil"/>
              <w:bottom w:val="nil"/>
            </w:tcBorders>
          </w:tcPr>
          <w:p w14:paraId="44F85086">
            <w:pPr>
              <w:rPr>
                <w:color w:val="auto"/>
                <w:sz w:val="18"/>
                <w:szCs w:val="18"/>
              </w:rPr>
            </w:pPr>
          </w:p>
        </w:tc>
        <w:tc>
          <w:tcPr>
            <w:tcW w:w="880" w:type="dxa"/>
            <w:tcBorders>
              <w:top w:val="nil"/>
              <w:bottom w:val="nil"/>
            </w:tcBorders>
          </w:tcPr>
          <w:p w14:paraId="0535F070">
            <w:pPr>
              <w:rPr>
                <w:color w:val="auto"/>
                <w:sz w:val="18"/>
                <w:szCs w:val="18"/>
              </w:rPr>
            </w:pPr>
          </w:p>
        </w:tc>
        <w:tc>
          <w:tcPr>
            <w:tcW w:w="1958" w:type="dxa"/>
            <w:tcBorders>
              <w:top w:val="nil"/>
              <w:bottom w:val="nil"/>
            </w:tcBorders>
          </w:tcPr>
          <w:p w14:paraId="01559E4E">
            <w:pPr>
              <w:rPr>
                <w:color w:val="auto"/>
                <w:sz w:val="18"/>
                <w:szCs w:val="18"/>
              </w:rPr>
            </w:pPr>
          </w:p>
        </w:tc>
        <w:tc>
          <w:tcPr>
            <w:tcW w:w="861" w:type="dxa"/>
            <w:tcBorders>
              <w:top w:val="nil"/>
              <w:bottom w:val="nil"/>
            </w:tcBorders>
          </w:tcPr>
          <w:p w14:paraId="4CA6D0DB">
            <w:pPr>
              <w:rPr>
                <w:color w:val="auto"/>
                <w:sz w:val="18"/>
                <w:szCs w:val="18"/>
              </w:rPr>
            </w:pPr>
          </w:p>
        </w:tc>
        <w:tc>
          <w:tcPr>
            <w:tcW w:w="1899" w:type="dxa"/>
            <w:tcBorders>
              <w:top w:val="nil"/>
              <w:bottom w:val="nil"/>
            </w:tcBorders>
          </w:tcPr>
          <w:p w14:paraId="36A73614">
            <w:pPr>
              <w:rPr>
                <w:color w:val="auto"/>
                <w:sz w:val="18"/>
                <w:szCs w:val="18"/>
              </w:rPr>
            </w:pPr>
          </w:p>
        </w:tc>
        <w:tc>
          <w:tcPr>
            <w:tcW w:w="912" w:type="dxa"/>
            <w:tcBorders>
              <w:top w:val="nil"/>
              <w:bottom w:val="nil"/>
            </w:tcBorders>
          </w:tcPr>
          <w:p w14:paraId="47D27E5F">
            <w:pPr>
              <w:rPr>
                <w:color w:val="auto"/>
                <w:sz w:val="18"/>
                <w:szCs w:val="18"/>
              </w:rPr>
            </w:pPr>
          </w:p>
        </w:tc>
      </w:tr>
      <w:tr w14:paraId="3BC1CF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Borders>
              <w:top w:val="nil"/>
            </w:tcBorders>
          </w:tcPr>
          <w:p w14:paraId="48D61F78">
            <w:pPr>
              <w:rPr>
                <w:color w:val="auto"/>
                <w:sz w:val="18"/>
                <w:szCs w:val="18"/>
              </w:rPr>
            </w:pPr>
            <w:r>
              <w:rPr>
                <w:color w:val="auto"/>
                <w:sz w:val="18"/>
                <w:szCs w:val="18"/>
              </w:rPr>
              <w:t xml:space="preserve">TyGFI </w:t>
            </w:r>
          </w:p>
        </w:tc>
        <w:tc>
          <w:tcPr>
            <w:tcW w:w="1784" w:type="dxa"/>
            <w:tcBorders>
              <w:top w:val="nil"/>
            </w:tcBorders>
          </w:tcPr>
          <w:p w14:paraId="59820AF2">
            <w:pPr>
              <w:rPr>
                <w:color w:val="auto"/>
                <w:sz w:val="18"/>
                <w:szCs w:val="18"/>
              </w:rPr>
            </w:pPr>
            <w:r>
              <w:rPr>
                <w:color w:val="auto"/>
                <w:sz w:val="18"/>
                <w:szCs w:val="18"/>
              </w:rPr>
              <w:t>2.06 (1.93~2.2)</w:t>
            </w:r>
          </w:p>
        </w:tc>
        <w:tc>
          <w:tcPr>
            <w:tcW w:w="880" w:type="dxa"/>
            <w:tcBorders>
              <w:top w:val="nil"/>
            </w:tcBorders>
          </w:tcPr>
          <w:p w14:paraId="6CEAC346">
            <w:pPr>
              <w:rPr>
                <w:color w:val="auto"/>
                <w:sz w:val="18"/>
                <w:szCs w:val="18"/>
              </w:rPr>
            </w:pPr>
            <w:r>
              <w:rPr>
                <w:color w:val="auto"/>
                <w:sz w:val="18"/>
                <w:szCs w:val="18"/>
              </w:rPr>
              <w:t>&lt;0.001</w:t>
            </w:r>
          </w:p>
        </w:tc>
        <w:tc>
          <w:tcPr>
            <w:tcW w:w="1958" w:type="dxa"/>
            <w:tcBorders>
              <w:top w:val="nil"/>
            </w:tcBorders>
          </w:tcPr>
          <w:p w14:paraId="05523AB6">
            <w:pPr>
              <w:rPr>
                <w:color w:val="auto"/>
                <w:sz w:val="18"/>
                <w:szCs w:val="18"/>
              </w:rPr>
            </w:pPr>
            <w:r>
              <w:rPr>
                <w:color w:val="auto"/>
                <w:sz w:val="18"/>
                <w:szCs w:val="18"/>
              </w:rPr>
              <w:t>1.7 (1.58~1.83)</w:t>
            </w:r>
          </w:p>
        </w:tc>
        <w:tc>
          <w:tcPr>
            <w:tcW w:w="861" w:type="dxa"/>
            <w:tcBorders>
              <w:top w:val="nil"/>
            </w:tcBorders>
          </w:tcPr>
          <w:p w14:paraId="3EA30958">
            <w:pPr>
              <w:rPr>
                <w:color w:val="auto"/>
                <w:sz w:val="18"/>
                <w:szCs w:val="18"/>
              </w:rPr>
            </w:pPr>
            <w:r>
              <w:rPr>
                <w:color w:val="auto"/>
                <w:sz w:val="18"/>
                <w:szCs w:val="18"/>
              </w:rPr>
              <w:t>&lt;0.001</w:t>
            </w:r>
          </w:p>
        </w:tc>
        <w:tc>
          <w:tcPr>
            <w:tcW w:w="1899" w:type="dxa"/>
            <w:tcBorders>
              <w:top w:val="nil"/>
            </w:tcBorders>
          </w:tcPr>
          <w:p w14:paraId="0FAA5BC6">
            <w:pPr>
              <w:rPr>
                <w:color w:val="auto"/>
                <w:sz w:val="18"/>
                <w:szCs w:val="18"/>
              </w:rPr>
            </w:pPr>
            <w:r>
              <w:rPr>
                <w:rFonts w:cs="Times New Roman"/>
                <w:color w:val="auto"/>
                <w:kern w:val="0"/>
                <w:sz w:val="18"/>
                <w:szCs w:val="18"/>
              </w:rPr>
              <w:t>1.56 (1.43~1.7)</w:t>
            </w:r>
          </w:p>
        </w:tc>
        <w:tc>
          <w:tcPr>
            <w:tcW w:w="912" w:type="dxa"/>
            <w:tcBorders>
              <w:top w:val="nil"/>
            </w:tcBorders>
          </w:tcPr>
          <w:p w14:paraId="158F7680">
            <w:pPr>
              <w:rPr>
                <w:color w:val="auto"/>
                <w:sz w:val="18"/>
                <w:szCs w:val="18"/>
              </w:rPr>
            </w:pPr>
            <w:r>
              <w:rPr>
                <w:color w:val="auto"/>
                <w:sz w:val="18"/>
                <w:szCs w:val="18"/>
              </w:rPr>
              <w:t>&lt;0.001</w:t>
            </w:r>
          </w:p>
        </w:tc>
      </w:tr>
      <w:tr w14:paraId="3A85A0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Pr>
          <w:p w14:paraId="1541B0BA">
            <w:pPr>
              <w:rPr>
                <w:i/>
                <w:iCs/>
                <w:color w:val="auto"/>
                <w:sz w:val="18"/>
                <w:szCs w:val="18"/>
              </w:rPr>
            </w:pPr>
            <w:r>
              <w:rPr>
                <w:color w:val="auto"/>
                <w:sz w:val="18"/>
                <w:szCs w:val="18"/>
              </w:rPr>
              <w:t xml:space="preserve">TyGFI </w:t>
            </w:r>
            <w:r>
              <w:rPr>
                <w:rFonts w:hint="eastAsia"/>
                <w:color w:val="auto"/>
                <w:sz w:val="18"/>
                <w:szCs w:val="18"/>
              </w:rPr>
              <w:t>t</w:t>
            </w:r>
            <w:r>
              <w:rPr>
                <w:color w:val="auto"/>
                <w:sz w:val="18"/>
                <w:szCs w:val="18"/>
              </w:rPr>
              <w:t xml:space="preserve">ertiles  </w:t>
            </w:r>
          </w:p>
        </w:tc>
        <w:tc>
          <w:tcPr>
            <w:tcW w:w="1784" w:type="dxa"/>
          </w:tcPr>
          <w:p w14:paraId="14257988">
            <w:pPr>
              <w:rPr>
                <w:color w:val="auto"/>
                <w:sz w:val="18"/>
                <w:szCs w:val="18"/>
              </w:rPr>
            </w:pPr>
          </w:p>
        </w:tc>
        <w:tc>
          <w:tcPr>
            <w:tcW w:w="880" w:type="dxa"/>
          </w:tcPr>
          <w:p w14:paraId="7CB42574">
            <w:pPr>
              <w:rPr>
                <w:color w:val="auto"/>
                <w:sz w:val="18"/>
                <w:szCs w:val="18"/>
              </w:rPr>
            </w:pPr>
          </w:p>
        </w:tc>
        <w:tc>
          <w:tcPr>
            <w:tcW w:w="1958" w:type="dxa"/>
          </w:tcPr>
          <w:p w14:paraId="260DC52F">
            <w:pPr>
              <w:rPr>
                <w:color w:val="auto"/>
                <w:sz w:val="18"/>
                <w:szCs w:val="18"/>
              </w:rPr>
            </w:pPr>
          </w:p>
        </w:tc>
        <w:tc>
          <w:tcPr>
            <w:tcW w:w="861" w:type="dxa"/>
          </w:tcPr>
          <w:p w14:paraId="7952613B">
            <w:pPr>
              <w:rPr>
                <w:color w:val="auto"/>
                <w:sz w:val="18"/>
                <w:szCs w:val="18"/>
              </w:rPr>
            </w:pPr>
          </w:p>
        </w:tc>
        <w:tc>
          <w:tcPr>
            <w:tcW w:w="1899" w:type="dxa"/>
          </w:tcPr>
          <w:p w14:paraId="6869075F">
            <w:pPr>
              <w:rPr>
                <w:color w:val="auto"/>
                <w:sz w:val="18"/>
                <w:szCs w:val="18"/>
              </w:rPr>
            </w:pPr>
          </w:p>
        </w:tc>
        <w:tc>
          <w:tcPr>
            <w:tcW w:w="912" w:type="dxa"/>
          </w:tcPr>
          <w:p w14:paraId="204CB9EE">
            <w:pPr>
              <w:rPr>
                <w:color w:val="auto"/>
                <w:sz w:val="18"/>
                <w:szCs w:val="18"/>
              </w:rPr>
            </w:pPr>
          </w:p>
        </w:tc>
      </w:tr>
      <w:tr w14:paraId="615289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Pr>
          <w:p w14:paraId="337C5AAD">
            <w:pPr>
              <w:rPr>
                <w:i/>
                <w:iCs/>
                <w:color w:val="auto"/>
                <w:sz w:val="18"/>
                <w:szCs w:val="18"/>
              </w:rPr>
            </w:pPr>
            <w:r>
              <w:rPr>
                <w:color w:val="auto"/>
                <w:sz w:val="18"/>
                <w:szCs w:val="18"/>
              </w:rPr>
              <w:t xml:space="preserve">   </w:t>
            </w:r>
            <w:r>
              <w:rPr>
                <w:rFonts w:hint="eastAsia"/>
                <w:color w:val="auto"/>
                <w:sz w:val="18"/>
                <w:szCs w:val="18"/>
              </w:rPr>
              <w:t>T</w:t>
            </w:r>
            <w:r>
              <w:rPr>
                <w:color w:val="auto"/>
                <w:sz w:val="18"/>
                <w:szCs w:val="18"/>
              </w:rPr>
              <w:t xml:space="preserve">1 </w:t>
            </w:r>
            <w:r>
              <w:rPr>
                <w:rFonts w:hint="eastAsia"/>
                <w:color w:val="auto"/>
                <w:sz w:val="18"/>
                <w:szCs w:val="18"/>
              </w:rPr>
              <w:t>(</w:t>
            </w:r>
            <w:r>
              <w:rPr>
                <w:color w:val="auto"/>
                <w:sz w:val="18"/>
                <w:szCs w:val="18"/>
              </w:rPr>
              <w:t>0.08-0.82</w:t>
            </w:r>
            <w:r>
              <w:rPr>
                <w:rFonts w:hint="eastAsia"/>
                <w:color w:val="auto"/>
                <w:sz w:val="18"/>
                <w:szCs w:val="18"/>
              </w:rPr>
              <w:t>)</w:t>
            </w:r>
          </w:p>
        </w:tc>
        <w:tc>
          <w:tcPr>
            <w:tcW w:w="1784" w:type="dxa"/>
          </w:tcPr>
          <w:p w14:paraId="44AF74DE">
            <w:pPr>
              <w:rPr>
                <w:color w:val="auto"/>
                <w:sz w:val="18"/>
                <w:szCs w:val="18"/>
              </w:rPr>
            </w:pPr>
            <w:r>
              <w:rPr>
                <w:color w:val="auto"/>
                <w:sz w:val="18"/>
                <w:szCs w:val="18"/>
              </w:rPr>
              <w:t>Reference</w:t>
            </w:r>
          </w:p>
        </w:tc>
        <w:tc>
          <w:tcPr>
            <w:tcW w:w="880" w:type="dxa"/>
          </w:tcPr>
          <w:p w14:paraId="1A233035">
            <w:pPr>
              <w:rPr>
                <w:color w:val="auto"/>
                <w:sz w:val="18"/>
                <w:szCs w:val="18"/>
              </w:rPr>
            </w:pPr>
          </w:p>
        </w:tc>
        <w:tc>
          <w:tcPr>
            <w:tcW w:w="1958" w:type="dxa"/>
          </w:tcPr>
          <w:p w14:paraId="52FD26A3">
            <w:pPr>
              <w:rPr>
                <w:color w:val="auto"/>
                <w:sz w:val="18"/>
                <w:szCs w:val="18"/>
              </w:rPr>
            </w:pPr>
            <w:r>
              <w:rPr>
                <w:color w:val="auto"/>
                <w:sz w:val="18"/>
                <w:szCs w:val="18"/>
              </w:rPr>
              <w:t>Reference</w:t>
            </w:r>
          </w:p>
        </w:tc>
        <w:tc>
          <w:tcPr>
            <w:tcW w:w="861" w:type="dxa"/>
          </w:tcPr>
          <w:p w14:paraId="54C01CB2">
            <w:pPr>
              <w:rPr>
                <w:color w:val="auto"/>
                <w:sz w:val="18"/>
                <w:szCs w:val="18"/>
              </w:rPr>
            </w:pPr>
          </w:p>
        </w:tc>
        <w:tc>
          <w:tcPr>
            <w:tcW w:w="1899" w:type="dxa"/>
          </w:tcPr>
          <w:p w14:paraId="6919BE90">
            <w:pPr>
              <w:rPr>
                <w:color w:val="auto"/>
                <w:sz w:val="18"/>
                <w:szCs w:val="18"/>
              </w:rPr>
            </w:pPr>
            <w:r>
              <w:rPr>
                <w:color w:val="auto"/>
                <w:sz w:val="18"/>
                <w:szCs w:val="18"/>
              </w:rPr>
              <w:t>Reference</w:t>
            </w:r>
          </w:p>
        </w:tc>
        <w:tc>
          <w:tcPr>
            <w:tcW w:w="912" w:type="dxa"/>
          </w:tcPr>
          <w:p w14:paraId="1BB09BB7">
            <w:pPr>
              <w:rPr>
                <w:color w:val="auto"/>
                <w:sz w:val="18"/>
                <w:szCs w:val="18"/>
              </w:rPr>
            </w:pPr>
          </w:p>
        </w:tc>
      </w:tr>
      <w:tr w14:paraId="3780EE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Pr>
          <w:p w14:paraId="3673F0C4">
            <w:pPr>
              <w:rPr>
                <w:i/>
                <w:iCs/>
                <w:color w:val="auto"/>
                <w:sz w:val="18"/>
                <w:szCs w:val="18"/>
              </w:rPr>
            </w:pPr>
            <w:r>
              <w:rPr>
                <w:color w:val="auto"/>
                <w:sz w:val="18"/>
                <w:szCs w:val="18"/>
              </w:rPr>
              <w:t xml:space="preserve">   </w:t>
            </w:r>
            <w:r>
              <w:rPr>
                <w:rFonts w:hint="eastAsia"/>
                <w:color w:val="auto"/>
                <w:sz w:val="18"/>
                <w:szCs w:val="18"/>
              </w:rPr>
              <w:t>T</w:t>
            </w:r>
            <w:r>
              <w:rPr>
                <w:color w:val="auto"/>
                <w:sz w:val="18"/>
                <w:szCs w:val="18"/>
              </w:rPr>
              <w:t xml:space="preserve">2 </w:t>
            </w:r>
            <w:r>
              <w:rPr>
                <w:rFonts w:hint="eastAsia"/>
                <w:color w:val="auto"/>
                <w:sz w:val="18"/>
                <w:szCs w:val="18"/>
              </w:rPr>
              <w:t>(</w:t>
            </w:r>
            <w:r>
              <w:rPr>
                <w:color w:val="auto"/>
                <w:sz w:val="18"/>
                <w:szCs w:val="18"/>
              </w:rPr>
              <w:t>0.82-1.49</w:t>
            </w:r>
            <w:r>
              <w:rPr>
                <w:rFonts w:hint="eastAsia"/>
                <w:color w:val="auto"/>
                <w:sz w:val="18"/>
                <w:szCs w:val="18"/>
              </w:rPr>
              <w:t>)</w:t>
            </w:r>
          </w:p>
        </w:tc>
        <w:tc>
          <w:tcPr>
            <w:tcW w:w="1784" w:type="dxa"/>
          </w:tcPr>
          <w:p w14:paraId="18E8636D">
            <w:pPr>
              <w:rPr>
                <w:color w:val="auto"/>
                <w:sz w:val="18"/>
                <w:szCs w:val="18"/>
              </w:rPr>
            </w:pPr>
            <w:r>
              <w:rPr>
                <w:color w:val="auto"/>
                <w:sz w:val="18"/>
                <w:szCs w:val="18"/>
              </w:rPr>
              <w:t>2.68 (1.89~3.79)</w:t>
            </w:r>
          </w:p>
        </w:tc>
        <w:tc>
          <w:tcPr>
            <w:tcW w:w="880" w:type="dxa"/>
          </w:tcPr>
          <w:p w14:paraId="263B065F">
            <w:pPr>
              <w:rPr>
                <w:color w:val="auto"/>
                <w:sz w:val="18"/>
                <w:szCs w:val="18"/>
              </w:rPr>
            </w:pPr>
            <w:r>
              <w:rPr>
                <w:color w:val="auto"/>
                <w:sz w:val="18"/>
                <w:szCs w:val="18"/>
              </w:rPr>
              <w:t>&lt;0.001</w:t>
            </w:r>
          </w:p>
        </w:tc>
        <w:tc>
          <w:tcPr>
            <w:tcW w:w="1958" w:type="dxa"/>
          </w:tcPr>
          <w:p w14:paraId="41701FB6">
            <w:pPr>
              <w:rPr>
                <w:color w:val="auto"/>
                <w:sz w:val="18"/>
                <w:szCs w:val="18"/>
              </w:rPr>
            </w:pPr>
            <w:r>
              <w:rPr>
                <w:rFonts w:hint="eastAsia"/>
                <w:color w:val="auto"/>
                <w:sz w:val="18"/>
                <w:szCs w:val="18"/>
              </w:rPr>
              <w:t>1.55 (1.1~2.2)</w:t>
            </w:r>
          </w:p>
        </w:tc>
        <w:tc>
          <w:tcPr>
            <w:tcW w:w="861" w:type="dxa"/>
          </w:tcPr>
          <w:p w14:paraId="057D619D">
            <w:pPr>
              <w:rPr>
                <w:color w:val="auto"/>
                <w:sz w:val="18"/>
                <w:szCs w:val="18"/>
              </w:rPr>
            </w:pPr>
            <w:r>
              <w:rPr>
                <w:rFonts w:hint="eastAsia"/>
                <w:color w:val="auto"/>
                <w:sz w:val="18"/>
                <w:szCs w:val="18"/>
              </w:rPr>
              <w:t>0.013</w:t>
            </w:r>
          </w:p>
        </w:tc>
        <w:tc>
          <w:tcPr>
            <w:tcW w:w="1899" w:type="dxa"/>
          </w:tcPr>
          <w:p w14:paraId="36166501">
            <w:pPr>
              <w:rPr>
                <w:color w:val="auto"/>
                <w:sz w:val="18"/>
                <w:szCs w:val="18"/>
              </w:rPr>
            </w:pPr>
            <w:r>
              <w:rPr>
                <w:rFonts w:cs="Times New Roman"/>
                <w:color w:val="auto"/>
                <w:kern w:val="0"/>
                <w:sz w:val="18"/>
                <w:szCs w:val="18"/>
              </w:rPr>
              <w:t>1.51 (1.06~2.16)</w:t>
            </w:r>
          </w:p>
        </w:tc>
        <w:tc>
          <w:tcPr>
            <w:tcW w:w="912" w:type="dxa"/>
          </w:tcPr>
          <w:p w14:paraId="142DAE35">
            <w:pPr>
              <w:rPr>
                <w:color w:val="auto"/>
                <w:sz w:val="18"/>
                <w:szCs w:val="18"/>
              </w:rPr>
            </w:pPr>
            <w:r>
              <w:rPr>
                <w:rFonts w:hint="eastAsia" w:cs="Times New Roman"/>
                <w:color w:val="auto"/>
                <w:kern w:val="0"/>
                <w:sz w:val="18"/>
                <w:szCs w:val="18"/>
              </w:rPr>
              <w:t>0.023</w:t>
            </w:r>
          </w:p>
        </w:tc>
      </w:tr>
      <w:tr w14:paraId="15CF31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Pr>
          <w:p w14:paraId="68538713">
            <w:pPr>
              <w:rPr>
                <w:i/>
                <w:iCs/>
                <w:color w:val="auto"/>
                <w:sz w:val="18"/>
                <w:szCs w:val="18"/>
              </w:rPr>
            </w:pPr>
            <w:r>
              <w:rPr>
                <w:color w:val="auto"/>
                <w:sz w:val="18"/>
                <w:szCs w:val="18"/>
              </w:rPr>
              <w:t xml:space="preserve">   </w:t>
            </w:r>
            <w:r>
              <w:rPr>
                <w:rFonts w:hint="eastAsia"/>
                <w:color w:val="auto"/>
                <w:sz w:val="18"/>
                <w:szCs w:val="18"/>
              </w:rPr>
              <w:t>T</w:t>
            </w:r>
            <w:r>
              <w:rPr>
                <w:color w:val="auto"/>
                <w:sz w:val="18"/>
                <w:szCs w:val="18"/>
              </w:rPr>
              <w:t xml:space="preserve">3 </w:t>
            </w:r>
            <w:r>
              <w:rPr>
                <w:rFonts w:hint="eastAsia"/>
                <w:color w:val="auto"/>
                <w:sz w:val="18"/>
                <w:szCs w:val="18"/>
              </w:rPr>
              <w:t>(</w:t>
            </w:r>
            <w:r>
              <w:rPr>
                <w:color w:val="auto"/>
                <w:sz w:val="18"/>
                <w:szCs w:val="18"/>
              </w:rPr>
              <w:t>1.49-5.98</w:t>
            </w:r>
            <w:r>
              <w:rPr>
                <w:rFonts w:hint="eastAsia"/>
                <w:color w:val="auto"/>
                <w:sz w:val="18"/>
                <w:szCs w:val="18"/>
              </w:rPr>
              <w:t>)</w:t>
            </w:r>
          </w:p>
        </w:tc>
        <w:tc>
          <w:tcPr>
            <w:tcW w:w="1784" w:type="dxa"/>
          </w:tcPr>
          <w:p w14:paraId="6771C981">
            <w:pPr>
              <w:rPr>
                <w:color w:val="auto"/>
                <w:sz w:val="18"/>
                <w:szCs w:val="18"/>
              </w:rPr>
            </w:pPr>
            <w:r>
              <w:rPr>
                <w:color w:val="auto"/>
                <w:sz w:val="18"/>
                <w:szCs w:val="18"/>
              </w:rPr>
              <w:t>9.25 (6.76~12.66)</w:t>
            </w:r>
          </w:p>
        </w:tc>
        <w:tc>
          <w:tcPr>
            <w:tcW w:w="880" w:type="dxa"/>
          </w:tcPr>
          <w:p w14:paraId="134C3F65">
            <w:pPr>
              <w:rPr>
                <w:color w:val="auto"/>
                <w:sz w:val="18"/>
                <w:szCs w:val="18"/>
              </w:rPr>
            </w:pPr>
            <w:r>
              <w:rPr>
                <w:color w:val="auto"/>
                <w:sz w:val="18"/>
                <w:szCs w:val="18"/>
              </w:rPr>
              <w:t>&lt;0.001</w:t>
            </w:r>
          </w:p>
        </w:tc>
        <w:tc>
          <w:tcPr>
            <w:tcW w:w="1958" w:type="dxa"/>
          </w:tcPr>
          <w:p w14:paraId="6F28BDE3">
            <w:pPr>
              <w:rPr>
                <w:color w:val="auto"/>
                <w:sz w:val="18"/>
                <w:szCs w:val="18"/>
              </w:rPr>
            </w:pPr>
            <w:r>
              <w:rPr>
                <w:rFonts w:hint="eastAsia"/>
                <w:color w:val="auto"/>
                <w:sz w:val="18"/>
                <w:szCs w:val="18"/>
              </w:rPr>
              <w:t>3.97 (2.89~5.47)</w:t>
            </w:r>
          </w:p>
        </w:tc>
        <w:tc>
          <w:tcPr>
            <w:tcW w:w="861" w:type="dxa"/>
          </w:tcPr>
          <w:p w14:paraId="09099026">
            <w:pPr>
              <w:rPr>
                <w:color w:val="auto"/>
                <w:sz w:val="18"/>
                <w:szCs w:val="18"/>
              </w:rPr>
            </w:pPr>
            <w:r>
              <w:rPr>
                <w:rFonts w:hint="eastAsia"/>
                <w:color w:val="auto"/>
                <w:sz w:val="18"/>
                <w:szCs w:val="18"/>
              </w:rPr>
              <w:t>&lt;0.001</w:t>
            </w:r>
          </w:p>
        </w:tc>
        <w:tc>
          <w:tcPr>
            <w:tcW w:w="1899" w:type="dxa"/>
          </w:tcPr>
          <w:p w14:paraId="4EEBBDD2">
            <w:pPr>
              <w:rPr>
                <w:color w:val="auto"/>
                <w:sz w:val="18"/>
                <w:szCs w:val="18"/>
              </w:rPr>
            </w:pPr>
            <w:r>
              <w:rPr>
                <w:rFonts w:cs="Times New Roman"/>
                <w:color w:val="auto"/>
                <w:kern w:val="0"/>
                <w:sz w:val="18"/>
                <w:szCs w:val="18"/>
              </w:rPr>
              <w:t>3.24 (2.3~4.55)</w:t>
            </w:r>
          </w:p>
        </w:tc>
        <w:tc>
          <w:tcPr>
            <w:tcW w:w="912" w:type="dxa"/>
          </w:tcPr>
          <w:p w14:paraId="44DE0E16">
            <w:pPr>
              <w:rPr>
                <w:color w:val="auto"/>
                <w:sz w:val="18"/>
                <w:szCs w:val="18"/>
              </w:rPr>
            </w:pPr>
            <w:r>
              <w:rPr>
                <w:rFonts w:hint="eastAsia" w:cs="Times New Roman"/>
                <w:color w:val="auto"/>
                <w:kern w:val="0"/>
                <w:sz w:val="18"/>
                <w:szCs w:val="18"/>
              </w:rPr>
              <w:t>&lt;0.001</w:t>
            </w:r>
          </w:p>
        </w:tc>
      </w:tr>
      <w:tr w14:paraId="0801A0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jc w:val="center"/>
        </w:trPr>
        <w:tc>
          <w:tcPr>
            <w:tcW w:w="0" w:type="auto"/>
          </w:tcPr>
          <w:p w14:paraId="48BBBD1F">
            <w:pPr>
              <w:rPr>
                <w:i/>
                <w:iCs/>
                <w:color w:val="auto"/>
                <w:sz w:val="18"/>
                <w:szCs w:val="18"/>
              </w:rPr>
            </w:pPr>
            <w:r>
              <w:rPr>
                <w:i/>
                <w:iCs/>
                <w:color w:val="auto"/>
                <w:sz w:val="18"/>
                <w:szCs w:val="18"/>
              </w:rPr>
              <w:t>P</w:t>
            </w:r>
            <w:r>
              <w:rPr>
                <w:color w:val="auto"/>
                <w:sz w:val="18"/>
                <w:szCs w:val="18"/>
              </w:rPr>
              <w:t xml:space="preserve"> for trend</w:t>
            </w:r>
          </w:p>
        </w:tc>
        <w:tc>
          <w:tcPr>
            <w:tcW w:w="1784" w:type="dxa"/>
          </w:tcPr>
          <w:p w14:paraId="65532E8B">
            <w:pPr>
              <w:rPr>
                <w:color w:val="auto"/>
                <w:sz w:val="18"/>
                <w:szCs w:val="18"/>
              </w:rPr>
            </w:pPr>
            <w:r>
              <w:rPr>
                <w:color w:val="auto"/>
                <w:sz w:val="18"/>
                <w:szCs w:val="18"/>
              </w:rPr>
              <w:t>3.18 (2.77~3.65)</w:t>
            </w:r>
          </w:p>
        </w:tc>
        <w:tc>
          <w:tcPr>
            <w:tcW w:w="880" w:type="dxa"/>
          </w:tcPr>
          <w:p w14:paraId="432D73FF">
            <w:pPr>
              <w:rPr>
                <w:color w:val="auto"/>
                <w:sz w:val="18"/>
                <w:szCs w:val="18"/>
              </w:rPr>
            </w:pPr>
            <w:r>
              <w:rPr>
                <w:color w:val="auto"/>
                <w:sz w:val="18"/>
                <w:szCs w:val="18"/>
              </w:rPr>
              <w:t>&lt;0.001</w:t>
            </w:r>
          </w:p>
        </w:tc>
        <w:tc>
          <w:tcPr>
            <w:tcW w:w="1958" w:type="dxa"/>
          </w:tcPr>
          <w:p w14:paraId="41C7CDE3">
            <w:pPr>
              <w:rPr>
                <w:color w:val="auto"/>
                <w:sz w:val="18"/>
                <w:szCs w:val="18"/>
              </w:rPr>
            </w:pPr>
            <w:r>
              <w:rPr>
                <w:rFonts w:hint="eastAsia"/>
                <w:color w:val="auto"/>
                <w:sz w:val="18"/>
                <w:szCs w:val="18"/>
              </w:rPr>
              <w:t>2.19 (1.89~2.52)</w:t>
            </w:r>
          </w:p>
        </w:tc>
        <w:tc>
          <w:tcPr>
            <w:tcW w:w="861" w:type="dxa"/>
          </w:tcPr>
          <w:p w14:paraId="2932458C">
            <w:pPr>
              <w:rPr>
                <w:color w:val="auto"/>
                <w:sz w:val="18"/>
                <w:szCs w:val="18"/>
              </w:rPr>
            </w:pPr>
            <w:r>
              <w:rPr>
                <w:rFonts w:hint="eastAsia"/>
                <w:color w:val="auto"/>
                <w:sz w:val="18"/>
                <w:szCs w:val="18"/>
              </w:rPr>
              <w:t>&lt;0.001</w:t>
            </w:r>
          </w:p>
        </w:tc>
        <w:tc>
          <w:tcPr>
            <w:tcW w:w="1899" w:type="dxa"/>
          </w:tcPr>
          <w:p w14:paraId="08A2DBA9">
            <w:pPr>
              <w:rPr>
                <w:color w:val="auto"/>
                <w:sz w:val="18"/>
                <w:szCs w:val="18"/>
              </w:rPr>
            </w:pPr>
            <w:r>
              <w:rPr>
                <w:rFonts w:cs="Times New Roman"/>
                <w:color w:val="auto"/>
                <w:kern w:val="0"/>
                <w:sz w:val="18"/>
                <w:szCs w:val="18"/>
              </w:rPr>
              <w:t>1.91 (1.64~2.23)</w:t>
            </w:r>
          </w:p>
        </w:tc>
        <w:tc>
          <w:tcPr>
            <w:tcW w:w="912" w:type="dxa"/>
          </w:tcPr>
          <w:p w14:paraId="6AD1A707">
            <w:pPr>
              <w:rPr>
                <w:color w:val="auto"/>
                <w:sz w:val="18"/>
                <w:szCs w:val="18"/>
              </w:rPr>
            </w:pPr>
            <w:r>
              <w:rPr>
                <w:rFonts w:hint="eastAsia"/>
                <w:color w:val="auto"/>
                <w:sz w:val="18"/>
                <w:szCs w:val="18"/>
              </w:rPr>
              <w:t>&lt;0.001</w:t>
            </w:r>
          </w:p>
        </w:tc>
      </w:tr>
    </w:tbl>
    <w:p w14:paraId="41669500">
      <w:r>
        <w:t>CI, confidence interval; HR, hazard ratio; T, tertiles;</w:t>
      </w:r>
      <w:r>
        <w:rPr>
          <w:rFonts w:hint="eastAsia"/>
        </w:rPr>
        <w:t xml:space="preserve"> </w:t>
      </w:r>
      <w:r>
        <w:t>CVD, cardiovascular disease; TyGFI</w:t>
      </w:r>
      <w:r>
        <w:rPr>
          <w:rFonts w:hint="eastAsia"/>
        </w:rPr>
        <w:t xml:space="preserve">, </w:t>
      </w:r>
      <w:r>
        <w:t xml:space="preserve">TyGFrailty </w:t>
      </w:r>
      <w:r>
        <w:rPr>
          <w:rFonts w:hint="eastAsia"/>
        </w:rPr>
        <w:t>i</w:t>
      </w:r>
      <w:r>
        <w:t>ndex</w:t>
      </w:r>
      <w:r>
        <w:rPr>
          <w:rFonts w:hint="eastAsia"/>
        </w:rPr>
        <w:t>; BMI, b</w:t>
      </w:r>
      <w:r>
        <w:t xml:space="preserve">ody </w:t>
      </w:r>
      <w:r>
        <w:rPr>
          <w:rFonts w:hint="eastAsia"/>
        </w:rPr>
        <w:t>m</w:t>
      </w:r>
      <w:r>
        <w:t xml:space="preserve">ass </w:t>
      </w:r>
      <w:r>
        <w:rPr>
          <w:rFonts w:hint="eastAsia"/>
        </w:rPr>
        <w:t>i</w:t>
      </w:r>
      <w:r>
        <w:t>ndex</w:t>
      </w:r>
      <w:r>
        <w:rPr>
          <w:rFonts w:hint="eastAsia"/>
        </w:rPr>
        <w:t>; PIR, p</w:t>
      </w:r>
      <w:r>
        <w:t>overty income ratio</w:t>
      </w:r>
      <w:r>
        <w:rPr>
          <w:rFonts w:hint="eastAsia"/>
        </w:rPr>
        <w:t xml:space="preserve">; </w:t>
      </w:r>
      <w:r>
        <w:t>eGFR, estimated glomerular filtration rate;</w:t>
      </w:r>
      <w:r>
        <w:rPr>
          <w:rFonts w:hint="eastAsia"/>
        </w:rPr>
        <w:t xml:space="preserve"> </w:t>
      </w:r>
      <w:r>
        <w:t>CV</w:t>
      </w:r>
      <w:r>
        <w:rPr>
          <w:rFonts w:hint="eastAsia"/>
        </w:rPr>
        <w:t>D</w:t>
      </w:r>
      <w:r>
        <w:t xml:space="preserve">, cardiovascular </w:t>
      </w:r>
      <w:r>
        <w:rPr>
          <w:rFonts w:hint="eastAsia"/>
        </w:rPr>
        <w:t>disease</w:t>
      </w:r>
      <w:r>
        <w:t>;</w:t>
      </w:r>
      <w:r>
        <w:rPr>
          <w:rFonts w:hint="eastAsia"/>
        </w:rPr>
        <w:t xml:space="preserve"> </w:t>
      </w:r>
      <w:r>
        <w:t>CKM, cardiovascular-kidney-metabolic</w:t>
      </w:r>
      <w:r>
        <w:rPr>
          <w:rFonts w:hint="eastAsia"/>
        </w:rPr>
        <w:t>.</w:t>
      </w:r>
    </w:p>
    <w:p w14:paraId="176EFF43">
      <w:r>
        <w:t>Model 1: no covariates were adjusted</w:t>
      </w:r>
    </w:p>
    <w:p w14:paraId="18437426">
      <w:r>
        <w:t>Model 2: Adjusted for age, sex and race</w:t>
      </w:r>
    </w:p>
    <w:p w14:paraId="6ECBA23B">
      <w:r>
        <w:t xml:space="preserve">Model 3: Adjusted for age, sex, race, </w:t>
      </w:r>
      <w:r>
        <w:rPr>
          <w:rFonts w:hint="eastAsia"/>
        </w:rPr>
        <w:t xml:space="preserve">BMI, </w:t>
      </w:r>
      <w:r>
        <w:t>marital status,</w:t>
      </w:r>
      <w:r>
        <w:rPr>
          <w:rFonts w:hint="eastAsia"/>
        </w:rPr>
        <w:t xml:space="preserve"> PIR, education, smoke, drink, eGFR, hypertension, stroke</w:t>
      </w:r>
    </w:p>
    <w:p w14:paraId="151B95C4"/>
    <w:p w14:paraId="118F01BF">
      <w:pPr>
        <w:pStyle w:val="4"/>
        <w:keepNext w:val="0"/>
        <w:keepLines w:val="0"/>
        <w:rPr>
          <w:rFonts w:ascii="Times New Roman" w:hAnsi="Times New Roman" w:cs="Times New Roman"/>
          <w:b/>
          <w:bCs/>
          <w:color w:val="auto"/>
          <w:sz w:val="24"/>
          <w:szCs w:val="24"/>
          <w:lang w:bidi="ar"/>
        </w:rPr>
      </w:pPr>
      <w:bookmarkStart w:id="18" w:name="_Toc218184817"/>
    </w:p>
    <w:p w14:paraId="38A65458">
      <w:pPr>
        <w:pStyle w:val="4"/>
        <w:keepNext w:val="0"/>
        <w:keepLines w:val="0"/>
        <w:rPr>
          <w:rFonts w:ascii="Times New Roman" w:hAnsi="Times New Roman" w:cs="Times New Roman"/>
          <w:b/>
          <w:bCs/>
          <w:color w:val="auto"/>
          <w:sz w:val="24"/>
          <w:szCs w:val="24"/>
          <w:lang w:bidi="ar"/>
        </w:rPr>
      </w:pPr>
    </w:p>
    <w:p w14:paraId="42B5B9D4">
      <w:pPr>
        <w:pStyle w:val="4"/>
        <w:keepNext w:val="0"/>
        <w:keepLines w:val="0"/>
        <w:rPr>
          <w:rFonts w:ascii="Times New Roman" w:hAnsi="Times New Roman" w:cs="Times New Roman"/>
          <w:b/>
          <w:bCs/>
          <w:color w:val="auto"/>
          <w:sz w:val="24"/>
          <w:szCs w:val="24"/>
          <w:lang w:bidi="ar"/>
        </w:rPr>
      </w:pPr>
    </w:p>
    <w:p w14:paraId="5FA653A9">
      <w:pPr>
        <w:pStyle w:val="4"/>
        <w:keepNext w:val="0"/>
        <w:keepLines w:val="0"/>
        <w:rPr>
          <w:rFonts w:ascii="Times New Roman" w:hAnsi="Times New Roman" w:cs="Times New Roman"/>
          <w:b/>
          <w:bCs/>
          <w:color w:val="auto"/>
          <w:sz w:val="24"/>
          <w:szCs w:val="24"/>
          <w:lang w:bidi="ar"/>
        </w:rPr>
      </w:pPr>
    </w:p>
    <w:p w14:paraId="3FF35106">
      <w:pPr>
        <w:pStyle w:val="4"/>
        <w:keepNext w:val="0"/>
        <w:keepLines w:val="0"/>
        <w:rPr>
          <w:rFonts w:ascii="Times New Roman" w:hAnsi="Times New Roman" w:cs="Times New Roman"/>
          <w:b/>
          <w:bCs/>
          <w:color w:val="auto"/>
          <w:sz w:val="24"/>
          <w:szCs w:val="24"/>
          <w:lang w:bidi="ar"/>
        </w:rPr>
      </w:pPr>
    </w:p>
    <w:p w14:paraId="3C364FA3">
      <w:pPr>
        <w:pStyle w:val="4"/>
        <w:keepNext w:val="0"/>
        <w:keepLines w:val="0"/>
        <w:rPr>
          <w:rFonts w:ascii="Times New Roman" w:hAnsi="Times New Roman" w:cs="Times New Roman"/>
          <w:b/>
          <w:bCs/>
          <w:color w:val="auto"/>
          <w:sz w:val="24"/>
          <w:szCs w:val="24"/>
          <w:lang w:bidi="ar"/>
        </w:rPr>
      </w:pPr>
    </w:p>
    <w:p w14:paraId="3B45D3F1">
      <w:pPr>
        <w:pStyle w:val="4"/>
        <w:keepNext w:val="0"/>
        <w:keepLines w:val="0"/>
        <w:rPr>
          <w:rFonts w:ascii="Times New Roman" w:hAnsi="Times New Roman" w:cs="Times New Roman"/>
          <w:b/>
          <w:bCs/>
          <w:color w:val="auto"/>
          <w:sz w:val="24"/>
          <w:szCs w:val="24"/>
          <w:lang w:bidi="ar"/>
        </w:rPr>
      </w:pPr>
    </w:p>
    <w:p w14:paraId="7513C410">
      <w:pPr>
        <w:pStyle w:val="4"/>
        <w:keepNext w:val="0"/>
        <w:keepLines w:val="0"/>
        <w:rPr>
          <w:rFonts w:ascii="Times New Roman" w:hAnsi="Times New Roman" w:cs="Times New Roman"/>
          <w:sz w:val="24"/>
          <w:szCs w:val="24"/>
        </w:rPr>
      </w:pPr>
      <w:r>
        <w:rPr>
          <w:rFonts w:ascii="Times New Roman" w:hAnsi="Times New Roman" w:cs="Times New Roman"/>
          <w:b/>
          <w:bCs/>
          <w:color w:val="auto"/>
          <w:sz w:val="24"/>
          <w:szCs w:val="24"/>
          <w:lang w:bidi="ar"/>
        </w:rPr>
        <w:t>Table S6</w:t>
      </w:r>
      <w:r>
        <w:rPr>
          <w:rFonts w:ascii="Times New Roman" w:hAnsi="Times New Roman" w:cs="Times New Roman"/>
          <w:color w:val="auto"/>
          <w:sz w:val="24"/>
          <w:szCs w:val="24"/>
          <w:lang w:bidi="ar"/>
        </w:rPr>
        <w:t xml:space="preserve"> Cox regression model for TyG (per-1 unit) and mortality in adults with CKM syndrome</w:t>
      </w:r>
      <w:bookmarkEnd w:id="18"/>
      <w:r>
        <w:rPr>
          <w:rFonts w:ascii="Times New Roman" w:hAnsi="Times New Roman" w:cs="Times New Roman"/>
          <w:sz w:val="24"/>
          <w:szCs w:val="24"/>
          <w:lang w:bidi="ar"/>
        </w:rPr>
        <w:t xml:space="preserve"> </w:t>
      </w:r>
    </w:p>
    <w:tbl>
      <w:tblPr>
        <w:tblStyle w:val="23"/>
        <w:tblW w:w="9761"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1467"/>
        <w:gridCol w:w="1784"/>
        <w:gridCol w:w="880"/>
        <w:gridCol w:w="1958"/>
        <w:gridCol w:w="861"/>
        <w:gridCol w:w="1899"/>
        <w:gridCol w:w="912"/>
      </w:tblGrid>
      <w:tr w14:paraId="2CCE4B09">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single" w:color="auto" w:sz="8" w:space="0"/>
              <w:left w:val="nil"/>
              <w:bottom w:val="single" w:color="auto" w:sz="4" w:space="0"/>
              <w:right w:val="nil"/>
            </w:tcBorders>
          </w:tcPr>
          <w:p w14:paraId="12559E37">
            <w:pPr>
              <w:rPr>
                <w:rFonts w:cs="Times New Roman"/>
                <w:b/>
                <w:bCs/>
                <w:sz w:val="18"/>
                <w:szCs w:val="18"/>
              </w:rPr>
            </w:pPr>
            <w:r>
              <w:rPr>
                <w:rFonts w:cs="Times New Roman"/>
                <w:b/>
                <w:bCs/>
                <w:sz w:val="18"/>
                <w:szCs w:val="18"/>
                <w:lang w:bidi="ar"/>
              </w:rPr>
              <w:t>Exposure</w:t>
            </w:r>
          </w:p>
        </w:tc>
        <w:tc>
          <w:tcPr>
            <w:tcW w:w="1784" w:type="dxa"/>
            <w:tcBorders>
              <w:top w:val="single" w:color="auto" w:sz="8" w:space="0"/>
              <w:left w:val="nil"/>
              <w:bottom w:val="single" w:color="auto" w:sz="4" w:space="0"/>
              <w:right w:val="nil"/>
            </w:tcBorders>
          </w:tcPr>
          <w:p w14:paraId="79A355F4">
            <w:pPr>
              <w:jc w:val="center"/>
              <w:rPr>
                <w:rFonts w:cs="Times New Roman"/>
                <w:b/>
                <w:bCs/>
                <w:sz w:val="18"/>
                <w:szCs w:val="18"/>
              </w:rPr>
            </w:pPr>
            <w:r>
              <w:rPr>
                <w:rFonts w:cs="Times New Roman"/>
                <w:b/>
                <w:bCs/>
                <w:sz w:val="18"/>
                <w:szCs w:val="18"/>
                <w:lang w:bidi="ar"/>
              </w:rPr>
              <w:t>Model 1</w:t>
            </w:r>
          </w:p>
          <w:p w14:paraId="0A2577C4">
            <w:pPr>
              <w:jc w:val="center"/>
              <w:rPr>
                <w:rFonts w:cs="Times New Roman"/>
                <w:b/>
                <w:bCs/>
                <w:sz w:val="18"/>
                <w:szCs w:val="18"/>
              </w:rPr>
            </w:pPr>
            <w:r>
              <w:rPr>
                <w:rFonts w:cs="Times New Roman"/>
                <w:b/>
                <w:bCs/>
                <w:kern w:val="0"/>
                <w:sz w:val="18"/>
                <w:szCs w:val="18"/>
                <w:lang w:bidi="ar"/>
              </w:rPr>
              <w:t>H</w:t>
            </w:r>
            <w:r>
              <w:rPr>
                <w:rFonts w:cs="Times New Roman"/>
                <w:b/>
                <w:bCs/>
                <w:sz w:val="18"/>
                <w:szCs w:val="18"/>
                <w:lang w:bidi="ar"/>
              </w:rPr>
              <w:t>R (95% CI)</w:t>
            </w:r>
          </w:p>
        </w:tc>
        <w:tc>
          <w:tcPr>
            <w:tcW w:w="880" w:type="dxa"/>
            <w:tcBorders>
              <w:top w:val="single" w:color="auto" w:sz="8" w:space="0"/>
              <w:left w:val="nil"/>
              <w:bottom w:val="single" w:color="auto" w:sz="4" w:space="0"/>
              <w:right w:val="nil"/>
            </w:tcBorders>
          </w:tcPr>
          <w:p w14:paraId="5A705313">
            <w:pPr>
              <w:jc w:val="center"/>
              <w:rPr>
                <w:rFonts w:cs="Times New Roman"/>
                <w:b/>
                <w:bCs/>
                <w:i/>
                <w:iCs/>
                <w:sz w:val="18"/>
                <w:szCs w:val="18"/>
              </w:rPr>
            </w:pPr>
            <w:r>
              <w:rPr>
                <w:rFonts w:cs="Times New Roman"/>
                <w:b/>
                <w:bCs/>
                <w:i/>
                <w:iCs/>
                <w:sz w:val="18"/>
                <w:szCs w:val="18"/>
                <w:lang w:bidi="ar"/>
              </w:rPr>
              <w:t xml:space="preserve">P </w:t>
            </w:r>
            <w:r>
              <w:rPr>
                <w:rFonts w:cs="Times New Roman"/>
                <w:b/>
                <w:bCs/>
                <w:sz w:val="18"/>
                <w:szCs w:val="18"/>
                <w:lang w:bidi="ar"/>
              </w:rPr>
              <w:t>value</w:t>
            </w:r>
          </w:p>
        </w:tc>
        <w:tc>
          <w:tcPr>
            <w:tcW w:w="1958" w:type="dxa"/>
            <w:tcBorders>
              <w:top w:val="single" w:color="auto" w:sz="8" w:space="0"/>
              <w:left w:val="nil"/>
              <w:bottom w:val="single" w:color="auto" w:sz="4" w:space="0"/>
              <w:right w:val="nil"/>
            </w:tcBorders>
          </w:tcPr>
          <w:p w14:paraId="222FD493">
            <w:pPr>
              <w:jc w:val="center"/>
              <w:rPr>
                <w:rFonts w:cs="Times New Roman"/>
                <w:b/>
                <w:bCs/>
                <w:sz w:val="18"/>
                <w:szCs w:val="18"/>
              </w:rPr>
            </w:pPr>
            <w:r>
              <w:rPr>
                <w:rFonts w:cs="Times New Roman"/>
                <w:b/>
                <w:bCs/>
                <w:sz w:val="18"/>
                <w:szCs w:val="18"/>
                <w:lang w:bidi="ar"/>
              </w:rPr>
              <w:t>Model 2</w:t>
            </w:r>
          </w:p>
          <w:p w14:paraId="1FFAC89F">
            <w:pPr>
              <w:jc w:val="center"/>
              <w:rPr>
                <w:rFonts w:cs="Times New Roman"/>
                <w:b/>
                <w:bCs/>
                <w:sz w:val="18"/>
                <w:szCs w:val="18"/>
              </w:rPr>
            </w:pPr>
            <w:r>
              <w:rPr>
                <w:rFonts w:cs="Times New Roman"/>
                <w:b/>
                <w:bCs/>
                <w:kern w:val="0"/>
                <w:sz w:val="18"/>
                <w:szCs w:val="18"/>
                <w:lang w:bidi="ar"/>
              </w:rPr>
              <w:t>H</w:t>
            </w:r>
            <w:r>
              <w:rPr>
                <w:rFonts w:cs="Times New Roman"/>
                <w:b/>
                <w:bCs/>
                <w:sz w:val="18"/>
                <w:szCs w:val="18"/>
                <w:lang w:bidi="ar"/>
              </w:rPr>
              <w:t>R (95% CI)</w:t>
            </w:r>
          </w:p>
        </w:tc>
        <w:tc>
          <w:tcPr>
            <w:tcW w:w="861" w:type="dxa"/>
            <w:tcBorders>
              <w:top w:val="single" w:color="auto" w:sz="8" w:space="0"/>
              <w:left w:val="nil"/>
              <w:bottom w:val="single" w:color="auto" w:sz="4" w:space="0"/>
              <w:right w:val="nil"/>
            </w:tcBorders>
          </w:tcPr>
          <w:p w14:paraId="72EF3E98">
            <w:pPr>
              <w:jc w:val="center"/>
              <w:rPr>
                <w:rFonts w:cs="Times New Roman"/>
                <w:b/>
                <w:bCs/>
                <w:sz w:val="18"/>
                <w:szCs w:val="18"/>
              </w:rPr>
            </w:pPr>
            <w:r>
              <w:rPr>
                <w:rFonts w:cs="Times New Roman"/>
                <w:b/>
                <w:bCs/>
                <w:i/>
                <w:iCs/>
                <w:sz w:val="18"/>
                <w:szCs w:val="18"/>
                <w:lang w:bidi="ar"/>
              </w:rPr>
              <w:t xml:space="preserve">P </w:t>
            </w:r>
            <w:r>
              <w:rPr>
                <w:rFonts w:cs="Times New Roman"/>
                <w:b/>
                <w:bCs/>
                <w:sz w:val="18"/>
                <w:szCs w:val="18"/>
                <w:lang w:bidi="ar"/>
              </w:rPr>
              <w:t>value</w:t>
            </w:r>
          </w:p>
        </w:tc>
        <w:tc>
          <w:tcPr>
            <w:tcW w:w="1899" w:type="dxa"/>
            <w:tcBorders>
              <w:top w:val="single" w:color="auto" w:sz="8" w:space="0"/>
              <w:left w:val="nil"/>
              <w:bottom w:val="single" w:color="auto" w:sz="4" w:space="0"/>
              <w:right w:val="nil"/>
            </w:tcBorders>
          </w:tcPr>
          <w:p w14:paraId="5F414E52">
            <w:pPr>
              <w:jc w:val="center"/>
              <w:rPr>
                <w:rFonts w:cs="Times New Roman"/>
                <w:b/>
                <w:bCs/>
                <w:sz w:val="18"/>
                <w:szCs w:val="18"/>
              </w:rPr>
            </w:pPr>
            <w:r>
              <w:rPr>
                <w:rFonts w:cs="Times New Roman"/>
                <w:b/>
                <w:bCs/>
                <w:sz w:val="18"/>
                <w:szCs w:val="18"/>
                <w:lang w:bidi="ar"/>
              </w:rPr>
              <w:t>Model 3</w:t>
            </w:r>
          </w:p>
          <w:p w14:paraId="6766786D">
            <w:pPr>
              <w:jc w:val="center"/>
              <w:rPr>
                <w:rFonts w:cs="Times New Roman"/>
                <w:b/>
                <w:bCs/>
                <w:sz w:val="18"/>
                <w:szCs w:val="18"/>
              </w:rPr>
            </w:pPr>
            <w:r>
              <w:rPr>
                <w:rFonts w:cs="Times New Roman"/>
                <w:b/>
                <w:bCs/>
                <w:kern w:val="0"/>
                <w:sz w:val="18"/>
                <w:szCs w:val="18"/>
                <w:lang w:bidi="ar"/>
              </w:rPr>
              <w:t>H</w:t>
            </w:r>
            <w:r>
              <w:rPr>
                <w:rFonts w:cs="Times New Roman"/>
                <w:b/>
                <w:bCs/>
                <w:sz w:val="18"/>
                <w:szCs w:val="18"/>
                <w:lang w:bidi="ar"/>
              </w:rPr>
              <w:t>R (95% CI)</w:t>
            </w:r>
          </w:p>
        </w:tc>
        <w:tc>
          <w:tcPr>
            <w:tcW w:w="912" w:type="dxa"/>
            <w:tcBorders>
              <w:top w:val="single" w:color="auto" w:sz="8" w:space="0"/>
              <w:left w:val="nil"/>
              <w:bottom w:val="single" w:color="auto" w:sz="4" w:space="0"/>
              <w:right w:val="nil"/>
            </w:tcBorders>
          </w:tcPr>
          <w:p w14:paraId="6126E93A">
            <w:pPr>
              <w:jc w:val="center"/>
              <w:rPr>
                <w:rFonts w:cs="Times New Roman"/>
                <w:b/>
                <w:bCs/>
                <w:sz w:val="18"/>
                <w:szCs w:val="18"/>
              </w:rPr>
            </w:pPr>
            <w:r>
              <w:rPr>
                <w:rFonts w:cs="Times New Roman"/>
                <w:b/>
                <w:bCs/>
                <w:i/>
                <w:iCs/>
                <w:sz w:val="18"/>
                <w:szCs w:val="18"/>
                <w:lang w:bidi="ar"/>
              </w:rPr>
              <w:t xml:space="preserve">P </w:t>
            </w:r>
            <w:r>
              <w:rPr>
                <w:rFonts w:cs="Times New Roman"/>
                <w:b/>
                <w:bCs/>
                <w:sz w:val="18"/>
                <w:szCs w:val="18"/>
                <w:lang w:bidi="ar"/>
              </w:rPr>
              <w:t>value</w:t>
            </w:r>
          </w:p>
        </w:tc>
      </w:tr>
      <w:tr w14:paraId="6342FF99">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0" w:type="auto"/>
            <w:tcBorders>
              <w:top w:val="single" w:color="auto" w:sz="4" w:space="0"/>
              <w:left w:val="nil"/>
              <w:bottom w:val="nil"/>
              <w:right w:val="nil"/>
            </w:tcBorders>
          </w:tcPr>
          <w:p w14:paraId="01216081">
            <w:pPr>
              <w:rPr>
                <w:rFonts w:cs="Times New Roman"/>
                <w:b/>
                <w:bCs/>
                <w:kern w:val="0"/>
                <w:sz w:val="18"/>
                <w:szCs w:val="18"/>
              </w:rPr>
            </w:pPr>
            <w:r>
              <w:rPr>
                <w:rFonts w:cs="Times New Roman"/>
                <w:b/>
                <w:bCs/>
                <w:kern w:val="0"/>
                <w:sz w:val="18"/>
                <w:szCs w:val="18"/>
                <w:lang w:bidi="ar"/>
              </w:rPr>
              <w:t>All-cause mortality</w:t>
            </w:r>
          </w:p>
        </w:tc>
        <w:tc>
          <w:tcPr>
            <w:tcW w:w="1784" w:type="dxa"/>
            <w:tcBorders>
              <w:top w:val="single" w:color="auto" w:sz="4" w:space="0"/>
              <w:left w:val="nil"/>
              <w:bottom w:val="nil"/>
              <w:right w:val="nil"/>
            </w:tcBorders>
          </w:tcPr>
          <w:p w14:paraId="787FEC3B">
            <w:pPr>
              <w:jc w:val="center"/>
              <w:rPr>
                <w:rFonts w:cs="Times New Roman"/>
                <w:kern w:val="0"/>
                <w:sz w:val="18"/>
                <w:szCs w:val="18"/>
              </w:rPr>
            </w:pPr>
          </w:p>
        </w:tc>
        <w:tc>
          <w:tcPr>
            <w:tcW w:w="880" w:type="dxa"/>
            <w:tcBorders>
              <w:top w:val="single" w:color="auto" w:sz="4" w:space="0"/>
              <w:left w:val="nil"/>
              <w:bottom w:val="nil"/>
              <w:right w:val="nil"/>
            </w:tcBorders>
          </w:tcPr>
          <w:p w14:paraId="5E969C8D">
            <w:pPr>
              <w:jc w:val="center"/>
              <w:rPr>
                <w:rFonts w:cs="Times New Roman"/>
                <w:kern w:val="0"/>
                <w:sz w:val="18"/>
                <w:szCs w:val="18"/>
              </w:rPr>
            </w:pPr>
          </w:p>
        </w:tc>
        <w:tc>
          <w:tcPr>
            <w:tcW w:w="1958" w:type="dxa"/>
            <w:tcBorders>
              <w:top w:val="single" w:color="auto" w:sz="4" w:space="0"/>
              <w:left w:val="nil"/>
              <w:bottom w:val="nil"/>
              <w:right w:val="nil"/>
            </w:tcBorders>
          </w:tcPr>
          <w:p w14:paraId="5300C209">
            <w:pPr>
              <w:jc w:val="center"/>
              <w:rPr>
                <w:rFonts w:cs="Times New Roman"/>
                <w:kern w:val="0"/>
                <w:sz w:val="18"/>
                <w:szCs w:val="18"/>
              </w:rPr>
            </w:pPr>
          </w:p>
        </w:tc>
        <w:tc>
          <w:tcPr>
            <w:tcW w:w="861" w:type="dxa"/>
            <w:tcBorders>
              <w:top w:val="single" w:color="auto" w:sz="4" w:space="0"/>
              <w:left w:val="nil"/>
              <w:bottom w:val="nil"/>
              <w:right w:val="nil"/>
            </w:tcBorders>
          </w:tcPr>
          <w:p w14:paraId="5F20B3ED">
            <w:pPr>
              <w:jc w:val="center"/>
              <w:rPr>
                <w:rFonts w:cs="Times New Roman"/>
                <w:kern w:val="0"/>
                <w:sz w:val="18"/>
                <w:szCs w:val="18"/>
              </w:rPr>
            </w:pPr>
          </w:p>
        </w:tc>
        <w:tc>
          <w:tcPr>
            <w:tcW w:w="1899" w:type="dxa"/>
            <w:tcBorders>
              <w:top w:val="single" w:color="auto" w:sz="4" w:space="0"/>
              <w:left w:val="nil"/>
              <w:bottom w:val="nil"/>
              <w:right w:val="nil"/>
            </w:tcBorders>
          </w:tcPr>
          <w:p w14:paraId="04A37114">
            <w:pPr>
              <w:jc w:val="center"/>
              <w:rPr>
                <w:rFonts w:cs="Times New Roman"/>
                <w:kern w:val="0"/>
                <w:sz w:val="18"/>
                <w:szCs w:val="18"/>
              </w:rPr>
            </w:pPr>
          </w:p>
        </w:tc>
        <w:tc>
          <w:tcPr>
            <w:tcW w:w="912" w:type="dxa"/>
            <w:tcBorders>
              <w:top w:val="single" w:color="auto" w:sz="4" w:space="0"/>
              <w:left w:val="nil"/>
              <w:bottom w:val="nil"/>
              <w:right w:val="nil"/>
            </w:tcBorders>
          </w:tcPr>
          <w:p w14:paraId="0D35C7E9">
            <w:pPr>
              <w:jc w:val="center"/>
              <w:rPr>
                <w:rFonts w:cs="Times New Roman"/>
                <w:kern w:val="0"/>
                <w:sz w:val="18"/>
                <w:szCs w:val="18"/>
              </w:rPr>
            </w:pPr>
          </w:p>
        </w:tc>
      </w:tr>
      <w:tr w14:paraId="562D3A9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0" w:type="auto"/>
            <w:tcBorders>
              <w:top w:val="nil"/>
              <w:left w:val="nil"/>
              <w:bottom w:val="nil"/>
              <w:right w:val="nil"/>
            </w:tcBorders>
          </w:tcPr>
          <w:p w14:paraId="1C547523">
            <w:pPr>
              <w:rPr>
                <w:rFonts w:cs="Times New Roman"/>
                <w:sz w:val="18"/>
                <w:szCs w:val="18"/>
              </w:rPr>
            </w:pPr>
            <w:r>
              <w:rPr>
                <w:rFonts w:cs="Times New Roman"/>
                <w:kern w:val="0"/>
                <w:sz w:val="18"/>
                <w:szCs w:val="18"/>
                <w:lang w:bidi="ar"/>
              </w:rPr>
              <w:t>TyG</w:t>
            </w:r>
            <w:r>
              <w:rPr>
                <w:rFonts w:cs="Times New Roman"/>
                <w:sz w:val="18"/>
                <w:szCs w:val="18"/>
                <w:lang w:bidi="ar"/>
              </w:rPr>
              <w:t xml:space="preserve"> </w:t>
            </w:r>
          </w:p>
        </w:tc>
        <w:tc>
          <w:tcPr>
            <w:tcW w:w="1784" w:type="dxa"/>
            <w:tcBorders>
              <w:top w:val="nil"/>
              <w:left w:val="nil"/>
              <w:bottom w:val="nil"/>
              <w:right w:val="nil"/>
            </w:tcBorders>
          </w:tcPr>
          <w:p w14:paraId="6F1E9069">
            <w:pPr>
              <w:jc w:val="center"/>
              <w:rPr>
                <w:rFonts w:cs="Times New Roman"/>
                <w:sz w:val="18"/>
                <w:szCs w:val="18"/>
              </w:rPr>
            </w:pPr>
            <w:r>
              <w:rPr>
                <w:rFonts w:cs="Times New Roman"/>
                <w:kern w:val="0"/>
                <w:sz w:val="18"/>
                <w:szCs w:val="18"/>
                <w:lang w:bidi="ar"/>
              </w:rPr>
              <w:t>1.25 (1.17~1.34)</w:t>
            </w:r>
          </w:p>
        </w:tc>
        <w:tc>
          <w:tcPr>
            <w:tcW w:w="880" w:type="dxa"/>
            <w:tcBorders>
              <w:top w:val="nil"/>
              <w:left w:val="nil"/>
              <w:bottom w:val="nil"/>
              <w:right w:val="nil"/>
            </w:tcBorders>
          </w:tcPr>
          <w:p w14:paraId="0296FE0A">
            <w:pPr>
              <w:jc w:val="center"/>
              <w:rPr>
                <w:rFonts w:cs="Times New Roman"/>
                <w:sz w:val="18"/>
                <w:szCs w:val="18"/>
              </w:rPr>
            </w:pPr>
            <w:r>
              <w:rPr>
                <w:rFonts w:cs="Times New Roman"/>
                <w:kern w:val="0"/>
                <w:sz w:val="18"/>
                <w:szCs w:val="18"/>
                <w:lang w:bidi="ar"/>
              </w:rPr>
              <w:t>&lt;0.001</w:t>
            </w:r>
          </w:p>
        </w:tc>
        <w:tc>
          <w:tcPr>
            <w:tcW w:w="1958" w:type="dxa"/>
            <w:tcBorders>
              <w:top w:val="nil"/>
              <w:left w:val="nil"/>
              <w:bottom w:val="nil"/>
              <w:right w:val="nil"/>
            </w:tcBorders>
          </w:tcPr>
          <w:p w14:paraId="759C7CB4">
            <w:pPr>
              <w:jc w:val="center"/>
              <w:rPr>
                <w:rFonts w:cs="Times New Roman"/>
                <w:sz w:val="18"/>
                <w:szCs w:val="18"/>
              </w:rPr>
            </w:pPr>
            <w:r>
              <w:rPr>
                <w:rFonts w:cs="Times New Roman"/>
                <w:kern w:val="0"/>
                <w:sz w:val="18"/>
                <w:szCs w:val="18"/>
                <w:lang w:bidi="ar"/>
              </w:rPr>
              <w:t>1.15 (1.06~1.25)</w:t>
            </w:r>
          </w:p>
        </w:tc>
        <w:tc>
          <w:tcPr>
            <w:tcW w:w="861" w:type="dxa"/>
            <w:tcBorders>
              <w:top w:val="nil"/>
              <w:left w:val="nil"/>
              <w:bottom w:val="nil"/>
              <w:right w:val="nil"/>
            </w:tcBorders>
          </w:tcPr>
          <w:p w14:paraId="0F68F2A4">
            <w:pPr>
              <w:jc w:val="center"/>
              <w:rPr>
                <w:rFonts w:cs="Times New Roman"/>
                <w:sz w:val="18"/>
                <w:szCs w:val="18"/>
              </w:rPr>
            </w:pPr>
            <w:r>
              <w:rPr>
                <w:rFonts w:cs="Times New Roman"/>
                <w:kern w:val="0"/>
                <w:sz w:val="18"/>
                <w:szCs w:val="18"/>
                <w:lang w:bidi="ar"/>
              </w:rPr>
              <w:t>0.001</w:t>
            </w:r>
          </w:p>
        </w:tc>
        <w:tc>
          <w:tcPr>
            <w:tcW w:w="1899" w:type="dxa"/>
            <w:tcBorders>
              <w:top w:val="nil"/>
              <w:left w:val="nil"/>
              <w:bottom w:val="nil"/>
              <w:right w:val="nil"/>
            </w:tcBorders>
          </w:tcPr>
          <w:p w14:paraId="483141B0">
            <w:pPr>
              <w:jc w:val="center"/>
              <w:rPr>
                <w:rFonts w:cs="Times New Roman"/>
                <w:sz w:val="18"/>
                <w:szCs w:val="18"/>
              </w:rPr>
            </w:pPr>
            <w:r>
              <w:rPr>
                <w:rFonts w:cs="Times New Roman"/>
                <w:kern w:val="0"/>
                <w:sz w:val="18"/>
                <w:szCs w:val="18"/>
                <w:lang w:bidi="ar"/>
              </w:rPr>
              <w:t>1.06 (0.96~1.17)</w:t>
            </w:r>
          </w:p>
        </w:tc>
        <w:tc>
          <w:tcPr>
            <w:tcW w:w="912" w:type="dxa"/>
            <w:tcBorders>
              <w:top w:val="nil"/>
              <w:left w:val="nil"/>
              <w:bottom w:val="nil"/>
              <w:right w:val="nil"/>
            </w:tcBorders>
          </w:tcPr>
          <w:p w14:paraId="24B1DB0D">
            <w:pPr>
              <w:jc w:val="center"/>
              <w:rPr>
                <w:rFonts w:cs="Times New Roman"/>
                <w:sz w:val="18"/>
                <w:szCs w:val="18"/>
              </w:rPr>
            </w:pPr>
            <w:r>
              <w:rPr>
                <w:rFonts w:cs="Times New Roman"/>
                <w:kern w:val="0"/>
                <w:sz w:val="18"/>
                <w:szCs w:val="18"/>
                <w:lang w:bidi="ar"/>
              </w:rPr>
              <w:t>0.224</w:t>
            </w:r>
          </w:p>
        </w:tc>
      </w:tr>
      <w:tr w14:paraId="6A71D11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nil"/>
              <w:left w:val="nil"/>
              <w:bottom w:val="nil"/>
              <w:right w:val="nil"/>
            </w:tcBorders>
          </w:tcPr>
          <w:p w14:paraId="202DADE4">
            <w:pPr>
              <w:rPr>
                <w:rFonts w:cs="Times New Roman"/>
                <w:sz w:val="18"/>
                <w:szCs w:val="18"/>
              </w:rPr>
            </w:pPr>
            <w:r>
              <w:rPr>
                <w:rFonts w:cs="Times New Roman"/>
                <w:kern w:val="0"/>
                <w:sz w:val="18"/>
                <w:szCs w:val="18"/>
                <w:lang w:bidi="ar"/>
              </w:rPr>
              <w:t xml:space="preserve">TyG tertiles  </w:t>
            </w:r>
          </w:p>
        </w:tc>
        <w:tc>
          <w:tcPr>
            <w:tcW w:w="1784" w:type="dxa"/>
            <w:tcBorders>
              <w:top w:val="nil"/>
              <w:left w:val="nil"/>
              <w:bottom w:val="nil"/>
              <w:right w:val="nil"/>
            </w:tcBorders>
          </w:tcPr>
          <w:p w14:paraId="1374C10C">
            <w:pPr>
              <w:jc w:val="center"/>
              <w:rPr>
                <w:rFonts w:cs="Times New Roman"/>
                <w:sz w:val="18"/>
                <w:szCs w:val="18"/>
              </w:rPr>
            </w:pPr>
          </w:p>
        </w:tc>
        <w:tc>
          <w:tcPr>
            <w:tcW w:w="880" w:type="dxa"/>
            <w:tcBorders>
              <w:top w:val="nil"/>
              <w:left w:val="nil"/>
              <w:bottom w:val="nil"/>
              <w:right w:val="nil"/>
            </w:tcBorders>
          </w:tcPr>
          <w:p w14:paraId="011EAC33">
            <w:pPr>
              <w:jc w:val="center"/>
              <w:rPr>
                <w:rFonts w:cs="Times New Roman"/>
                <w:sz w:val="18"/>
                <w:szCs w:val="18"/>
              </w:rPr>
            </w:pPr>
          </w:p>
        </w:tc>
        <w:tc>
          <w:tcPr>
            <w:tcW w:w="1958" w:type="dxa"/>
            <w:tcBorders>
              <w:top w:val="nil"/>
              <w:left w:val="nil"/>
              <w:bottom w:val="nil"/>
              <w:right w:val="nil"/>
            </w:tcBorders>
          </w:tcPr>
          <w:p w14:paraId="10C0D4E8">
            <w:pPr>
              <w:jc w:val="center"/>
              <w:rPr>
                <w:rFonts w:cs="Times New Roman"/>
                <w:sz w:val="18"/>
                <w:szCs w:val="18"/>
              </w:rPr>
            </w:pPr>
          </w:p>
        </w:tc>
        <w:tc>
          <w:tcPr>
            <w:tcW w:w="861" w:type="dxa"/>
            <w:tcBorders>
              <w:top w:val="nil"/>
              <w:left w:val="nil"/>
              <w:bottom w:val="nil"/>
              <w:right w:val="nil"/>
            </w:tcBorders>
          </w:tcPr>
          <w:p w14:paraId="50B47A7C">
            <w:pPr>
              <w:jc w:val="center"/>
              <w:rPr>
                <w:rFonts w:cs="Times New Roman"/>
                <w:sz w:val="18"/>
                <w:szCs w:val="18"/>
              </w:rPr>
            </w:pPr>
          </w:p>
        </w:tc>
        <w:tc>
          <w:tcPr>
            <w:tcW w:w="1899" w:type="dxa"/>
            <w:tcBorders>
              <w:top w:val="nil"/>
              <w:left w:val="nil"/>
              <w:bottom w:val="nil"/>
              <w:right w:val="nil"/>
            </w:tcBorders>
          </w:tcPr>
          <w:p w14:paraId="36CBC0D9">
            <w:pPr>
              <w:jc w:val="center"/>
              <w:rPr>
                <w:rFonts w:cs="Times New Roman"/>
                <w:sz w:val="18"/>
                <w:szCs w:val="18"/>
              </w:rPr>
            </w:pPr>
          </w:p>
        </w:tc>
        <w:tc>
          <w:tcPr>
            <w:tcW w:w="912" w:type="dxa"/>
            <w:tcBorders>
              <w:top w:val="nil"/>
              <w:left w:val="nil"/>
              <w:bottom w:val="nil"/>
              <w:right w:val="nil"/>
            </w:tcBorders>
          </w:tcPr>
          <w:p w14:paraId="41B2263D">
            <w:pPr>
              <w:jc w:val="center"/>
              <w:rPr>
                <w:rFonts w:cs="Times New Roman"/>
                <w:sz w:val="18"/>
                <w:szCs w:val="18"/>
              </w:rPr>
            </w:pPr>
          </w:p>
        </w:tc>
      </w:tr>
      <w:tr w14:paraId="48691AAD">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nil"/>
              <w:left w:val="nil"/>
              <w:bottom w:val="nil"/>
              <w:right w:val="nil"/>
            </w:tcBorders>
          </w:tcPr>
          <w:p w14:paraId="2B6F64E1">
            <w:pPr>
              <w:rPr>
                <w:rFonts w:cs="Times New Roman"/>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1 (5.65</w:t>
            </w:r>
            <w:r>
              <w:rPr>
                <w:rFonts w:cs="Times New Roman"/>
                <w:kern w:val="0"/>
                <w:sz w:val="18"/>
                <w:szCs w:val="18"/>
                <w:lang w:bidi="ar"/>
              </w:rPr>
              <w:t>-8.34</w:t>
            </w:r>
            <w:r>
              <w:rPr>
                <w:rFonts w:cs="Times New Roman"/>
                <w:sz w:val="18"/>
                <w:szCs w:val="18"/>
                <w:lang w:bidi="ar"/>
              </w:rPr>
              <w:t>)</w:t>
            </w:r>
          </w:p>
        </w:tc>
        <w:tc>
          <w:tcPr>
            <w:tcW w:w="1784" w:type="dxa"/>
            <w:tcBorders>
              <w:top w:val="nil"/>
              <w:left w:val="nil"/>
              <w:bottom w:val="nil"/>
              <w:right w:val="nil"/>
            </w:tcBorders>
            <w:vAlign w:val="center"/>
          </w:tcPr>
          <w:p w14:paraId="6B7DD970">
            <w:pPr>
              <w:jc w:val="center"/>
              <w:rPr>
                <w:rFonts w:cs="Times New Roman"/>
                <w:kern w:val="0"/>
                <w:sz w:val="18"/>
                <w:szCs w:val="18"/>
              </w:rPr>
            </w:pPr>
            <w:r>
              <w:rPr>
                <w:rFonts w:cs="Times New Roman"/>
                <w:kern w:val="0"/>
                <w:sz w:val="18"/>
                <w:szCs w:val="18"/>
                <w:lang w:bidi="ar"/>
              </w:rPr>
              <w:t>0.8 (0.7~0.91)</w:t>
            </w:r>
          </w:p>
        </w:tc>
        <w:tc>
          <w:tcPr>
            <w:tcW w:w="880" w:type="dxa"/>
            <w:tcBorders>
              <w:top w:val="nil"/>
              <w:left w:val="nil"/>
              <w:bottom w:val="nil"/>
              <w:right w:val="nil"/>
            </w:tcBorders>
          </w:tcPr>
          <w:p w14:paraId="560B8563">
            <w:pPr>
              <w:jc w:val="center"/>
              <w:rPr>
                <w:rFonts w:cs="Times New Roman"/>
                <w:sz w:val="18"/>
                <w:szCs w:val="18"/>
              </w:rPr>
            </w:pPr>
            <w:r>
              <w:rPr>
                <w:rFonts w:cs="Times New Roman"/>
                <w:sz w:val="18"/>
                <w:szCs w:val="18"/>
                <w:lang w:bidi="ar"/>
              </w:rPr>
              <w:t>0.001</w:t>
            </w:r>
          </w:p>
        </w:tc>
        <w:tc>
          <w:tcPr>
            <w:tcW w:w="1958" w:type="dxa"/>
            <w:tcBorders>
              <w:top w:val="nil"/>
              <w:left w:val="nil"/>
              <w:bottom w:val="nil"/>
              <w:right w:val="nil"/>
            </w:tcBorders>
            <w:vAlign w:val="center"/>
          </w:tcPr>
          <w:p w14:paraId="13090FCB">
            <w:pPr>
              <w:jc w:val="center"/>
              <w:rPr>
                <w:rFonts w:cs="Times New Roman"/>
                <w:sz w:val="18"/>
                <w:szCs w:val="18"/>
              </w:rPr>
            </w:pPr>
            <w:r>
              <w:rPr>
                <w:rFonts w:cs="Times New Roman"/>
                <w:sz w:val="18"/>
                <w:szCs w:val="18"/>
                <w:lang w:bidi="ar"/>
              </w:rPr>
              <w:t>1.1 (0.96~1.25)</w:t>
            </w:r>
          </w:p>
        </w:tc>
        <w:tc>
          <w:tcPr>
            <w:tcW w:w="861" w:type="dxa"/>
            <w:tcBorders>
              <w:top w:val="nil"/>
              <w:left w:val="nil"/>
              <w:bottom w:val="nil"/>
              <w:right w:val="nil"/>
            </w:tcBorders>
          </w:tcPr>
          <w:p w14:paraId="5DAF96A4">
            <w:pPr>
              <w:jc w:val="center"/>
              <w:rPr>
                <w:rFonts w:cs="Times New Roman"/>
                <w:sz w:val="18"/>
                <w:szCs w:val="18"/>
              </w:rPr>
            </w:pPr>
            <w:r>
              <w:rPr>
                <w:rFonts w:cs="Times New Roman"/>
                <w:kern w:val="0"/>
                <w:sz w:val="18"/>
                <w:szCs w:val="18"/>
                <w:lang w:bidi="ar"/>
              </w:rPr>
              <w:t>0.17</w:t>
            </w:r>
          </w:p>
        </w:tc>
        <w:tc>
          <w:tcPr>
            <w:tcW w:w="1899" w:type="dxa"/>
            <w:tcBorders>
              <w:top w:val="nil"/>
              <w:left w:val="nil"/>
              <w:bottom w:val="nil"/>
              <w:right w:val="nil"/>
            </w:tcBorders>
            <w:vAlign w:val="center"/>
          </w:tcPr>
          <w:p w14:paraId="3432FEC0">
            <w:pPr>
              <w:jc w:val="center"/>
              <w:rPr>
                <w:rFonts w:cs="Times New Roman"/>
                <w:kern w:val="0"/>
                <w:sz w:val="18"/>
                <w:szCs w:val="18"/>
              </w:rPr>
            </w:pPr>
            <w:r>
              <w:rPr>
                <w:rFonts w:cs="Times New Roman"/>
                <w:kern w:val="0"/>
                <w:sz w:val="18"/>
                <w:szCs w:val="18"/>
                <w:lang w:bidi="ar"/>
              </w:rPr>
              <w:t>1.07 (0.92~1.24)</w:t>
            </w:r>
          </w:p>
        </w:tc>
        <w:tc>
          <w:tcPr>
            <w:tcW w:w="912" w:type="dxa"/>
            <w:tcBorders>
              <w:top w:val="nil"/>
              <w:left w:val="nil"/>
              <w:bottom w:val="nil"/>
              <w:right w:val="nil"/>
            </w:tcBorders>
          </w:tcPr>
          <w:p w14:paraId="2363D82E">
            <w:pPr>
              <w:jc w:val="center"/>
              <w:rPr>
                <w:rFonts w:cs="Times New Roman"/>
                <w:sz w:val="18"/>
                <w:szCs w:val="18"/>
              </w:rPr>
            </w:pPr>
            <w:r>
              <w:rPr>
                <w:rFonts w:cs="Times New Roman"/>
                <w:kern w:val="0"/>
                <w:sz w:val="18"/>
                <w:szCs w:val="18"/>
                <w:lang w:bidi="ar"/>
              </w:rPr>
              <w:t>0.372</w:t>
            </w:r>
          </w:p>
        </w:tc>
      </w:tr>
      <w:tr w14:paraId="5426649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74" w:hRule="atLeast"/>
          <w:jc w:val="center"/>
        </w:trPr>
        <w:tc>
          <w:tcPr>
            <w:tcW w:w="0" w:type="auto"/>
            <w:tcBorders>
              <w:top w:val="nil"/>
              <w:left w:val="nil"/>
              <w:bottom w:val="nil"/>
              <w:right w:val="nil"/>
            </w:tcBorders>
          </w:tcPr>
          <w:p w14:paraId="03314102">
            <w:pPr>
              <w:rPr>
                <w:rFonts w:cs="Times New Roman"/>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2 (</w:t>
            </w:r>
            <w:r>
              <w:rPr>
                <w:rFonts w:cs="Times New Roman"/>
                <w:kern w:val="0"/>
                <w:sz w:val="18"/>
                <w:szCs w:val="18"/>
                <w:lang w:bidi="ar"/>
              </w:rPr>
              <w:t>8.34-8.90</w:t>
            </w:r>
            <w:r>
              <w:rPr>
                <w:rFonts w:cs="Times New Roman"/>
                <w:sz w:val="18"/>
                <w:szCs w:val="18"/>
                <w:lang w:bidi="ar"/>
              </w:rPr>
              <w:t>)</w:t>
            </w:r>
          </w:p>
        </w:tc>
        <w:tc>
          <w:tcPr>
            <w:tcW w:w="1784" w:type="dxa"/>
            <w:tcBorders>
              <w:top w:val="nil"/>
              <w:left w:val="nil"/>
              <w:bottom w:val="nil"/>
              <w:right w:val="nil"/>
            </w:tcBorders>
            <w:vAlign w:val="center"/>
          </w:tcPr>
          <w:p w14:paraId="13979B42">
            <w:pPr>
              <w:jc w:val="center"/>
              <w:rPr>
                <w:rFonts w:cs="Times New Roman"/>
                <w:kern w:val="0"/>
                <w:sz w:val="18"/>
                <w:szCs w:val="18"/>
              </w:rPr>
            </w:pPr>
            <w:r>
              <w:rPr>
                <w:rFonts w:cs="Times New Roman"/>
                <w:sz w:val="18"/>
                <w:szCs w:val="18"/>
                <w:lang w:bidi="ar"/>
              </w:rPr>
              <w:t>Reference</w:t>
            </w:r>
          </w:p>
        </w:tc>
        <w:tc>
          <w:tcPr>
            <w:tcW w:w="880" w:type="dxa"/>
            <w:tcBorders>
              <w:top w:val="nil"/>
              <w:left w:val="nil"/>
              <w:bottom w:val="nil"/>
              <w:right w:val="nil"/>
            </w:tcBorders>
          </w:tcPr>
          <w:p w14:paraId="3A2BE8EE">
            <w:pPr>
              <w:jc w:val="center"/>
              <w:rPr>
                <w:rFonts w:cs="Times New Roman"/>
                <w:sz w:val="18"/>
                <w:szCs w:val="18"/>
              </w:rPr>
            </w:pPr>
          </w:p>
        </w:tc>
        <w:tc>
          <w:tcPr>
            <w:tcW w:w="1958" w:type="dxa"/>
            <w:tcBorders>
              <w:top w:val="nil"/>
              <w:left w:val="nil"/>
              <w:bottom w:val="nil"/>
              <w:right w:val="nil"/>
            </w:tcBorders>
            <w:vAlign w:val="center"/>
          </w:tcPr>
          <w:p w14:paraId="4193B48C">
            <w:pPr>
              <w:jc w:val="center"/>
              <w:rPr>
                <w:rFonts w:cs="Times New Roman"/>
                <w:sz w:val="18"/>
                <w:szCs w:val="18"/>
              </w:rPr>
            </w:pPr>
            <w:r>
              <w:rPr>
                <w:rFonts w:cs="Times New Roman"/>
                <w:sz w:val="18"/>
                <w:szCs w:val="18"/>
                <w:lang w:bidi="ar"/>
              </w:rPr>
              <w:t>Reference</w:t>
            </w:r>
          </w:p>
        </w:tc>
        <w:tc>
          <w:tcPr>
            <w:tcW w:w="861" w:type="dxa"/>
            <w:tcBorders>
              <w:top w:val="nil"/>
              <w:left w:val="nil"/>
              <w:bottom w:val="nil"/>
              <w:right w:val="nil"/>
            </w:tcBorders>
            <w:vAlign w:val="center"/>
          </w:tcPr>
          <w:p w14:paraId="5A8240A4">
            <w:pPr>
              <w:jc w:val="center"/>
              <w:rPr>
                <w:rFonts w:cs="Times New Roman"/>
                <w:kern w:val="0"/>
                <w:sz w:val="18"/>
                <w:szCs w:val="18"/>
              </w:rPr>
            </w:pPr>
          </w:p>
        </w:tc>
        <w:tc>
          <w:tcPr>
            <w:tcW w:w="1899" w:type="dxa"/>
            <w:tcBorders>
              <w:top w:val="nil"/>
              <w:left w:val="nil"/>
              <w:bottom w:val="nil"/>
              <w:right w:val="nil"/>
            </w:tcBorders>
            <w:vAlign w:val="center"/>
          </w:tcPr>
          <w:p w14:paraId="51F6AEFD">
            <w:pPr>
              <w:jc w:val="center"/>
              <w:rPr>
                <w:rFonts w:cs="Times New Roman"/>
                <w:kern w:val="0"/>
                <w:sz w:val="18"/>
                <w:szCs w:val="18"/>
              </w:rPr>
            </w:pPr>
            <w:r>
              <w:rPr>
                <w:rFonts w:cs="Times New Roman"/>
                <w:sz w:val="18"/>
                <w:szCs w:val="18"/>
                <w:lang w:bidi="ar"/>
              </w:rPr>
              <w:t>Reference</w:t>
            </w:r>
          </w:p>
        </w:tc>
        <w:tc>
          <w:tcPr>
            <w:tcW w:w="912" w:type="dxa"/>
            <w:tcBorders>
              <w:top w:val="nil"/>
              <w:left w:val="nil"/>
              <w:bottom w:val="nil"/>
              <w:right w:val="nil"/>
            </w:tcBorders>
          </w:tcPr>
          <w:p w14:paraId="7FA410D3">
            <w:pPr>
              <w:jc w:val="center"/>
              <w:rPr>
                <w:rFonts w:cs="Times New Roman"/>
                <w:kern w:val="0"/>
                <w:sz w:val="18"/>
                <w:szCs w:val="18"/>
              </w:rPr>
            </w:pPr>
          </w:p>
        </w:tc>
      </w:tr>
      <w:tr w14:paraId="634AA3C6">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18" w:hRule="atLeast"/>
          <w:jc w:val="center"/>
        </w:trPr>
        <w:tc>
          <w:tcPr>
            <w:tcW w:w="0" w:type="auto"/>
            <w:tcBorders>
              <w:top w:val="nil"/>
              <w:left w:val="nil"/>
              <w:bottom w:val="nil"/>
              <w:right w:val="nil"/>
            </w:tcBorders>
          </w:tcPr>
          <w:p w14:paraId="5FEDCB19">
            <w:pPr>
              <w:rPr>
                <w:rFonts w:cs="Times New Roman"/>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3 (</w:t>
            </w:r>
            <w:r>
              <w:rPr>
                <w:rFonts w:cs="Times New Roman"/>
                <w:kern w:val="0"/>
                <w:sz w:val="18"/>
                <w:szCs w:val="18"/>
                <w:lang w:bidi="ar"/>
              </w:rPr>
              <w:t>8.90-12.84</w:t>
            </w:r>
            <w:r>
              <w:rPr>
                <w:rFonts w:cs="Times New Roman"/>
                <w:sz w:val="18"/>
                <w:szCs w:val="18"/>
                <w:lang w:bidi="ar"/>
              </w:rPr>
              <w:t>)</w:t>
            </w:r>
          </w:p>
        </w:tc>
        <w:tc>
          <w:tcPr>
            <w:tcW w:w="1784" w:type="dxa"/>
            <w:tcBorders>
              <w:top w:val="nil"/>
              <w:left w:val="nil"/>
              <w:bottom w:val="nil"/>
              <w:right w:val="nil"/>
            </w:tcBorders>
            <w:vAlign w:val="center"/>
          </w:tcPr>
          <w:p w14:paraId="40955A8B">
            <w:pPr>
              <w:jc w:val="center"/>
              <w:rPr>
                <w:rFonts w:cs="Times New Roman"/>
                <w:kern w:val="0"/>
                <w:sz w:val="18"/>
                <w:szCs w:val="18"/>
              </w:rPr>
            </w:pPr>
            <w:r>
              <w:rPr>
                <w:rFonts w:cs="Times New Roman"/>
                <w:kern w:val="0"/>
                <w:sz w:val="18"/>
                <w:szCs w:val="18"/>
                <w:lang w:bidi="ar"/>
              </w:rPr>
              <w:t>1.14 (1.02~1.28)</w:t>
            </w:r>
          </w:p>
        </w:tc>
        <w:tc>
          <w:tcPr>
            <w:tcW w:w="880" w:type="dxa"/>
            <w:tcBorders>
              <w:top w:val="nil"/>
              <w:left w:val="nil"/>
              <w:bottom w:val="nil"/>
              <w:right w:val="nil"/>
            </w:tcBorders>
            <w:vAlign w:val="center"/>
          </w:tcPr>
          <w:p w14:paraId="3CBF65E1">
            <w:pPr>
              <w:jc w:val="center"/>
              <w:rPr>
                <w:rFonts w:cs="Times New Roman"/>
                <w:kern w:val="0"/>
                <w:sz w:val="18"/>
                <w:szCs w:val="18"/>
              </w:rPr>
            </w:pPr>
            <w:r>
              <w:rPr>
                <w:rFonts w:cs="Times New Roman"/>
                <w:kern w:val="0"/>
                <w:sz w:val="18"/>
                <w:szCs w:val="18"/>
                <w:lang w:bidi="ar"/>
              </w:rPr>
              <w:t>0.02</w:t>
            </w:r>
          </w:p>
        </w:tc>
        <w:tc>
          <w:tcPr>
            <w:tcW w:w="1958" w:type="dxa"/>
            <w:tcBorders>
              <w:top w:val="nil"/>
              <w:left w:val="nil"/>
              <w:bottom w:val="nil"/>
              <w:right w:val="nil"/>
            </w:tcBorders>
            <w:vAlign w:val="center"/>
          </w:tcPr>
          <w:p w14:paraId="15B44B59">
            <w:pPr>
              <w:jc w:val="center"/>
              <w:rPr>
                <w:rFonts w:cs="Times New Roman"/>
                <w:sz w:val="18"/>
                <w:szCs w:val="18"/>
              </w:rPr>
            </w:pPr>
            <w:r>
              <w:rPr>
                <w:rFonts w:cs="Times New Roman"/>
                <w:sz w:val="18"/>
                <w:szCs w:val="18"/>
                <w:lang w:bidi="ar"/>
              </w:rPr>
              <w:t>1.21 (1.08~1.35)</w:t>
            </w:r>
          </w:p>
        </w:tc>
        <w:tc>
          <w:tcPr>
            <w:tcW w:w="861" w:type="dxa"/>
            <w:tcBorders>
              <w:top w:val="nil"/>
              <w:left w:val="nil"/>
              <w:bottom w:val="nil"/>
              <w:right w:val="nil"/>
            </w:tcBorders>
            <w:vAlign w:val="center"/>
          </w:tcPr>
          <w:p w14:paraId="40BB4A4E">
            <w:pPr>
              <w:jc w:val="center"/>
              <w:rPr>
                <w:rFonts w:cs="Times New Roman"/>
                <w:kern w:val="0"/>
                <w:sz w:val="18"/>
                <w:szCs w:val="18"/>
              </w:rPr>
            </w:pPr>
            <w:r>
              <w:rPr>
                <w:rFonts w:cs="Times New Roman"/>
                <w:kern w:val="0"/>
                <w:sz w:val="18"/>
                <w:szCs w:val="18"/>
                <w:lang w:bidi="ar"/>
              </w:rPr>
              <w:t>0.001</w:t>
            </w:r>
          </w:p>
        </w:tc>
        <w:tc>
          <w:tcPr>
            <w:tcW w:w="1899" w:type="dxa"/>
            <w:tcBorders>
              <w:top w:val="nil"/>
              <w:left w:val="nil"/>
              <w:bottom w:val="nil"/>
              <w:right w:val="nil"/>
            </w:tcBorders>
          </w:tcPr>
          <w:p w14:paraId="6C1E7C48">
            <w:pPr>
              <w:jc w:val="center"/>
              <w:rPr>
                <w:rFonts w:cs="Times New Roman"/>
                <w:kern w:val="0"/>
                <w:sz w:val="18"/>
                <w:szCs w:val="18"/>
              </w:rPr>
            </w:pPr>
            <w:r>
              <w:rPr>
                <w:rFonts w:cs="Times New Roman"/>
                <w:kern w:val="0"/>
                <w:sz w:val="18"/>
                <w:szCs w:val="18"/>
                <w:lang w:bidi="ar"/>
              </w:rPr>
              <w:t>1.09 (0.96~1.24)</w:t>
            </w:r>
          </w:p>
        </w:tc>
        <w:tc>
          <w:tcPr>
            <w:tcW w:w="912" w:type="dxa"/>
            <w:tcBorders>
              <w:top w:val="nil"/>
              <w:left w:val="nil"/>
              <w:bottom w:val="nil"/>
              <w:right w:val="nil"/>
            </w:tcBorders>
            <w:vAlign w:val="center"/>
          </w:tcPr>
          <w:p w14:paraId="6892D036">
            <w:pPr>
              <w:jc w:val="center"/>
              <w:rPr>
                <w:rFonts w:cs="Times New Roman"/>
                <w:kern w:val="0"/>
                <w:sz w:val="18"/>
                <w:szCs w:val="18"/>
              </w:rPr>
            </w:pPr>
            <w:r>
              <w:rPr>
                <w:rFonts w:cs="Times New Roman"/>
                <w:kern w:val="0"/>
                <w:sz w:val="18"/>
                <w:szCs w:val="18"/>
                <w:lang w:bidi="ar"/>
              </w:rPr>
              <w:t>0.18</w:t>
            </w:r>
          </w:p>
        </w:tc>
      </w:tr>
      <w:tr w14:paraId="0D42B527">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4179BBF2">
            <w:pPr>
              <w:rPr>
                <w:rFonts w:cs="Times New Roman"/>
                <w:sz w:val="18"/>
                <w:szCs w:val="18"/>
              </w:rPr>
            </w:pPr>
            <w:r>
              <w:rPr>
                <w:rFonts w:cs="Times New Roman"/>
                <w:i/>
                <w:iCs/>
                <w:sz w:val="18"/>
                <w:szCs w:val="18"/>
                <w:lang w:bidi="ar"/>
              </w:rPr>
              <w:t>P</w:t>
            </w:r>
            <w:r>
              <w:rPr>
                <w:rFonts w:cs="Times New Roman"/>
                <w:sz w:val="18"/>
                <w:szCs w:val="18"/>
                <w:lang w:bidi="ar"/>
              </w:rPr>
              <w:t xml:space="preserve"> for trend</w:t>
            </w:r>
          </w:p>
        </w:tc>
        <w:tc>
          <w:tcPr>
            <w:tcW w:w="1784" w:type="dxa"/>
            <w:tcBorders>
              <w:top w:val="nil"/>
              <w:left w:val="nil"/>
              <w:bottom w:val="nil"/>
              <w:right w:val="nil"/>
            </w:tcBorders>
            <w:vAlign w:val="center"/>
          </w:tcPr>
          <w:p w14:paraId="762C04A8">
            <w:pPr>
              <w:jc w:val="center"/>
              <w:rPr>
                <w:rFonts w:cs="Times New Roman"/>
                <w:kern w:val="0"/>
                <w:sz w:val="18"/>
                <w:szCs w:val="18"/>
              </w:rPr>
            </w:pPr>
            <w:r>
              <w:rPr>
                <w:rFonts w:cs="Times New Roman"/>
                <w:kern w:val="0"/>
                <w:sz w:val="18"/>
                <w:szCs w:val="18"/>
                <w:lang w:bidi="ar"/>
              </w:rPr>
              <w:t>1.08 (1.02~1.14)</w:t>
            </w:r>
          </w:p>
        </w:tc>
        <w:tc>
          <w:tcPr>
            <w:tcW w:w="880" w:type="dxa"/>
            <w:tcBorders>
              <w:top w:val="nil"/>
              <w:left w:val="nil"/>
              <w:bottom w:val="nil"/>
              <w:right w:val="nil"/>
            </w:tcBorders>
            <w:vAlign w:val="center"/>
          </w:tcPr>
          <w:p w14:paraId="11BBA7C1">
            <w:pPr>
              <w:jc w:val="center"/>
              <w:rPr>
                <w:rFonts w:cs="Times New Roman"/>
                <w:kern w:val="0"/>
                <w:sz w:val="18"/>
                <w:szCs w:val="18"/>
              </w:rPr>
            </w:pPr>
            <w:r>
              <w:rPr>
                <w:rFonts w:cs="Times New Roman"/>
                <w:kern w:val="0"/>
                <w:sz w:val="18"/>
                <w:szCs w:val="18"/>
                <w:lang w:bidi="ar"/>
              </w:rPr>
              <w:t>0.013</w:t>
            </w:r>
          </w:p>
        </w:tc>
        <w:tc>
          <w:tcPr>
            <w:tcW w:w="1958" w:type="dxa"/>
            <w:tcBorders>
              <w:top w:val="nil"/>
              <w:left w:val="nil"/>
              <w:bottom w:val="nil"/>
              <w:right w:val="nil"/>
            </w:tcBorders>
            <w:vAlign w:val="center"/>
          </w:tcPr>
          <w:p w14:paraId="671F615D">
            <w:pPr>
              <w:jc w:val="center"/>
              <w:rPr>
                <w:rFonts w:cs="Times New Roman"/>
                <w:sz w:val="18"/>
                <w:szCs w:val="18"/>
              </w:rPr>
            </w:pPr>
            <w:r>
              <w:rPr>
                <w:rFonts w:cs="Times New Roman"/>
                <w:sz w:val="18"/>
                <w:szCs w:val="18"/>
                <w:lang w:bidi="ar"/>
              </w:rPr>
              <w:t>1.1 (1.04~1.16)</w:t>
            </w:r>
          </w:p>
        </w:tc>
        <w:tc>
          <w:tcPr>
            <w:tcW w:w="861" w:type="dxa"/>
            <w:tcBorders>
              <w:top w:val="nil"/>
              <w:left w:val="nil"/>
              <w:bottom w:val="nil"/>
              <w:right w:val="nil"/>
            </w:tcBorders>
            <w:vAlign w:val="center"/>
          </w:tcPr>
          <w:p w14:paraId="39E72D37">
            <w:pPr>
              <w:jc w:val="center"/>
              <w:rPr>
                <w:rFonts w:cs="Times New Roman"/>
                <w:kern w:val="0"/>
                <w:sz w:val="18"/>
                <w:szCs w:val="18"/>
              </w:rPr>
            </w:pPr>
            <w:r>
              <w:rPr>
                <w:rFonts w:cs="Times New Roman"/>
                <w:kern w:val="0"/>
                <w:sz w:val="18"/>
                <w:szCs w:val="18"/>
                <w:lang w:bidi="ar"/>
              </w:rPr>
              <w:t>0.001</w:t>
            </w:r>
          </w:p>
        </w:tc>
        <w:tc>
          <w:tcPr>
            <w:tcW w:w="1899" w:type="dxa"/>
            <w:tcBorders>
              <w:top w:val="nil"/>
              <w:left w:val="nil"/>
              <w:bottom w:val="nil"/>
              <w:right w:val="nil"/>
            </w:tcBorders>
          </w:tcPr>
          <w:p w14:paraId="74BE5731">
            <w:pPr>
              <w:jc w:val="center"/>
              <w:rPr>
                <w:rFonts w:cs="Times New Roman"/>
                <w:kern w:val="0"/>
                <w:sz w:val="18"/>
                <w:szCs w:val="18"/>
              </w:rPr>
            </w:pPr>
            <w:r>
              <w:rPr>
                <w:rFonts w:cs="Times New Roman"/>
                <w:kern w:val="0"/>
                <w:sz w:val="18"/>
                <w:szCs w:val="18"/>
                <w:lang w:bidi="ar"/>
              </w:rPr>
              <w:t>1.04 (0.98~1.11)</w:t>
            </w:r>
          </w:p>
        </w:tc>
        <w:tc>
          <w:tcPr>
            <w:tcW w:w="912" w:type="dxa"/>
            <w:tcBorders>
              <w:top w:val="nil"/>
              <w:left w:val="nil"/>
              <w:bottom w:val="nil"/>
              <w:right w:val="nil"/>
            </w:tcBorders>
            <w:vAlign w:val="center"/>
          </w:tcPr>
          <w:p w14:paraId="4523E631">
            <w:pPr>
              <w:jc w:val="center"/>
              <w:rPr>
                <w:rFonts w:cs="Times New Roman"/>
                <w:kern w:val="0"/>
                <w:sz w:val="18"/>
                <w:szCs w:val="18"/>
              </w:rPr>
            </w:pPr>
            <w:r>
              <w:rPr>
                <w:rFonts w:cs="Times New Roman"/>
                <w:kern w:val="0"/>
                <w:sz w:val="18"/>
                <w:szCs w:val="18"/>
                <w:lang w:bidi="ar"/>
              </w:rPr>
              <w:t>0.178</w:t>
            </w:r>
          </w:p>
        </w:tc>
      </w:tr>
      <w:tr w14:paraId="3FF0DEBD">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532C5A5B">
            <w:pPr>
              <w:rPr>
                <w:rFonts w:cs="Times New Roman"/>
                <w:b/>
                <w:bCs/>
                <w:kern w:val="0"/>
                <w:sz w:val="18"/>
                <w:szCs w:val="18"/>
              </w:rPr>
            </w:pPr>
            <w:r>
              <w:rPr>
                <w:rFonts w:cs="Times New Roman"/>
                <w:b/>
                <w:bCs/>
                <w:kern w:val="0"/>
                <w:sz w:val="18"/>
                <w:szCs w:val="18"/>
                <w:lang w:bidi="ar"/>
              </w:rPr>
              <w:t>CVD mortality</w:t>
            </w:r>
          </w:p>
        </w:tc>
        <w:tc>
          <w:tcPr>
            <w:tcW w:w="1784" w:type="dxa"/>
            <w:tcBorders>
              <w:top w:val="nil"/>
              <w:left w:val="nil"/>
              <w:bottom w:val="nil"/>
              <w:right w:val="nil"/>
            </w:tcBorders>
          </w:tcPr>
          <w:p w14:paraId="67932FF2">
            <w:pPr>
              <w:jc w:val="center"/>
              <w:rPr>
                <w:rFonts w:cs="Times New Roman"/>
                <w:kern w:val="0"/>
                <w:sz w:val="18"/>
                <w:szCs w:val="18"/>
              </w:rPr>
            </w:pPr>
          </w:p>
        </w:tc>
        <w:tc>
          <w:tcPr>
            <w:tcW w:w="880" w:type="dxa"/>
            <w:tcBorders>
              <w:top w:val="nil"/>
              <w:left w:val="nil"/>
              <w:bottom w:val="nil"/>
              <w:right w:val="nil"/>
            </w:tcBorders>
          </w:tcPr>
          <w:p w14:paraId="14A33D6B">
            <w:pPr>
              <w:jc w:val="center"/>
              <w:rPr>
                <w:rFonts w:cs="Times New Roman"/>
                <w:kern w:val="0"/>
                <w:sz w:val="18"/>
                <w:szCs w:val="18"/>
              </w:rPr>
            </w:pPr>
          </w:p>
        </w:tc>
        <w:tc>
          <w:tcPr>
            <w:tcW w:w="1958" w:type="dxa"/>
            <w:tcBorders>
              <w:top w:val="nil"/>
              <w:left w:val="nil"/>
              <w:bottom w:val="nil"/>
              <w:right w:val="nil"/>
            </w:tcBorders>
          </w:tcPr>
          <w:p w14:paraId="5577F7EE">
            <w:pPr>
              <w:jc w:val="center"/>
              <w:rPr>
                <w:rFonts w:cs="Times New Roman"/>
                <w:kern w:val="0"/>
                <w:sz w:val="18"/>
                <w:szCs w:val="18"/>
              </w:rPr>
            </w:pPr>
          </w:p>
        </w:tc>
        <w:tc>
          <w:tcPr>
            <w:tcW w:w="861" w:type="dxa"/>
            <w:tcBorders>
              <w:top w:val="nil"/>
              <w:left w:val="nil"/>
              <w:bottom w:val="nil"/>
              <w:right w:val="nil"/>
            </w:tcBorders>
          </w:tcPr>
          <w:p w14:paraId="766F38EE">
            <w:pPr>
              <w:jc w:val="center"/>
              <w:rPr>
                <w:rFonts w:cs="Times New Roman"/>
                <w:kern w:val="0"/>
                <w:sz w:val="18"/>
                <w:szCs w:val="18"/>
              </w:rPr>
            </w:pPr>
          </w:p>
        </w:tc>
        <w:tc>
          <w:tcPr>
            <w:tcW w:w="1899" w:type="dxa"/>
            <w:tcBorders>
              <w:top w:val="nil"/>
              <w:left w:val="nil"/>
              <w:bottom w:val="nil"/>
              <w:right w:val="nil"/>
            </w:tcBorders>
          </w:tcPr>
          <w:p w14:paraId="23E7E9A4">
            <w:pPr>
              <w:jc w:val="center"/>
              <w:rPr>
                <w:rFonts w:cs="Times New Roman"/>
                <w:kern w:val="0"/>
                <w:sz w:val="18"/>
                <w:szCs w:val="18"/>
              </w:rPr>
            </w:pPr>
          </w:p>
        </w:tc>
        <w:tc>
          <w:tcPr>
            <w:tcW w:w="912" w:type="dxa"/>
            <w:tcBorders>
              <w:top w:val="nil"/>
              <w:left w:val="nil"/>
              <w:bottom w:val="nil"/>
              <w:right w:val="nil"/>
            </w:tcBorders>
          </w:tcPr>
          <w:p w14:paraId="12FAF0B4">
            <w:pPr>
              <w:jc w:val="center"/>
              <w:rPr>
                <w:rFonts w:cs="Times New Roman"/>
                <w:kern w:val="0"/>
                <w:sz w:val="18"/>
                <w:szCs w:val="18"/>
              </w:rPr>
            </w:pPr>
          </w:p>
        </w:tc>
      </w:tr>
      <w:tr w14:paraId="6B21787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169DDF17">
            <w:pPr>
              <w:rPr>
                <w:rFonts w:cs="Times New Roman"/>
                <w:kern w:val="0"/>
                <w:sz w:val="18"/>
                <w:szCs w:val="18"/>
              </w:rPr>
            </w:pPr>
            <w:r>
              <w:rPr>
                <w:rFonts w:cs="Times New Roman"/>
                <w:kern w:val="0"/>
                <w:sz w:val="18"/>
                <w:szCs w:val="18"/>
                <w:lang w:bidi="ar"/>
              </w:rPr>
              <w:t>TyG</w:t>
            </w:r>
            <w:r>
              <w:rPr>
                <w:rFonts w:cs="Times New Roman"/>
                <w:sz w:val="18"/>
                <w:szCs w:val="18"/>
                <w:lang w:bidi="ar"/>
              </w:rPr>
              <w:t xml:space="preserve"> </w:t>
            </w:r>
          </w:p>
        </w:tc>
        <w:tc>
          <w:tcPr>
            <w:tcW w:w="1784" w:type="dxa"/>
            <w:tcBorders>
              <w:top w:val="nil"/>
              <w:left w:val="nil"/>
              <w:bottom w:val="nil"/>
              <w:right w:val="nil"/>
            </w:tcBorders>
          </w:tcPr>
          <w:p w14:paraId="41843472">
            <w:pPr>
              <w:jc w:val="center"/>
              <w:rPr>
                <w:rFonts w:cs="Times New Roman"/>
                <w:kern w:val="0"/>
                <w:sz w:val="18"/>
                <w:szCs w:val="18"/>
              </w:rPr>
            </w:pPr>
            <w:r>
              <w:rPr>
                <w:rFonts w:cs="Times New Roman"/>
                <w:kern w:val="0"/>
                <w:sz w:val="18"/>
                <w:szCs w:val="18"/>
                <w:lang w:bidi="ar"/>
              </w:rPr>
              <w:t>1.31 (1.16~1.48)</w:t>
            </w:r>
          </w:p>
        </w:tc>
        <w:tc>
          <w:tcPr>
            <w:tcW w:w="880" w:type="dxa"/>
            <w:tcBorders>
              <w:top w:val="nil"/>
              <w:left w:val="nil"/>
              <w:bottom w:val="nil"/>
              <w:right w:val="nil"/>
            </w:tcBorders>
          </w:tcPr>
          <w:p w14:paraId="07DCD102">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tcPr>
          <w:p w14:paraId="3D4AFA2A">
            <w:pPr>
              <w:jc w:val="center"/>
              <w:rPr>
                <w:rFonts w:cs="Times New Roman"/>
                <w:kern w:val="0"/>
                <w:sz w:val="18"/>
                <w:szCs w:val="18"/>
              </w:rPr>
            </w:pPr>
            <w:r>
              <w:rPr>
                <w:rFonts w:cs="Times New Roman"/>
                <w:kern w:val="0"/>
                <w:sz w:val="18"/>
                <w:szCs w:val="18"/>
                <w:lang w:bidi="ar"/>
              </w:rPr>
              <w:t>1.28 (1.11~1.48)</w:t>
            </w:r>
          </w:p>
        </w:tc>
        <w:tc>
          <w:tcPr>
            <w:tcW w:w="861" w:type="dxa"/>
            <w:tcBorders>
              <w:top w:val="nil"/>
              <w:left w:val="nil"/>
              <w:bottom w:val="nil"/>
              <w:right w:val="nil"/>
            </w:tcBorders>
          </w:tcPr>
          <w:p w14:paraId="006BFF31">
            <w:pPr>
              <w:jc w:val="center"/>
              <w:rPr>
                <w:rFonts w:cs="Times New Roman"/>
                <w:kern w:val="0"/>
                <w:sz w:val="18"/>
                <w:szCs w:val="18"/>
              </w:rPr>
            </w:pPr>
            <w:r>
              <w:rPr>
                <w:rFonts w:cs="Times New Roman"/>
                <w:kern w:val="0"/>
                <w:sz w:val="18"/>
                <w:szCs w:val="18"/>
                <w:lang w:bidi="ar"/>
              </w:rPr>
              <w:t>0.001</w:t>
            </w:r>
          </w:p>
        </w:tc>
        <w:tc>
          <w:tcPr>
            <w:tcW w:w="1899" w:type="dxa"/>
            <w:tcBorders>
              <w:top w:val="nil"/>
              <w:left w:val="nil"/>
              <w:bottom w:val="nil"/>
              <w:right w:val="nil"/>
            </w:tcBorders>
          </w:tcPr>
          <w:p w14:paraId="4A29BDC9">
            <w:pPr>
              <w:jc w:val="center"/>
              <w:rPr>
                <w:rFonts w:cs="Times New Roman"/>
                <w:kern w:val="0"/>
                <w:sz w:val="18"/>
                <w:szCs w:val="18"/>
              </w:rPr>
            </w:pPr>
            <w:r>
              <w:rPr>
                <w:rFonts w:cs="Times New Roman"/>
                <w:kern w:val="0"/>
                <w:sz w:val="18"/>
                <w:szCs w:val="18"/>
                <w:lang w:bidi="ar"/>
              </w:rPr>
              <w:t>1.07 (0.91~1.27)</w:t>
            </w:r>
          </w:p>
        </w:tc>
        <w:tc>
          <w:tcPr>
            <w:tcW w:w="912" w:type="dxa"/>
            <w:tcBorders>
              <w:top w:val="nil"/>
              <w:left w:val="nil"/>
              <w:bottom w:val="nil"/>
              <w:right w:val="nil"/>
            </w:tcBorders>
          </w:tcPr>
          <w:p w14:paraId="3E62B0B2">
            <w:pPr>
              <w:jc w:val="center"/>
              <w:rPr>
                <w:rFonts w:cs="Times New Roman"/>
                <w:kern w:val="0"/>
                <w:sz w:val="18"/>
                <w:szCs w:val="18"/>
              </w:rPr>
            </w:pPr>
            <w:r>
              <w:rPr>
                <w:rFonts w:cs="Times New Roman"/>
                <w:kern w:val="0"/>
                <w:sz w:val="18"/>
                <w:szCs w:val="18"/>
                <w:lang w:bidi="ar"/>
              </w:rPr>
              <w:t>0.419</w:t>
            </w:r>
          </w:p>
        </w:tc>
      </w:tr>
      <w:tr w14:paraId="1DC1BD35">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7E16C12B">
            <w:pPr>
              <w:rPr>
                <w:rFonts w:cs="Times New Roman"/>
                <w:i/>
                <w:iCs/>
                <w:kern w:val="0"/>
                <w:sz w:val="18"/>
                <w:szCs w:val="18"/>
              </w:rPr>
            </w:pPr>
            <w:r>
              <w:rPr>
                <w:rFonts w:cs="Times New Roman"/>
                <w:kern w:val="0"/>
                <w:sz w:val="18"/>
                <w:szCs w:val="18"/>
                <w:lang w:bidi="ar"/>
              </w:rPr>
              <w:t xml:space="preserve">TyG tertiles  </w:t>
            </w:r>
          </w:p>
        </w:tc>
        <w:tc>
          <w:tcPr>
            <w:tcW w:w="1784" w:type="dxa"/>
            <w:tcBorders>
              <w:top w:val="nil"/>
              <w:left w:val="nil"/>
              <w:bottom w:val="nil"/>
              <w:right w:val="nil"/>
            </w:tcBorders>
          </w:tcPr>
          <w:p w14:paraId="49FD9651">
            <w:pPr>
              <w:jc w:val="center"/>
              <w:rPr>
                <w:rFonts w:cs="Times New Roman"/>
                <w:kern w:val="0"/>
                <w:sz w:val="18"/>
                <w:szCs w:val="18"/>
              </w:rPr>
            </w:pPr>
          </w:p>
        </w:tc>
        <w:tc>
          <w:tcPr>
            <w:tcW w:w="880" w:type="dxa"/>
            <w:tcBorders>
              <w:top w:val="nil"/>
              <w:left w:val="nil"/>
              <w:bottom w:val="nil"/>
              <w:right w:val="nil"/>
            </w:tcBorders>
          </w:tcPr>
          <w:p w14:paraId="207C7978">
            <w:pPr>
              <w:jc w:val="center"/>
              <w:rPr>
                <w:rFonts w:cs="Times New Roman"/>
                <w:kern w:val="0"/>
                <w:sz w:val="18"/>
                <w:szCs w:val="18"/>
              </w:rPr>
            </w:pPr>
          </w:p>
        </w:tc>
        <w:tc>
          <w:tcPr>
            <w:tcW w:w="1958" w:type="dxa"/>
            <w:tcBorders>
              <w:top w:val="nil"/>
              <w:left w:val="nil"/>
              <w:bottom w:val="nil"/>
              <w:right w:val="nil"/>
            </w:tcBorders>
          </w:tcPr>
          <w:p w14:paraId="624CB47A">
            <w:pPr>
              <w:jc w:val="center"/>
              <w:rPr>
                <w:rFonts w:cs="Times New Roman"/>
                <w:kern w:val="0"/>
                <w:sz w:val="18"/>
                <w:szCs w:val="18"/>
              </w:rPr>
            </w:pPr>
          </w:p>
        </w:tc>
        <w:tc>
          <w:tcPr>
            <w:tcW w:w="861" w:type="dxa"/>
            <w:tcBorders>
              <w:top w:val="nil"/>
              <w:left w:val="nil"/>
              <w:bottom w:val="nil"/>
              <w:right w:val="nil"/>
            </w:tcBorders>
          </w:tcPr>
          <w:p w14:paraId="33B49BE4">
            <w:pPr>
              <w:jc w:val="center"/>
              <w:rPr>
                <w:rFonts w:cs="Times New Roman"/>
                <w:kern w:val="0"/>
                <w:sz w:val="18"/>
                <w:szCs w:val="18"/>
              </w:rPr>
            </w:pPr>
          </w:p>
        </w:tc>
        <w:tc>
          <w:tcPr>
            <w:tcW w:w="1899" w:type="dxa"/>
            <w:tcBorders>
              <w:top w:val="nil"/>
              <w:left w:val="nil"/>
              <w:bottom w:val="nil"/>
              <w:right w:val="nil"/>
            </w:tcBorders>
          </w:tcPr>
          <w:p w14:paraId="32CD3F10">
            <w:pPr>
              <w:jc w:val="center"/>
              <w:rPr>
                <w:rFonts w:cs="Times New Roman"/>
                <w:kern w:val="0"/>
                <w:sz w:val="18"/>
                <w:szCs w:val="18"/>
              </w:rPr>
            </w:pPr>
          </w:p>
        </w:tc>
        <w:tc>
          <w:tcPr>
            <w:tcW w:w="912" w:type="dxa"/>
            <w:tcBorders>
              <w:top w:val="nil"/>
              <w:left w:val="nil"/>
              <w:bottom w:val="nil"/>
              <w:right w:val="nil"/>
            </w:tcBorders>
          </w:tcPr>
          <w:p w14:paraId="06F91C5D">
            <w:pPr>
              <w:jc w:val="center"/>
              <w:rPr>
                <w:rFonts w:cs="Times New Roman"/>
                <w:kern w:val="0"/>
                <w:sz w:val="18"/>
                <w:szCs w:val="18"/>
              </w:rPr>
            </w:pPr>
          </w:p>
        </w:tc>
      </w:tr>
      <w:tr w14:paraId="55EE9A0B">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1467" w:type="dxa"/>
            <w:tcBorders>
              <w:top w:val="nil"/>
              <w:left w:val="nil"/>
              <w:bottom w:val="nil"/>
              <w:right w:val="nil"/>
            </w:tcBorders>
          </w:tcPr>
          <w:p w14:paraId="2C844E2E">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1 (5.65</w:t>
            </w:r>
            <w:r>
              <w:rPr>
                <w:rFonts w:cs="Times New Roman"/>
                <w:kern w:val="0"/>
                <w:sz w:val="18"/>
                <w:szCs w:val="18"/>
                <w:lang w:bidi="ar"/>
              </w:rPr>
              <w:t>-8.34</w:t>
            </w:r>
            <w:r>
              <w:rPr>
                <w:rFonts w:cs="Times New Roman"/>
                <w:sz w:val="18"/>
                <w:szCs w:val="18"/>
                <w:lang w:bidi="ar"/>
              </w:rPr>
              <w:t>)</w:t>
            </w:r>
          </w:p>
        </w:tc>
        <w:tc>
          <w:tcPr>
            <w:tcW w:w="1784" w:type="dxa"/>
            <w:tcBorders>
              <w:top w:val="nil"/>
              <w:left w:val="nil"/>
              <w:bottom w:val="nil"/>
              <w:right w:val="nil"/>
            </w:tcBorders>
            <w:vAlign w:val="center"/>
          </w:tcPr>
          <w:p w14:paraId="6AB80FD4">
            <w:pPr>
              <w:jc w:val="center"/>
              <w:rPr>
                <w:rFonts w:cs="Times New Roman"/>
                <w:kern w:val="0"/>
                <w:sz w:val="18"/>
                <w:szCs w:val="18"/>
              </w:rPr>
            </w:pPr>
            <w:r>
              <w:rPr>
                <w:rFonts w:cs="Times New Roman"/>
                <w:sz w:val="18"/>
                <w:szCs w:val="18"/>
                <w:lang w:bidi="ar"/>
              </w:rPr>
              <w:t>Reference</w:t>
            </w:r>
          </w:p>
        </w:tc>
        <w:tc>
          <w:tcPr>
            <w:tcW w:w="880" w:type="dxa"/>
            <w:tcBorders>
              <w:top w:val="nil"/>
              <w:left w:val="nil"/>
              <w:bottom w:val="nil"/>
              <w:right w:val="nil"/>
            </w:tcBorders>
          </w:tcPr>
          <w:p w14:paraId="32441F0B">
            <w:pPr>
              <w:jc w:val="center"/>
              <w:rPr>
                <w:rFonts w:cs="Times New Roman"/>
                <w:kern w:val="0"/>
                <w:sz w:val="18"/>
                <w:szCs w:val="18"/>
              </w:rPr>
            </w:pPr>
          </w:p>
        </w:tc>
        <w:tc>
          <w:tcPr>
            <w:tcW w:w="1958" w:type="dxa"/>
            <w:tcBorders>
              <w:top w:val="nil"/>
              <w:left w:val="nil"/>
              <w:bottom w:val="nil"/>
              <w:right w:val="nil"/>
            </w:tcBorders>
            <w:vAlign w:val="center"/>
          </w:tcPr>
          <w:p w14:paraId="7A67B977">
            <w:pPr>
              <w:jc w:val="center"/>
              <w:rPr>
                <w:rFonts w:cs="Times New Roman"/>
                <w:sz w:val="18"/>
                <w:szCs w:val="18"/>
              </w:rPr>
            </w:pPr>
            <w:r>
              <w:rPr>
                <w:rFonts w:cs="Times New Roman"/>
                <w:sz w:val="18"/>
                <w:szCs w:val="18"/>
                <w:lang w:bidi="ar"/>
              </w:rPr>
              <w:t>Reference</w:t>
            </w:r>
          </w:p>
        </w:tc>
        <w:tc>
          <w:tcPr>
            <w:tcW w:w="861" w:type="dxa"/>
            <w:tcBorders>
              <w:top w:val="nil"/>
              <w:left w:val="nil"/>
              <w:bottom w:val="nil"/>
              <w:right w:val="nil"/>
            </w:tcBorders>
          </w:tcPr>
          <w:p w14:paraId="78430D94">
            <w:pPr>
              <w:jc w:val="center"/>
              <w:rPr>
                <w:rFonts w:cs="Times New Roman"/>
                <w:kern w:val="0"/>
                <w:sz w:val="18"/>
                <w:szCs w:val="18"/>
              </w:rPr>
            </w:pPr>
          </w:p>
        </w:tc>
        <w:tc>
          <w:tcPr>
            <w:tcW w:w="1899" w:type="dxa"/>
            <w:tcBorders>
              <w:top w:val="nil"/>
              <w:left w:val="nil"/>
              <w:bottom w:val="nil"/>
              <w:right w:val="nil"/>
            </w:tcBorders>
            <w:vAlign w:val="center"/>
          </w:tcPr>
          <w:p w14:paraId="3F6CD0A4">
            <w:pPr>
              <w:jc w:val="center"/>
              <w:rPr>
                <w:rFonts w:cs="Times New Roman"/>
                <w:kern w:val="0"/>
                <w:sz w:val="18"/>
                <w:szCs w:val="18"/>
              </w:rPr>
            </w:pPr>
            <w:r>
              <w:rPr>
                <w:rFonts w:cs="Times New Roman"/>
                <w:sz w:val="18"/>
                <w:szCs w:val="18"/>
                <w:lang w:bidi="ar"/>
              </w:rPr>
              <w:t>Reference</w:t>
            </w:r>
          </w:p>
        </w:tc>
        <w:tc>
          <w:tcPr>
            <w:tcW w:w="912" w:type="dxa"/>
            <w:tcBorders>
              <w:top w:val="nil"/>
              <w:left w:val="nil"/>
              <w:bottom w:val="nil"/>
              <w:right w:val="nil"/>
            </w:tcBorders>
          </w:tcPr>
          <w:p w14:paraId="4C8CF061">
            <w:pPr>
              <w:jc w:val="center"/>
              <w:rPr>
                <w:rFonts w:cs="Times New Roman"/>
                <w:kern w:val="0"/>
                <w:sz w:val="18"/>
                <w:szCs w:val="18"/>
              </w:rPr>
            </w:pPr>
          </w:p>
        </w:tc>
      </w:tr>
      <w:tr w14:paraId="1B2AE90A">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1467" w:type="dxa"/>
            <w:tcBorders>
              <w:top w:val="nil"/>
              <w:left w:val="nil"/>
              <w:bottom w:val="nil"/>
              <w:right w:val="nil"/>
            </w:tcBorders>
          </w:tcPr>
          <w:p w14:paraId="3D988BE9">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2 (</w:t>
            </w:r>
            <w:r>
              <w:rPr>
                <w:rFonts w:cs="Times New Roman"/>
                <w:kern w:val="0"/>
                <w:sz w:val="18"/>
                <w:szCs w:val="18"/>
                <w:lang w:bidi="ar"/>
              </w:rPr>
              <w:t>8.34-8.90</w:t>
            </w:r>
            <w:r>
              <w:rPr>
                <w:rFonts w:cs="Times New Roman"/>
                <w:sz w:val="18"/>
                <w:szCs w:val="18"/>
                <w:lang w:bidi="ar"/>
              </w:rPr>
              <w:t>)</w:t>
            </w:r>
          </w:p>
        </w:tc>
        <w:tc>
          <w:tcPr>
            <w:tcW w:w="1784" w:type="dxa"/>
            <w:tcBorders>
              <w:top w:val="nil"/>
              <w:left w:val="nil"/>
              <w:bottom w:val="nil"/>
              <w:right w:val="nil"/>
            </w:tcBorders>
            <w:vAlign w:val="center"/>
          </w:tcPr>
          <w:p w14:paraId="203C4369">
            <w:pPr>
              <w:jc w:val="center"/>
              <w:rPr>
                <w:rFonts w:cs="Times New Roman"/>
                <w:kern w:val="0"/>
                <w:sz w:val="18"/>
                <w:szCs w:val="18"/>
              </w:rPr>
            </w:pPr>
            <w:r>
              <w:rPr>
                <w:rFonts w:cs="Times New Roman"/>
                <w:kern w:val="0"/>
                <w:sz w:val="18"/>
                <w:szCs w:val="18"/>
                <w:lang w:bidi="ar"/>
              </w:rPr>
              <w:t>1.64 (1.29~2.09)</w:t>
            </w:r>
          </w:p>
        </w:tc>
        <w:tc>
          <w:tcPr>
            <w:tcW w:w="880" w:type="dxa"/>
            <w:tcBorders>
              <w:top w:val="nil"/>
              <w:left w:val="nil"/>
              <w:bottom w:val="nil"/>
              <w:right w:val="nil"/>
            </w:tcBorders>
          </w:tcPr>
          <w:p w14:paraId="42F2DDD9">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7A35AB57">
            <w:pPr>
              <w:jc w:val="center"/>
              <w:rPr>
                <w:rFonts w:cs="Times New Roman"/>
                <w:sz w:val="18"/>
                <w:szCs w:val="18"/>
              </w:rPr>
            </w:pPr>
            <w:r>
              <w:rPr>
                <w:rFonts w:cs="Times New Roman"/>
                <w:sz w:val="18"/>
                <w:szCs w:val="18"/>
                <w:lang w:bidi="ar"/>
              </w:rPr>
              <w:t>1.21 (0.95~1.54)</w:t>
            </w:r>
          </w:p>
        </w:tc>
        <w:tc>
          <w:tcPr>
            <w:tcW w:w="861" w:type="dxa"/>
            <w:tcBorders>
              <w:top w:val="nil"/>
              <w:left w:val="nil"/>
              <w:bottom w:val="nil"/>
              <w:right w:val="nil"/>
            </w:tcBorders>
            <w:vAlign w:val="center"/>
          </w:tcPr>
          <w:p w14:paraId="77FB1CD1">
            <w:pPr>
              <w:jc w:val="center"/>
              <w:rPr>
                <w:rFonts w:cs="Times New Roman"/>
                <w:sz w:val="18"/>
                <w:szCs w:val="18"/>
              </w:rPr>
            </w:pPr>
            <w:r>
              <w:rPr>
                <w:rFonts w:cs="Times New Roman"/>
                <w:sz w:val="18"/>
                <w:szCs w:val="18"/>
                <w:lang w:bidi="ar"/>
              </w:rPr>
              <w:t>0.122</w:t>
            </w:r>
          </w:p>
        </w:tc>
        <w:tc>
          <w:tcPr>
            <w:tcW w:w="1899" w:type="dxa"/>
            <w:tcBorders>
              <w:top w:val="nil"/>
              <w:left w:val="nil"/>
              <w:bottom w:val="nil"/>
              <w:right w:val="nil"/>
            </w:tcBorders>
            <w:vAlign w:val="center"/>
          </w:tcPr>
          <w:p w14:paraId="778D73A3">
            <w:pPr>
              <w:jc w:val="center"/>
              <w:rPr>
                <w:rFonts w:cs="Times New Roman"/>
                <w:kern w:val="0"/>
                <w:sz w:val="18"/>
                <w:szCs w:val="18"/>
              </w:rPr>
            </w:pPr>
            <w:r>
              <w:rPr>
                <w:rFonts w:cs="Times New Roman"/>
                <w:kern w:val="0"/>
                <w:sz w:val="18"/>
                <w:szCs w:val="18"/>
                <w:lang w:bidi="ar"/>
              </w:rPr>
              <w:t>1.14 (0.87~1.49)</w:t>
            </w:r>
          </w:p>
        </w:tc>
        <w:tc>
          <w:tcPr>
            <w:tcW w:w="912" w:type="dxa"/>
            <w:tcBorders>
              <w:top w:val="nil"/>
              <w:left w:val="nil"/>
              <w:bottom w:val="nil"/>
              <w:right w:val="nil"/>
            </w:tcBorders>
            <w:vAlign w:val="center"/>
          </w:tcPr>
          <w:p w14:paraId="089A1BD8">
            <w:pPr>
              <w:jc w:val="center"/>
              <w:rPr>
                <w:rFonts w:cs="Times New Roman"/>
                <w:kern w:val="0"/>
                <w:sz w:val="18"/>
                <w:szCs w:val="18"/>
              </w:rPr>
            </w:pPr>
            <w:r>
              <w:rPr>
                <w:rFonts w:cs="Times New Roman"/>
                <w:kern w:val="0"/>
                <w:sz w:val="18"/>
                <w:szCs w:val="18"/>
                <w:lang w:bidi="ar"/>
              </w:rPr>
              <w:t>0.345</w:t>
            </w:r>
          </w:p>
        </w:tc>
      </w:tr>
      <w:tr w14:paraId="1A5B4CF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1467" w:type="dxa"/>
            <w:tcBorders>
              <w:top w:val="nil"/>
              <w:left w:val="nil"/>
              <w:bottom w:val="nil"/>
              <w:right w:val="nil"/>
            </w:tcBorders>
          </w:tcPr>
          <w:p w14:paraId="583AE79E">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3 (</w:t>
            </w:r>
            <w:r>
              <w:rPr>
                <w:rFonts w:cs="Times New Roman"/>
                <w:kern w:val="0"/>
                <w:sz w:val="18"/>
                <w:szCs w:val="18"/>
                <w:lang w:bidi="ar"/>
              </w:rPr>
              <w:t>8.90-12.84</w:t>
            </w:r>
            <w:r>
              <w:rPr>
                <w:rFonts w:cs="Times New Roman"/>
                <w:sz w:val="18"/>
                <w:szCs w:val="18"/>
                <w:lang w:bidi="ar"/>
              </w:rPr>
              <w:t>)</w:t>
            </w:r>
          </w:p>
        </w:tc>
        <w:tc>
          <w:tcPr>
            <w:tcW w:w="1784" w:type="dxa"/>
            <w:tcBorders>
              <w:top w:val="nil"/>
              <w:left w:val="nil"/>
              <w:bottom w:val="nil"/>
              <w:right w:val="nil"/>
            </w:tcBorders>
            <w:vAlign w:val="center"/>
          </w:tcPr>
          <w:p w14:paraId="66D48112">
            <w:pPr>
              <w:jc w:val="center"/>
              <w:rPr>
                <w:rFonts w:cs="Times New Roman"/>
                <w:kern w:val="0"/>
                <w:sz w:val="18"/>
                <w:szCs w:val="18"/>
              </w:rPr>
            </w:pPr>
            <w:r>
              <w:rPr>
                <w:rFonts w:cs="Times New Roman"/>
                <w:kern w:val="0"/>
                <w:sz w:val="18"/>
                <w:szCs w:val="18"/>
                <w:lang w:bidi="ar"/>
              </w:rPr>
              <w:t>1.76 (1.39~2.23)</w:t>
            </w:r>
          </w:p>
        </w:tc>
        <w:tc>
          <w:tcPr>
            <w:tcW w:w="880" w:type="dxa"/>
            <w:tcBorders>
              <w:top w:val="nil"/>
              <w:left w:val="nil"/>
              <w:bottom w:val="nil"/>
              <w:right w:val="nil"/>
            </w:tcBorders>
          </w:tcPr>
          <w:p w14:paraId="0168863B">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21F22E1F">
            <w:pPr>
              <w:jc w:val="center"/>
              <w:rPr>
                <w:rFonts w:cs="Times New Roman"/>
                <w:sz w:val="18"/>
                <w:szCs w:val="18"/>
              </w:rPr>
            </w:pPr>
            <w:r>
              <w:rPr>
                <w:rFonts w:cs="Times New Roman"/>
                <w:sz w:val="18"/>
                <w:szCs w:val="18"/>
                <w:lang w:bidi="ar"/>
              </w:rPr>
              <w:t>1.42 (1.12~1.8)</w:t>
            </w:r>
          </w:p>
        </w:tc>
        <w:tc>
          <w:tcPr>
            <w:tcW w:w="861" w:type="dxa"/>
            <w:tcBorders>
              <w:top w:val="nil"/>
              <w:left w:val="nil"/>
              <w:bottom w:val="nil"/>
              <w:right w:val="nil"/>
            </w:tcBorders>
            <w:vAlign w:val="center"/>
          </w:tcPr>
          <w:p w14:paraId="62E026F0">
            <w:pPr>
              <w:jc w:val="center"/>
              <w:rPr>
                <w:rFonts w:cs="Times New Roman"/>
                <w:sz w:val="18"/>
                <w:szCs w:val="18"/>
              </w:rPr>
            </w:pPr>
            <w:r>
              <w:rPr>
                <w:rFonts w:cs="Times New Roman"/>
                <w:sz w:val="18"/>
                <w:szCs w:val="18"/>
                <w:lang w:bidi="ar"/>
              </w:rPr>
              <w:t>0.004</w:t>
            </w:r>
          </w:p>
        </w:tc>
        <w:tc>
          <w:tcPr>
            <w:tcW w:w="1899" w:type="dxa"/>
            <w:tcBorders>
              <w:top w:val="nil"/>
              <w:left w:val="nil"/>
              <w:bottom w:val="nil"/>
              <w:right w:val="nil"/>
            </w:tcBorders>
            <w:vAlign w:val="center"/>
          </w:tcPr>
          <w:p w14:paraId="4C42BC10">
            <w:pPr>
              <w:jc w:val="center"/>
              <w:rPr>
                <w:rFonts w:cs="Times New Roman"/>
                <w:kern w:val="0"/>
                <w:sz w:val="18"/>
                <w:szCs w:val="18"/>
              </w:rPr>
            </w:pPr>
            <w:r>
              <w:rPr>
                <w:rFonts w:cs="Times New Roman"/>
                <w:kern w:val="0"/>
                <w:sz w:val="18"/>
                <w:szCs w:val="18"/>
                <w:lang w:bidi="ar"/>
              </w:rPr>
              <w:t>1.19 (0.91~1.57)</w:t>
            </w:r>
          </w:p>
        </w:tc>
        <w:tc>
          <w:tcPr>
            <w:tcW w:w="912" w:type="dxa"/>
            <w:tcBorders>
              <w:top w:val="nil"/>
              <w:left w:val="nil"/>
              <w:bottom w:val="nil"/>
              <w:right w:val="nil"/>
            </w:tcBorders>
            <w:vAlign w:val="center"/>
          </w:tcPr>
          <w:p w14:paraId="37357F24">
            <w:pPr>
              <w:jc w:val="center"/>
              <w:rPr>
                <w:rFonts w:cs="Times New Roman"/>
                <w:kern w:val="0"/>
                <w:sz w:val="18"/>
                <w:szCs w:val="18"/>
              </w:rPr>
            </w:pPr>
            <w:r>
              <w:rPr>
                <w:rFonts w:cs="Times New Roman"/>
                <w:kern w:val="0"/>
                <w:sz w:val="18"/>
                <w:szCs w:val="18"/>
                <w:lang w:bidi="ar"/>
              </w:rPr>
              <w:t>0.2</w:t>
            </w:r>
          </w:p>
        </w:tc>
      </w:tr>
      <w:tr w14:paraId="763949D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single" w:color="auto" w:sz="8" w:space="0"/>
              <w:right w:val="nil"/>
            </w:tcBorders>
          </w:tcPr>
          <w:p w14:paraId="3BA36A41">
            <w:pPr>
              <w:rPr>
                <w:rFonts w:cs="Times New Roman"/>
                <w:i/>
                <w:iCs/>
                <w:kern w:val="0"/>
                <w:sz w:val="18"/>
                <w:szCs w:val="18"/>
              </w:rPr>
            </w:pPr>
            <w:r>
              <w:rPr>
                <w:rFonts w:cs="Times New Roman"/>
                <w:i/>
                <w:iCs/>
                <w:sz w:val="18"/>
                <w:szCs w:val="18"/>
                <w:lang w:bidi="ar"/>
              </w:rPr>
              <w:t>P</w:t>
            </w:r>
            <w:r>
              <w:rPr>
                <w:rFonts w:cs="Times New Roman"/>
                <w:sz w:val="18"/>
                <w:szCs w:val="18"/>
                <w:lang w:bidi="ar"/>
              </w:rPr>
              <w:t xml:space="preserve"> for trend</w:t>
            </w:r>
          </w:p>
        </w:tc>
        <w:tc>
          <w:tcPr>
            <w:tcW w:w="1784" w:type="dxa"/>
            <w:tcBorders>
              <w:top w:val="nil"/>
              <w:left w:val="nil"/>
              <w:bottom w:val="single" w:color="auto" w:sz="8" w:space="0"/>
              <w:right w:val="nil"/>
            </w:tcBorders>
            <w:vAlign w:val="center"/>
          </w:tcPr>
          <w:p w14:paraId="07301C01">
            <w:pPr>
              <w:jc w:val="center"/>
              <w:rPr>
                <w:rFonts w:cs="Times New Roman"/>
                <w:kern w:val="0"/>
                <w:sz w:val="18"/>
                <w:szCs w:val="18"/>
              </w:rPr>
            </w:pPr>
            <w:r>
              <w:rPr>
                <w:rFonts w:cs="Times New Roman"/>
                <w:kern w:val="0"/>
                <w:sz w:val="18"/>
                <w:szCs w:val="18"/>
                <w:lang w:bidi="ar"/>
              </w:rPr>
              <w:t>1.29 (1.15~1.44)</w:t>
            </w:r>
          </w:p>
        </w:tc>
        <w:tc>
          <w:tcPr>
            <w:tcW w:w="880" w:type="dxa"/>
            <w:tcBorders>
              <w:top w:val="nil"/>
              <w:left w:val="nil"/>
              <w:bottom w:val="single" w:color="auto" w:sz="8" w:space="0"/>
              <w:right w:val="nil"/>
            </w:tcBorders>
          </w:tcPr>
          <w:p w14:paraId="5BAF046A">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single" w:color="auto" w:sz="8" w:space="0"/>
              <w:right w:val="nil"/>
            </w:tcBorders>
            <w:vAlign w:val="center"/>
          </w:tcPr>
          <w:p w14:paraId="64493D3C">
            <w:pPr>
              <w:jc w:val="center"/>
              <w:rPr>
                <w:rFonts w:cs="Times New Roman"/>
                <w:sz w:val="18"/>
                <w:szCs w:val="18"/>
              </w:rPr>
            </w:pPr>
            <w:r>
              <w:rPr>
                <w:rFonts w:cs="Times New Roman"/>
                <w:sz w:val="18"/>
                <w:szCs w:val="18"/>
                <w:lang w:bidi="ar"/>
              </w:rPr>
              <w:t>1.19 (1.06~1.33)</w:t>
            </w:r>
          </w:p>
        </w:tc>
        <w:tc>
          <w:tcPr>
            <w:tcW w:w="861" w:type="dxa"/>
            <w:tcBorders>
              <w:top w:val="nil"/>
              <w:left w:val="nil"/>
              <w:bottom w:val="single" w:color="auto" w:sz="8" w:space="0"/>
              <w:right w:val="nil"/>
            </w:tcBorders>
            <w:vAlign w:val="center"/>
          </w:tcPr>
          <w:p w14:paraId="68BF01C2">
            <w:pPr>
              <w:jc w:val="center"/>
              <w:rPr>
                <w:rFonts w:cs="Times New Roman"/>
                <w:sz w:val="18"/>
                <w:szCs w:val="18"/>
              </w:rPr>
            </w:pPr>
            <w:r>
              <w:rPr>
                <w:rFonts w:cs="Times New Roman"/>
                <w:sz w:val="18"/>
                <w:szCs w:val="18"/>
                <w:lang w:bidi="ar"/>
              </w:rPr>
              <w:t>0.004</w:t>
            </w:r>
          </w:p>
        </w:tc>
        <w:tc>
          <w:tcPr>
            <w:tcW w:w="1899" w:type="dxa"/>
            <w:tcBorders>
              <w:top w:val="nil"/>
              <w:left w:val="nil"/>
              <w:bottom w:val="single" w:color="auto" w:sz="8" w:space="0"/>
              <w:right w:val="nil"/>
            </w:tcBorders>
            <w:vAlign w:val="center"/>
          </w:tcPr>
          <w:p w14:paraId="02B35CF3">
            <w:pPr>
              <w:jc w:val="center"/>
              <w:rPr>
                <w:rFonts w:cs="Times New Roman"/>
                <w:kern w:val="0"/>
                <w:sz w:val="18"/>
                <w:szCs w:val="18"/>
              </w:rPr>
            </w:pPr>
            <w:r>
              <w:rPr>
                <w:rFonts w:cs="Times New Roman"/>
                <w:kern w:val="0"/>
                <w:sz w:val="18"/>
                <w:szCs w:val="18"/>
                <w:lang w:bidi="ar"/>
              </w:rPr>
              <w:t>1.09 (0.95~1.24)</w:t>
            </w:r>
          </w:p>
        </w:tc>
        <w:tc>
          <w:tcPr>
            <w:tcW w:w="912" w:type="dxa"/>
            <w:tcBorders>
              <w:top w:val="nil"/>
              <w:left w:val="nil"/>
              <w:bottom w:val="single" w:color="auto" w:sz="8" w:space="0"/>
              <w:right w:val="nil"/>
            </w:tcBorders>
            <w:vAlign w:val="center"/>
          </w:tcPr>
          <w:p w14:paraId="36019837">
            <w:pPr>
              <w:jc w:val="center"/>
              <w:rPr>
                <w:rFonts w:cs="Times New Roman"/>
                <w:kern w:val="0"/>
                <w:sz w:val="18"/>
                <w:szCs w:val="18"/>
              </w:rPr>
            </w:pPr>
            <w:r>
              <w:rPr>
                <w:rFonts w:cs="Times New Roman"/>
                <w:kern w:val="0"/>
                <w:sz w:val="18"/>
                <w:szCs w:val="18"/>
                <w:lang w:bidi="ar"/>
              </w:rPr>
              <w:t>0.217</w:t>
            </w:r>
          </w:p>
        </w:tc>
      </w:tr>
    </w:tbl>
    <w:p w14:paraId="0ED21E50">
      <w:r>
        <w:rPr>
          <w:rFonts w:cs="Times New Roman"/>
          <w:lang w:bidi="ar"/>
        </w:rPr>
        <w:t xml:space="preserve">CI, confidence interval; HR, hazard ratio; T, tertiles; CVD, cardiovascular disease; TyG, </w:t>
      </w:r>
      <w:r>
        <w:t>triglyceride glucose</w:t>
      </w:r>
      <w:r>
        <w:rPr>
          <w:rFonts w:cs="Times New Roman"/>
          <w:lang w:bidi="ar"/>
        </w:rPr>
        <w:t>; BMI, body mass index; PIR, poverty income ratio; eGFR, estimated glomerular filtration rate; CVD, cardiovascular disease; CKM, cardiovascular-kidney-metabolic.</w:t>
      </w:r>
    </w:p>
    <w:p w14:paraId="2DE1A3E0">
      <w:r>
        <w:rPr>
          <w:rFonts w:cs="Times New Roman"/>
          <w:lang w:bidi="ar"/>
        </w:rPr>
        <w:t>Model 1: no covariates were adjusted</w:t>
      </w:r>
    </w:p>
    <w:p w14:paraId="4458A6C9">
      <w:r>
        <w:rPr>
          <w:rFonts w:cs="Times New Roman"/>
          <w:lang w:bidi="ar"/>
        </w:rPr>
        <w:t>Model 2: Adjusted for age, sex and race</w:t>
      </w:r>
    </w:p>
    <w:p w14:paraId="180341C4">
      <w:r>
        <w:rPr>
          <w:rFonts w:cs="Times New Roman"/>
          <w:lang w:bidi="ar"/>
        </w:rPr>
        <w:t>Model 3: Adjusted for age, sex, race, BMI, marital status, PIR, education, smoke, drink, eGFR, hypertension, stroke</w:t>
      </w:r>
    </w:p>
    <w:p w14:paraId="4FFEC063"/>
    <w:p w14:paraId="7B277B0A">
      <w:pPr>
        <w:pStyle w:val="4"/>
        <w:rPr>
          <w:rFonts w:ascii="Times New Roman" w:hAnsi="Times New Roman" w:cs="Times New Roman"/>
          <w:b/>
          <w:bCs/>
          <w:color w:val="auto"/>
          <w:sz w:val="24"/>
          <w:szCs w:val="24"/>
          <w:lang w:bidi="ar"/>
        </w:rPr>
      </w:pPr>
    </w:p>
    <w:p w14:paraId="34A8301C">
      <w:pPr>
        <w:pStyle w:val="4"/>
        <w:rPr>
          <w:rFonts w:ascii="Times New Roman" w:hAnsi="Times New Roman" w:cs="Times New Roman"/>
          <w:b/>
          <w:bCs/>
          <w:color w:val="auto"/>
          <w:sz w:val="24"/>
          <w:szCs w:val="24"/>
          <w:lang w:bidi="ar"/>
        </w:rPr>
      </w:pPr>
    </w:p>
    <w:p w14:paraId="334A7737">
      <w:pPr>
        <w:pStyle w:val="4"/>
        <w:rPr>
          <w:rFonts w:ascii="Times New Roman" w:hAnsi="Times New Roman" w:cs="Times New Roman"/>
          <w:b/>
          <w:bCs/>
          <w:color w:val="auto"/>
          <w:sz w:val="24"/>
          <w:szCs w:val="24"/>
          <w:lang w:bidi="ar"/>
        </w:rPr>
      </w:pPr>
    </w:p>
    <w:p w14:paraId="4ACC590A">
      <w:pPr>
        <w:pStyle w:val="4"/>
        <w:rPr>
          <w:rFonts w:ascii="Times New Roman" w:hAnsi="Times New Roman" w:cs="Times New Roman"/>
          <w:b/>
          <w:bCs/>
          <w:color w:val="auto"/>
          <w:sz w:val="24"/>
          <w:szCs w:val="24"/>
          <w:lang w:bidi="ar"/>
        </w:rPr>
      </w:pPr>
    </w:p>
    <w:p w14:paraId="1C80A93B">
      <w:pPr>
        <w:pStyle w:val="4"/>
        <w:rPr>
          <w:rFonts w:ascii="Times New Roman" w:hAnsi="Times New Roman" w:cs="Times New Roman"/>
          <w:b/>
          <w:bCs/>
          <w:color w:val="auto"/>
          <w:sz w:val="24"/>
          <w:szCs w:val="24"/>
          <w:lang w:bidi="ar"/>
        </w:rPr>
      </w:pPr>
    </w:p>
    <w:p w14:paraId="0EE8F2AF">
      <w:pPr>
        <w:pStyle w:val="4"/>
        <w:rPr>
          <w:rFonts w:ascii="Times New Roman" w:hAnsi="Times New Roman" w:cs="Times New Roman"/>
          <w:b/>
          <w:bCs/>
          <w:color w:val="auto"/>
          <w:sz w:val="24"/>
          <w:szCs w:val="24"/>
          <w:lang w:bidi="ar"/>
        </w:rPr>
      </w:pPr>
    </w:p>
    <w:p w14:paraId="19B2EA89">
      <w:pPr>
        <w:pStyle w:val="4"/>
        <w:rPr>
          <w:rFonts w:ascii="Times New Roman" w:hAnsi="Times New Roman" w:cs="Times New Roman"/>
          <w:b/>
          <w:bCs/>
          <w:color w:val="auto"/>
          <w:sz w:val="24"/>
          <w:szCs w:val="24"/>
          <w:lang w:bidi="ar"/>
        </w:rPr>
      </w:pPr>
    </w:p>
    <w:p w14:paraId="7FDC3DC4">
      <w:pPr>
        <w:pStyle w:val="4"/>
        <w:keepNext w:val="0"/>
        <w:keepLines w:val="0"/>
        <w:rPr>
          <w:rFonts w:ascii="Times New Roman" w:hAnsi="Times New Roman" w:cs="Times New Roman"/>
          <w:b/>
          <w:bCs/>
          <w:color w:val="auto"/>
          <w:sz w:val="24"/>
          <w:szCs w:val="24"/>
          <w:lang w:bidi="ar"/>
        </w:rPr>
      </w:pPr>
    </w:p>
    <w:p w14:paraId="3F3A8AA7">
      <w:pPr>
        <w:pStyle w:val="4"/>
        <w:keepNext w:val="0"/>
        <w:keepLines w:val="0"/>
        <w:rPr>
          <w:rFonts w:ascii="Times New Roman" w:hAnsi="Times New Roman" w:cs="Times New Roman"/>
          <w:b/>
          <w:bCs/>
          <w:color w:val="auto"/>
          <w:sz w:val="24"/>
          <w:szCs w:val="24"/>
          <w:lang w:bidi="ar"/>
        </w:rPr>
      </w:pPr>
    </w:p>
    <w:p w14:paraId="43E60BA6">
      <w:pPr>
        <w:pStyle w:val="4"/>
        <w:keepNext w:val="0"/>
        <w:keepLines w:val="0"/>
        <w:rPr>
          <w:rFonts w:ascii="Times New Roman" w:hAnsi="Times New Roman" w:cs="Times New Roman"/>
          <w:sz w:val="24"/>
          <w:szCs w:val="24"/>
        </w:rPr>
      </w:pPr>
      <w:bookmarkStart w:id="19" w:name="_Toc218184818"/>
      <w:r>
        <w:rPr>
          <w:rFonts w:ascii="Times New Roman" w:hAnsi="Times New Roman" w:cs="Times New Roman"/>
          <w:b/>
          <w:bCs/>
          <w:color w:val="auto"/>
          <w:sz w:val="24"/>
          <w:szCs w:val="24"/>
          <w:lang w:bidi="ar"/>
        </w:rPr>
        <w:t>Table S7</w:t>
      </w:r>
      <w:r>
        <w:rPr>
          <w:rFonts w:ascii="Times New Roman" w:hAnsi="Times New Roman" w:cs="Times New Roman"/>
          <w:color w:val="auto"/>
          <w:sz w:val="24"/>
          <w:szCs w:val="24"/>
          <w:lang w:bidi="ar"/>
        </w:rPr>
        <w:t xml:space="preserve"> Cox regression model for FI (per-0.1 unit) and mortality in adults with CKM syndrome</w:t>
      </w:r>
      <w:bookmarkEnd w:id="19"/>
      <w:r>
        <w:rPr>
          <w:rFonts w:ascii="Times New Roman" w:hAnsi="Times New Roman" w:cs="Times New Roman"/>
          <w:sz w:val="24"/>
          <w:szCs w:val="24"/>
          <w:lang w:bidi="ar"/>
        </w:rPr>
        <w:t xml:space="preserve"> </w:t>
      </w:r>
    </w:p>
    <w:tbl>
      <w:tblPr>
        <w:tblStyle w:val="23"/>
        <w:tblW w:w="9761" w:type="dxa"/>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1467"/>
        <w:gridCol w:w="1784"/>
        <w:gridCol w:w="880"/>
        <w:gridCol w:w="1958"/>
        <w:gridCol w:w="861"/>
        <w:gridCol w:w="1899"/>
        <w:gridCol w:w="912"/>
      </w:tblGrid>
      <w:tr w14:paraId="3128899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single" w:color="auto" w:sz="8" w:space="0"/>
              <w:left w:val="nil"/>
              <w:bottom w:val="single" w:color="auto" w:sz="4" w:space="0"/>
              <w:right w:val="nil"/>
            </w:tcBorders>
          </w:tcPr>
          <w:p w14:paraId="6B59B71E">
            <w:pPr>
              <w:rPr>
                <w:b/>
                <w:bCs/>
                <w:sz w:val="18"/>
                <w:szCs w:val="18"/>
              </w:rPr>
            </w:pPr>
            <w:r>
              <w:rPr>
                <w:rFonts w:cs="Times New Roman"/>
                <w:b/>
                <w:bCs/>
                <w:sz w:val="18"/>
                <w:szCs w:val="18"/>
                <w:lang w:bidi="ar"/>
              </w:rPr>
              <w:t>Exposure</w:t>
            </w:r>
          </w:p>
        </w:tc>
        <w:tc>
          <w:tcPr>
            <w:tcW w:w="1784" w:type="dxa"/>
            <w:tcBorders>
              <w:top w:val="single" w:color="auto" w:sz="8" w:space="0"/>
              <w:left w:val="nil"/>
              <w:bottom w:val="single" w:color="auto" w:sz="4" w:space="0"/>
              <w:right w:val="nil"/>
            </w:tcBorders>
          </w:tcPr>
          <w:p w14:paraId="6BD2F59A">
            <w:pPr>
              <w:jc w:val="center"/>
              <w:rPr>
                <w:b/>
                <w:bCs/>
                <w:sz w:val="18"/>
                <w:szCs w:val="18"/>
              </w:rPr>
            </w:pPr>
            <w:r>
              <w:rPr>
                <w:rFonts w:cs="Times New Roman"/>
                <w:b/>
                <w:bCs/>
                <w:sz w:val="18"/>
                <w:szCs w:val="18"/>
                <w:lang w:bidi="ar"/>
              </w:rPr>
              <w:t>Model 1</w:t>
            </w:r>
          </w:p>
          <w:p w14:paraId="172510F4">
            <w:pPr>
              <w:jc w:val="center"/>
              <w:rPr>
                <w:b/>
                <w:bCs/>
                <w:sz w:val="18"/>
                <w:szCs w:val="18"/>
              </w:rPr>
            </w:pPr>
            <w:r>
              <w:rPr>
                <w:rFonts w:cs="Times New Roman"/>
                <w:b/>
                <w:bCs/>
                <w:kern w:val="0"/>
                <w:sz w:val="18"/>
                <w:szCs w:val="18"/>
                <w:lang w:bidi="ar"/>
              </w:rPr>
              <w:t>H</w:t>
            </w:r>
            <w:r>
              <w:rPr>
                <w:rFonts w:cs="Times New Roman"/>
                <w:b/>
                <w:bCs/>
                <w:sz w:val="18"/>
                <w:szCs w:val="18"/>
                <w:lang w:bidi="ar"/>
              </w:rPr>
              <w:t>R (95% CI)</w:t>
            </w:r>
          </w:p>
        </w:tc>
        <w:tc>
          <w:tcPr>
            <w:tcW w:w="880" w:type="dxa"/>
            <w:tcBorders>
              <w:top w:val="single" w:color="auto" w:sz="8" w:space="0"/>
              <w:left w:val="nil"/>
              <w:bottom w:val="single" w:color="auto" w:sz="4" w:space="0"/>
              <w:right w:val="nil"/>
            </w:tcBorders>
          </w:tcPr>
          <w:p w14:paraId="04082BCC">
            <w:pPr>
              <w:jc w:val="center"/>
              <w:rPr>
                <w:b/>
                <w:bCs/>
                <w:i/>
                <w:iCs/>
                <w:sz w:val="18"/>
                <w:szCs w:val="18"/>
              </w:rPr>
            </w:pPr>
            <w:r>
              <w:rPr>
                <w:rFonts w:cs="Times New Roman"/>
                <w:b/>
                <w:bCs/>
                <w:i/>
                <w:iCs/>
                <w:sz w:val="18"/>
                <w:szCs w:val="18"/>
                <w:lang w:bidi="ar"/>
              </w:rPr>
              <w:t xml:space="preserve">P </w:t>
            </w:r>
            <w:r>
              <w:rPr>
                <w:rFonts w:cs="Times New Roman"/>
                <w:b/>
                <w:bCs/>
                <w:sz w:val="18"/>
                <w:szCs w:val="18"/>
                <w:lang w:bidi="ar"/>
              </w:rPr>
              <w:t>value</w:t>
            </w:r>
          </w:p>
        </w:tc>
        <w:tc>
          <w:tcPr>
            <w:tcW w:w="1958" w:type="dxa"/>
            <w:tcBorders>
              <w:top w:val="single" w:color="auto" w:sz="8" w:space="0"/>
              <w:left w:val="nil"/>
              <w:bottom w:val="single" w:color="auto" w:sz="4" w:space="0"/>
              <w:right w:val="nil"/>
            </w:tcBorders>
          </w:tcPr>
          <w:p w14:paraId="4884EBB4">
            <w:pPr>
              <w:jc w:val="center"/>
              <w:rPr>
                <w:b/>
                <w:bCs/>
                <w:sz w:val="18"/>
                <w:szCs w:val="18"/>
              </w:rPr>
            </w:pPr>
            <w:r>
              <w:rPr>
                <w:rFonts w:cs="Times New Roman"/>
                <w:b/>
                <w:bCs/>
                <w:sz w:val="18"/>
                <w:szCs w:val="18"/>
                <w:lang w:bidi="ar"/>
              </w:rPr>
              <w:t>Model 2</w:t>
            </w:r>
          </w:p>
          <w:p w14:paraId="2E5333E1">
            <w:pPr>
              <w:jc w:val="center"/>
              <w:rPr>
                <w:b/>
                <w:bCs/>
                <w:sz w:val="18"/>
                <w:szCs w:val="18"/>
              </w:rPr>
            </w:pPr>
            <w:r>
              <w:rPr>
                <w:rFonts w:cs="Times New Roman"/>
                <w:b/>
                <w:bCs/>
                <w:kern w:val="0"/>
                <w:sz w:val="18"/>
                <w:szCs w:val="18"/>
                <w:lang w:bidi="ar"/>
              </w:rPr>
              <w:t>H</w:t>
            </w:r>
            <w:r>
              <w:rPr>
                <w:rFonts w:cs="Times New Roman"/>
                <w:b/>
                <w:bCs/>
                <w:sz w:val="18"/>
                <w:szCs w:val="18"/>
                <w:lang w:bidi="ar"/>
              </w:rPr>
              <w:t>R (95% CI)</w:t>
            </w:r>
          </w:p>
        </w:tc>
        <w:tc>
          <w:tcPr>
            <w:tcW w:w="861" w:type="dxa"/>
            <w:tcBorders>
              <w:top w:val="single" w:color="auto" w:sz="8" w:space="0"/>
              <w:left w:val="nil"/>
              <w:bottom w:val="single" w:color="auto" w:sz="4" w:space="0"/>
              <w:right w:val="nil"/>
            </w:tcBorders>
          </w:tcPr>
          <w:p w14:paraId="48FA1043">
            <w:pPr>
              <w:jc w:val="center"/>
              <w:rPr>
                <w:b/>
                <w:bCs/>
                <w:sz w:val="18"/>
                <w:szCs w:val="18"/>
              </w:rPr>
            </w:pPr>
            <w:r>
              <w:rPr>
                <w:rFonts w:cs="Times New Roman"/>
                <w:b/>
                <w:bCs/>
                <w:i/>
                <w:iCs/>
                <w:sz w:val="18"/>
                <w:szCs w:val="18"/>
                <w:lang w:bidi="ar"/>
              </w:rPr>
              <w:t xml:space="preserve">P </w:t>
            </w:r>
            <w:r>
              <w:rPr>
                <w:rFonts w:cs="Times New Roman"/>
                <w:b/>
                <w:bCs/>
                <w:sz w:val="18"/>
                <w:szCs w:val="18"/>
                <w:lang w:bidi="ar"/>
              </w:rPr>
              <w:t>value</w:t>
            </w:r>
          </w:p>
        </w:tc>
        <w:tc>
          <w:tcPr>
            <w:tcW w:w="1899" w:type="dxa"/>
            <w:tcBorders>
              <w:top w:val="single" w:color="auto" w:sz="8" w:space="0"/>
              <w:left w:val="nil"/>
              <w:bottom w:val="single" w:color="auto" w:sz="4" w:space="0"/>
              <w:right w:val="nil"/>
            </w:tcBorders>
          </w:tcPr>
          <w:p w14:paraId="3C4EA5CB">
            <w:pPr>
              <w:jc w:val="center"/>
              <w:rPr>
                <w:b/>
                <w:bCs/>
                <w:sz w:val="18"/>
                <w:szCs w:val="18"/>
              </w:rPr>
            </w:pPr>
            <w:r>
              <w:rPr>
                <w:rFonts w:cs="Times New Roman"/>
                <w:b/>
                <w:bCs/>
                <w:sz w:val="18"/>
                <w:szCs w:val="18"/>
                <w:lang w:bidi="ar"/>
              </w:rPr>
              <w:t>Model 3</w:t>
            </w:r>
          </w:p>
          <w:p w14:paraId="303B3337">
            <w:pPr>
              <w:jc w:val="center"/>
              <w:rPr>
                <w:b/>
                <w:bCs/>
                <w:sz w:val="18"/>
                <w:szCs w:val="18"/>
              </w:rPr>
            </w:pPr>
            <w:r>
              <w:rPr>
                <w:rFonts w:cs="Times New Roman"/>
                <w:b/>
                <w:bCs/>
                <w:kern w:val="0"/>
                <w:sz w:val="18"/>
                <w:szCs w:val="18"/>
                <w:lang w:bidi="ar"/>
              </w:rPr>
              <w:t>H</w:t>
            </w:r>
            <w:r>
              <w:rPr>
                <w:rFonts w:cs="Times New Roman"/>
                <w:b/>
                <w:bCs/>
                <w:sz w:val="18"/>
                <w:szCs w:val="18"/>
                <w:lang w:bidi="ar"/>
              </w:rPr>
              <w:t>R (95% CI)</w:t>
            </w:r>
          </w:p>
        </w:tc>
        <w:tc>
          <w:tcPr>
            <w:tcW w:w="912" w:type="dxa"/>
            <w:tcBorders>
              <w:top w:val="single" w:color="auto" w:sz="8" w:space="0"/>
              <w:left w:val="nil"/>
              <w:bottom w:val="single" w:color="auto" w:sz="4" w:space="0"/>
              <w:right w:val="nil"/>
            </w:tcBorders>
          </w:tcPr>
          <w:p w14:paraId="6A288FFB">
            <w:pPr>
              <w:jc w:val="center"/>
              <w:rPr>
                <w:b/>
                <w:bCs/>
                <w:sz w:val="18"/>
                <w:szCs w:val="18"/>
              </w:rPr>
            </w:pPr>
            <w:r>
              <w:rPr>
                <w:rFonts w:cs="Times New Roman"/>
                <w:b/>
                <w:bCs/>
                <w:i/>
                <w:iCs/>
                <w:sz w:val="18"/>
                <w:szCs w:val="18"/>
                <w:lang w:bidi="ar"/>
              </w:rPr>
              <w:t xml:space="preserve">P </w:t>
            </w:r>
            <w:r>
              <w:rPr>
                <w:rFonts w:cs="Times New Roman"/>
                <w:b/>
                <w:bCs/>
                <w:sz w:val="18"/>
                <w:szCs w:val="18"/>
                <w:lang w:bidi="ar"/>
              </w:rPr>
              <w:t>value</w:t>
            </w:r>
          </w:p>
        </w:tc>
      </w:tr>
      <w:tr w14:paraId="302B914E">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0" w:type="auto"/>
            <w:tcBorders>
              <w:top w:val="single" w:color="auto" w:sz="4" w:space="0"/>
              <w:left w:val="nil"/>
              <w:bottom w:val="nil"/>
              <w:right w:val="nil"/>
            </w:tcBorders>
          </w:tcPr>
          <w:p w14:paraId="7B326367">
            <w:pPr>
              <w:rPr>
                <w:rFonts w:cs="Times New Roman"/>
                <w:b/>
                <w:bCs/>
                <w:kern w:val="0"/>
                <w:sz w:val="18"/>
                <w:szCs w:val="18"/>
              </w:rPr>
            </w:pPr>
            <w:r>
              <w:rPr>
                <w:rFonts w:cs="Times New Roman"/>
                <w:b/>
                <w:bCs/>
                <w:kern w:val="0"/>
                <w:sz w:val="18"/>
                <w:szCs w:val="18"/>
                <w:lang w:bidi="ar"/>
              </w:rPr>
              <w:t>All-cause mortality</w:t>
            </w:r>
          </w:p>
        </w:tc>
        <w:tc>
          <w:tcPr>
            <w:tcW w:w="1784" w:type="dxa"/>
            <w:tcBorders>
              <w:top w:val="single" w:color="auto" w:sz="4" w:space="0"/>
              <w:left w:val="nil"/>
              <w:bottom w:val="nil"/>
              <w:right w:val="nil"/>
            </w:tcBorders>
          </w:tcPr>
          <w:p w14:paraId="571C5D8E">
            <w:pPr>
              <w:jc w:val="center"/>
              <w:rPr>
                <w:rFonts w:cs="Times New Roman"/>
                <w:kern w:val="0"/>
                <w:sz w:val="18"/>
                <w:szCs w:val="18"/>
              </w:rPr>
            </w:pPr>
          </w:p>
        </w:tc>
        <w:tc>
          <w:tcPr>
            <w:tcW w:w="880" w:type="dxa"/>
            <w:tcBorders>
              <w:top w:val="single" w:color="auto" w:sz="4" w:space="0"/>
              <w:left w:val="nil"/>
              <w:bottom w:val="nil"/>
              <w:right w:val="nil"/>
            </w:tcBorders>
          </w:tcPr>
          <w:p w14:paraId="763DE33B">
            <w:pPr>
              <w:jc w:val="center"/>
              <w:rPr>
                <w:rFonts w:cs="Times New Roman"/>
                <w:kern w:val="0"/>
                <w:sz w:val="18"/>
                <w:szCs w:val="18"/>
              </w:rPr>
            </w:pPr>
          </w:p>
        </w:tc>
        <w:tc>
          <w:tcPr>
            <w:tcW w:w="1958" w:type="dxa"/>
            <w:tcBorders>
              <w:top w:val="single" w:color="auto" w:sz="4" w:space="0"/>
              <w:left w:val="nil"/>
              <w:bottom w:val="nil"/>
              <w:right w:val="nil"/>
            </w:tcBorders>
          </w:tcPr>
          <w:p w14:paraId="3F4335AF">
            <w:pPr>
              <w:jc w:val="center"/>
              <w:rPr>
                <w:rFonts w:cs="Times New Roman"/>
                <w:kern w:val="0"/>
                <w:sz w:val="18"/>
                <w:szCs w:val="18"/>
              </w:rPr>
            </w:pPr>
          </w:p>
        </w:tc>
        <w:tc>
          <w:tcPr>
            <w:tcW w:w="861" w:type="dxa"/>
            <w:tcBorders>
              <w:top w:val="single" w:color="auto" w:sz="4" w:space="0"/>
              <w:left w:val="nil"/>
              <w:bottom w:val="nil"/>
              <w:right w:val="nil"/>
            </w:tcBorders>
          </w:tcPr>
          <w:p w14:paraId="106F601B">
            <w:pPr>
              <w:jc w:val="center"/>
              <w:rPr>
                <w:rFonts w:cs="Times New Roman"/>
                <w:kern w:val="0"/>
                <w:sz w:val="18"/>
                <w:szCs w:val="18"/>
              </w:rPr>
            </w:pPr>
          </w:p>
        </w:tc>
        <w:tc>
          <w:tcPr>
            <w:tcW w:w="1899" w:type="dxa"/>
            <w:tcBorders>
              <w:top w:val="single" w:color="auto" w:sz="4" w:space="0"/>
              <w:left w:val="nil"/>
              <w:bottom w:val="nil"/>
              <w:right w:val="nil"/>
            </w:tcBorders>
          </w:tcPr>
          <w:p w14:paraId="1BC6A402">
            <w:pPr>
              <w:jc w:val="center"/>
              <w:rPr>
                <w:rFonts w:cs="Times New Roman"/>
                <w:kern w:val="0"/>
                <w:sz w:val="18"/>
                <w:szCs w:val="18"/>
              </w:rPr>
            </w:pPr>
          </w:p>
        </w:tc>
        <w:tc>
          <w:tcPr>
            <w:tcW w:w="912" w:type="dxa"/>
            <w:tcBorders>
              <w:top w:val="single" w:color="auto" w:sz="4" w:space="0"/>
              <w:left w:val="nil"/>
              <w:bottom w:val="nil"/>
              <w:right w:val="nil"/>
            </w:tcBorders>
          </w:tcPr>
          <w:p w14:paraId="2E8E9D0C">
            <w:pPr>
              <w:jc w:val="center"/>
              <w:rPr>
                <w:rFonts w:cs="Times New Roman"/>
                <w:kern w:val="0"/>
                <w:sz w:val="18"/>
                <w:szCs w:val="18"/>
              </w:rPr>
            </w:pPr>
          </w:p>
        </w:tc>
      </w:tr>
      <w:tr w14:paraId="208E3C0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0" w:type="auto"/>
            <w:tcBorders>
              <w:top w:val="nil"/>
              <w:left w:val="nil"/>
              <w:bottom w:val="nil"/>
              <w:right w:val="nil"/>
            </w:tcBorders>
          </w:tcPr>
          <w:p w14:paraId="12721CCE">
            <w:pPr>
              <w:rPr>
                <w:sz w:val="18"/>
                <w:szCs w:val="18"/>
              </w:rPr>
            </w:pPr>
            <w:r>
              <w:rPr>
                <w:rFonts w:cs="Times New Roman"/>
                <w:kern w:val="0"/>
                <w:sz w:val="18"/>
                <w:szCs w:val="18"/>
                <w:lang w:bidi="ar"/>
              </w:rPr>
              <w:t>FI</w:t>
            </w:r>
            <w:r>
              <w:rPr>
                <w:rFonts w:cs="Times New Roman"/>
                <w:sz w:val="18"/>
                <w:szCs w:val="18"/>
                <w:lang w:bidi="ar"/>
              </w:rPr>
              <w:t xml:space="preserve"> </w:t>
            </w:r>
          </w:p>
        </w:tc>
        <w:tc>
          <w:tcPr>
            <w:tcW w:w="1784" w:type="dxa"/>
            <w:tcBorders>
              <w:top w:val="nil"/>
              <w:left w:val="nil"/>
              <w:bottom w:val="nil"/>
              <w:right w:val="nil"/>
            </w:tcBorders>
          </w:tcPr>
          <w:p w14:paraId="3EC7B88B">
            <w:pPr>
              <w:jc w:val="center"/>
              <w:rPr>
                <w:sz w:val="18"/>
                <w:szCs w:val="18"/>
              </w:rPr>
            </w:pPr>
            <w:r>
              <w:rPr>
                <w:rFonts w:cs="Times New Roman"/>
                <w:kern w:val="0"/>
                <w:sz w:val="18"/>
                <w:szCs w:val="18"/>
                <w:lang w:bidi="ar"/>
              </w:rPr>
              <w:t>1.93 (1.86~2)</w:t>
            </w:r>
          </w:p>
        </w:tc>
        <w:tc>
          <w:tcPr>
            <w:tcW w:w="880" w:type="dxa"/>
            <w:tcBorders>
              <w:top w:val="nil"/>
              <w:left w:val="nil"/>
              <w:bottom w:val="nil"/>
              <w:right w:val="nil"/>
            </w:tcBorders>
          </w:tcPr>
          <w:p w14:paraId="0EFF7EB2">
            <w:pPr>
              <w:jc w:val="center"/>
              <w:rPr>
                <w:sz w:val="18"/>
                <w:szCs w:val="18"/>
              </w:rPr>
            </w:pPr>
            <w:r>
              <w:rPr>
                <w:rFonts w:cs="Times New Roman"/>
                <w:kern w:val="0"/>
                <w:sz w:val="18"/>
                <w:szCs w:val="18"/>
                <w:lang w:bidi="ar"/>
              </w:rPr>
              <w:t>&lt;0.001</w:t>
            </w:r>
          </w:p>
        </w:tc>
        <w:tc>
          <w:tcPr>
            <w:tcW w:w="1958" w:type="dxa"/>
            <w:tcBorders>
              <w:top w:val="nil"/>
              <w:left w:val="nil"/>
              <w:bottom w:val="nil"/>
              <w:right w:val="nil"/>
            </w:tcBorders>
          </w:tcPr>
          <w:p w14:paraId="7AAC301A">
            <w:pPr>
              <w:jc w:val="center"/>
              <w:rPr>
                <w:sz w:val="18"/>
                <w:szCs w:val="18"/>
              </w:rPr>
            </w:pPr>
            <w:r>
              <w:rPr>
                <w:rFonts w:cs="Times New Roman"/>
                <w:kern w:val="0"/>
                <w:sz w:val="18"/>
                <w:szCs w:val="18"/>
                <w:lang w:bidi="ar"/>
              </w:rPr>
              <w:t>1.61 (1.55~1.68)</w:t>
            </w:r>
          </w:p>
        </w:tc>
        <w:tc>
          <w:tcPr>
            <w:tcW w:w="861" w:type="dxa"/>
            <w:tcBorders>
              <w:top w:val="nil"/>
              <w:left w:val="nil"/>
              <w:bottom w:val="nil"/>
              <w:right w:val="nil"/>
            </w:tcBorders>
          </w:tcPr>
          <w:p w14:paraId="3ABE538D">
            <w:pPr>
              <w:jc w:val="center"/>
              <w:rPr>
                <w:sz w:val="18"/>
                <w:szCs w:val="18"/>
              </w:rPr>
            </w:pPr>
            <w:r>
              <w:rPr>
                <w:rFonts w:cs="Times New Roman"/>
                <w:kern w:val="0"/>
                <w:sz w:val="18"/>
                <w:szCs w:val="18"/>
                <w:lang w:bidi="ar"/>
              </w:rPr>
              <w:t>&lt;0.001</w:t>
            </w:r>
          </w:p>
        </w:tc>
        <w:tc>
          <w:tcPr>
            <w:tcW w:w="1899" w:type="dxa"/>
            <w:tcBorders>
              <w:top w:val="nil"/>
              <w:left w:val="nil"/>
              <w:bottom w:val="nil"/>
              <w:right w:val="nil"/>
            </w:tcBorders>
          </w:tcPr>
          <w:p w14:paraId="329816AC">
            <w:pPr>
              <w:jc w:val="center"/>
              <w:rPr>
                <w:sz w:val="18"/>
                <w:szCs w:val="18"/>
              </w:rPr>
            </w:pPr>
            <w:r>
              <w:rPr>
                <w:rFonts w:cs="Times New Roman"/>
                <w:kern w:val="0"/>
                <w:sz w:val="18"/>
                <w:szCs w:val="18"/>
                <w:lang w:bidi="ar"/>
              </w:rPr>
              <w:t>1.52 (1.44~1.61)</w:t>
            </w:r>
          </w:p>
        </w:tc>
        <w:tc>
          <w:tcPr>
            <w:tcW w:w="912" w:type="dxa"/>
            <w:tcBorders>
              <w:top w:val="nil"/>
              <w:left w:val="nil"/>
              <w:bottom w:val="nil"/>
              <w:right w:val="nil"/>
            </w:tcBorders>
          </w:tcPr>
          <w:p w14:paraId="0FAAA525">
            <w:pPr>
              <w:jc w:val="center"/>
              <w:rPr>
                <w:sz w:val="18"/>
                <w:szCs w:val="18"/>
              </w:rPr>
            </w:pPr>
            <w:r>
              <w:rPr>
                <w:rFonts w:cs="Times New Roman"/>
                <w:kern w:val="0"/>
                <w:sz w:val="18"/>
                <w:szCs w:val="18"/>
                <w:lang w:bidi="ar"/>
              </w:rPr>
              <w:t>&lt;0.001</w:t>
            </w:r>
          </w:p>
        </w:tc>
      </w:tr>
      <w:tr w14:paraId="75A6291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nil"/>
              <w:left w:val="nil"/>
              <w:bottom w:val="nil"/>
              <w:right w:val="nil"/>
            </w:tcBorders>
          </w:tcPr>
          <w:p w14:paraId="0BA2C718">
            <w:pPr>
              <w:rPr>
                <w:sz w:val="18"/>
                <w:szCs w:val="18"/>
              </w:rPr>
            </w:pPr>
            <w:r>
              <w:rPr>
                <w:rFonts w:cs="Times New Roman"/>
                <w:kern w:val="0"/>
                <w:sz w:val="18"/>
                <w:szCs w:val="18"/>
                <w:lang w:bidi="ar"/>
              </w:rPr>
              <w:t xml:space="preserve">FI tertiles  </w:t>
            </w:r>
          </w:p>
        </w:tc>
        <w:tc>
          <w:tcPr>
            <w:tcW w:w="1784" w:type="dxa"/>
            <w:tcBorders>
              <w:top w:val="nil"/>
              <w:left w:val="nil"/>
              <w:bottom w:val="nil"/>
              <w:right w:val="nil"/>
            </w:tcBorders>
          </w:tcPr>
          <w:p w14:paraId="7EBCADAB">
            <w:pPr>
              <w:jc w:val="center"/>
              <w:rPr>
                <w:sz w:val="18"/>
                <w:szCs w:val="18"/>
              </w:rPr>
            </w:pPr>
          </w:p>
        </w:tc>
        <w:tc>
          <w:tcPr>
            <w:tcW w:w="880" w:type="dxa"/>
            <w:tcBorders>
              <w:top w:val="nil"/>
              <w:left w:val="nil"/>
              <w:bottom w:val="nil"/>
              <w:right w:val="nil"/>
            </w:tcBorders>
          </w:tcPr>
          <w:p w14:paraId="275F840A">
            <w:pPr>
              <w:jc w:val="center"/>
              <w:rPr>
                <w:sz w:val="18"/>
                <w:szCs w:val="18"/>
              </w:rPr>
            </w:pPr>
          </w:p>
        </w:tc>
        <w:tc>
          <w:tcPr>
            <w:tcW w:w="1958" w:type="dxa"/>
            <w:tcBorders>
              <w:top w:val="nil"/>
              <w:left w:val="nil"/>
              <w:bottom w:val="nil"/>
              <w:right w:val="nil"/>
            </w:tcBorders>
          </w:tcPr>
          <w:p w14:paraId="1659447C">
            <w:pPr>
              <w:jc w:val="center"/>
              <w:rPr>
                <w:sz w:val="18"/>
                <w:szCs w:val="18"/>
              </w:rPr>
            </w:pPr>
          </w:p>
        </w:tc>
        <w:tc>
          <w:tcPr>
            <w:tcW w:w="861" w:type="dxa"/>
            <w:tcBorders>
              <w:top w:val="nil"/>
              <w:left w:val="nil"/>
              <w:bottom w:val="nil"/>
              <w:right w:val="nil"/>
            </w:tcBorders>
          </w:tcPr>
          <w:p w14:paraId="79A4FC25">
            <w:pPr>
              <w:jc w:val="center"/>
              <w:rPr>
                <w:sz w:val="18"/>
                <w:szCs w:val="18"/>
              </w:rPr>
            </w:pPr>
          </w:p>
        </w:tc>
        <w:tc>
          <w:tcPr>
            <w:tcW w:w="1899" w:type="dxa"/>
            <w:tcBorders>
              <w:top w:val="nil"/>
              <w:left w:val="nil"/>
              <w:bottom w:val="nil"/>
              <w:right w:val="nil"/>
            </w:tcBorders>
          </w:tcPr>
          <w:p w14:paraId="496A12FF">
            <w:pPr>
              <w:jc w:val="center"/>
              <w:rPr>
                <w:sz w:val="18"/>
                <w:szCs w:val="18"/>
              </w:rPr>
            </w:pPr>
          </w:p>
        </w:tc>
        <w:tc>
          <w:tcPr>
            <w:tcW w:w="912" w:type="dxa"/>
            <w:tcBorders>
              <w:top w:val="nil"/>
              <w:left w:val="nil"/>
              <w:bottom w:val="nil"/>
              <w:right w:val="nil"/>
            </w:tcBorders>
          </w:tcPr>
          <w:p w14:paraId="0567AEB6">
            <w:pPr>
              <w:jc w:val="center"/>
              <w:rPr>
                <w:sz w:val="18"/>
                <w:szCs w:val="18"/>
              </w:rPr>
            </w:pPr>
          </w:p>
        </w:tc>
      </w:tr>
      <w:tr w14:paraId="3DF3E11E">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5" w:hRule="atLeast"/>
          <w:jc w:val="center"/>
        </w:trPr>
        <w:tc>
          <w:tcPr>
            <w:tcW w:w="0" w:type="auto"/>
            <w:tcBorders>
              <w:top w:val="nil"/>
              <w:left w:val="nil"/>
              <w:bottom w:val="nil"/>
              <w:right w:val="nil"/>
            </w:tcBorders>
          </w:tcPr>
          <w:p w14:paraId="02829725">
            <w:pPr>
              <w:rPr>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1 (</w:t>
            </w:r>
            <w:r>
              <w:rPr>
                <w:rFonts w:cs="Times New Roman"/>
                <w:kern w:val="0"/>
                <w:sz w:val="18"/>
                <w:szCs w:val="18"/>
                <w:lang w:bidi="ar"/>
              </w:rPr>
              <w:t>0.01-0.10</w:t>
            </w:r>
            <w:r>
              <w:rPr>
                <w:rFonts w:cs="Times New Roman"/>
                <w:sz w:val="18"/>
                <w:szCs w:val="18"/>
                <w:lang w:bidi="ar"/>
              </w:rPr>
              <w:t>)</w:t>
            </w:r>
          </w:p>
        </w:tc>
        <w:tc>
          <w:tcPr>
            <w:tcW w:w="1784" w:type="dxa"/>
            <w:tcBorders>
              <w:top w:val="nil"/>
              <w:left w:val="nil"/>
              <w:bottom w:val="nil"/>
              <w:right w:val="nil"/>
            </w:tcBorders>
            <w:vAlign w:val="center"/>
          </w:tcPr>
          <w:p w14:paraId="66ED26CE">
            <w:pPr>
              <w:jc w:val="center"/>
              <w:rPr>
                <w:rFonts w:cs="Times New Roman"/>
                <w:kern w:val="0"/>
                <w:sz w:val="18"/>
                <w:szCs w:val="18"/>
              </w:rPr>
            </w:pPr>
            <w:r>
              <w:rPr>
                <w:rFonts w:cs="Times New Roman"/>
                <w:kern w:val="0"/>
                <w:sz w:val="18"/>
                <w:szCs w:val="18"/>
                <w:lang w:bidi="ar"/>
              </w:rPr>
              <w:t>Reference</w:t>
            </w:r>
          </w:p>
        </w:tc>
        <w:tc>
          <w:tcPr>
            <w:tcW w:w="880" w:type="dxa"/>
            <w:tcBorders>
              <w:top w:val="nil"/>
              <w:left w:val="nil"/>
              <w:bottom w:val="nil"/>
              <w:right w:val="nil"/>
            </w:tcBorders>
          </w:tcPr>
          <w:p w14:paraId="32F687CD">
            <w:pPr>
              <w:jc w:val="center"/>
              <w:rPr>
                <w:sz w:val="18"/>
                <w:szCs w:val="18"/>
              </w:rPr>
            </w:pPr>
          </w:p>
        </w:tc>
        <w:tc>
          <w:tcPr>
            <w:tcW w:w="1958" w:type="dxa"/>
            <w:tcBorders>
              <w:top w:val="nil"/>
              <w:left w:val="nil"/>
              <w:bottom w:val="nil"/>
              <w:right w:val="nil"/>
            </w:tcBorders>
            <w:vAlign w:val="center"/>
          </w:tcPr>
          <w:p w14:paraId="36C4A195">
            <w:pPr>
              <w:jc w:val="center"/>
              <w:rPr>
                <w:rFonts w:cs="Times New Roman"/>
                <w:kern w:val="0"/>
                <w:sz w:val="18"/>
                <w:szCs w:val="18"/>
              </w:rPr>
            </w:pPr>
            <w:r>
              <w:rPr>
                <w:rFonts w:cs="Times New Roman"/>
                <w:kern w:val="0"/>
                <w:sz w:val="18"/>
                <w:szCs w:val="18"/>
                <w:lang w:bidi="ar"/>
              </w:rPr>
              <w:t>Reference</w:t>
            </w:r>
          </w:p>
        </w:tc>
        <w:tc>
          <w:tcPr>
            <w:tcW w:w="861" w:type="dxa"/>
            <w:tcBorders>
              <w:top w:val="nil"/>
              <w:left w:val="nil"/>
              <w:bottom w:val="nil"/>
              <w:right w:val="nil"/>
            </w:tcBorders>
          </w:tcPr>
          <w:p w14:paraId="3077B05D">
            <w:pPr>
              <w:jc w:val="center"/>
              <w:rPr>
                <w:sz w:val="18"/>
                <w:szCs w:val="18"/>
              </w:rPr>
            </w:pPr>
          </w:p>
        </w:tc>
        <w:tc>
          <w:tcPr>
            <w:tcW w:w="1899" w:type="dxa"/>
            <w:tcBorders>
              <w:top w:val="nil"/>
              <w:left w:val="nil"/>
              <w:bottom w:val="nil"/>
              <w:right w:val="nil"/>
            </w:tcBorders>
            <w:vAlign w:val="center"/>
          </w:tcPr>
          <w:p w14:paraId="7AB5B473">
            <w:pPr>
              <w:jc w:val="center"/>
              <w:rPr>
                <w:rFonts w:cs="Times New Roman"/>
                <w:kern w:val="0"/>
                <w:sz w:val="18"/>
                <w:szCs w:val="18"/>
              </w:rPr>
            </w:pPr>
            <w:r>
              <w:rPr>
                <w:rFonts w:cs="Times New Roman"/>
                <w:kern w:val="0"/>
                <w:sz w:val="18"/>
                <w:szCs w:val="18"/>
                <w:lang w:bidi="ar"/>
              </w:rPr>
              <w:t>Reference</w:t>
            </w:r>
          </w:p>
        </w:tc>
        <w:tc>
          <w:tcPr>
            <w:tcW w:w="912" w:type="dxa"/>
            <w:tcBorders>
              <w:top w:val="nil"/>
              <w:left w:val="nil"/>
              <w:bottom w:val="nil"/>
              <w:right w:val="nil"/>
            </w:tcBorders>
          </w:tcPr>
          <w:p w14:paraId="27D8A9B9">
            <w:pPr>
              <w:jc w:val="center"/>
              <w:rPr>
                <w:sz w:val="18"/>
                <w:szCs w:val="18"/>
              </w:rPr>
            </w:pPr>
          </w:p>
        </w:tc>
      </w:tr>
      <w:tr w14:paraId="4EE815B5">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74" w:hRule="atLeast"/>
          <w:jc w:val="center"/>
        </w:trPr>
        <w:tc>
          <w:tcPr>
            <w:tcW w:w="0" w:type="auto"/>
            <w:tcBorders>
              <w:top w:val="nil"/>
              <w:left w:val="nil"/>
              <w:bottom w:val="nil"/>
              <w:right w:val="nil"/>
            </w:tcBorders>
          </w:tcPr>
          <w:p w14:paraId="50101D9B">
            <w:pPr>
              <w:rPr>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2 (</w:t>
            </w:r>
            <w:r>
              <w:rPr>
                <w:rFonts w:cs="Times New Roman"/>
                <w:kern w:val="0"/>
                <w:sz w:val="18"/>
                <w:szCs w:val="18"/>
                <w:lang w:bidi="ar"/>
              </w:rPr>
              <w:t>0.10-0.17</w:t>
            </w:r>
            <w:r>
              <w:rPr>
                <w:rFonts w:cs="Times New Roman"/>
                <w:sz w:val="18"/>
                <w:szCs w:val="18"/>
                <w:lang w:bidi="ar"/>
              </w:rPr>
              <w:t>)</w:t>
            </w:r>
          </w:p>
        </w:tc>
        <w:tc>
          <w:tcPr>
            <w:tcW w:w="1784" w:type="dxa"/>
            <w:tcBorders>
              <w:top w:val="nil"/>
              <w:left w:val="nil"/>
              <w:bottom w:val="nil"/>
              <w:right w:val="nil"/>
            </w:tcBorders>
            <w:vAlign w:val="center"/>
          </w:tcPr>
          <w:p w14:paraId="154C97C1">
            <w:pPr>
              <w:jc w:val="center"/>
              <w:rPr>
                <w:rFonts w:cs="Times New Roman"/>
                <w:kern w:val="0"/>
                <w:sz w:val="18"/>
                <w:szCs w:val="18"/>
              </w:rPr>
            </w:pPr>
            <w:r>
              <w:rPr>
                <w:rFonts w:cs="Times New Roman"/>
                <w:kern w:val="0"/>
                <w:sz w:val="18"/>
                <w:szCs w:val="18"/>
                <w:lang w:bidi="ar"/>
              </w:rPr>
              <w:t>2.59 (2.16~3.11)</w:t>
            </w:r>
          </w:p>
        </w:tc>
        <w:tc>
          <w:tcPr>
            <w:tcW w:w="880" w:type="dxa"/>
            <w:tcBorders>
              <w:top w:val="nil"/>
              <w:left w:val="nil"/>
              <w:bottom w:val="nil"/>
              <w:right w:val="nil"/>
            </w:tcBorders>
            <w:vAlign w:val="center"/>
          </w:tcPr>
          <w:p w14:paraId="366695CA">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188D3596">
            <w:pPr>
              <w:jc w:val="center"/>
              <w:rPr>
                <w:rFonts w:cs="Times New Roman"/>
                <w:kern w:val="0"/>
                <w:sz w:val="18"/>
                <w:szCs w:val="18"/>
              </w:rPr>
            </w:pPr>
            <w:r>
              <w:rPr>
                <w:rFonts w:cs="Times New Roman"/>
                <w:kern w:val="0"/>
                <w:sz w:val="18"/>
                <w:szCs w:val="18"/>
                <w:lang w:bidi="ar"/>
              </w:rPr>
              <w:t>1.62 (1.35~1.95)</w:t>
            </w:r>
          </w:p>
        </w:tc>
        <w:tc>
          <w:tcPr>
            <w:tcW w:w="861" w:type="dxa"/>
            <w:tcBorders>
              <w:top w:val="nil"/>
              <w:left w:val="nil"/>
              <w:bottom w:val="nil"/>
              <w:right w:val="nil"/>
            </w:tcBorders>
            <w:vAlign w:val="center"/>
          </w:tcPr>
          <w:p w14:paraId="7C4D6EBD">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nil"/>
              <w:right w:val="nil"/>
            </w:tcBorders>
            <w:vAlign w:val="center"/>
          </w:tcPr>
          <w:p w14:paraId="419E5227">
            <w:pPr>
              <w:jc w:val="center"/>
              <w:rPr>
                <w:rFonts w:cs="Times New Roman"/>
                <w:kern w:val="0"/>
                <w:sz w:val="18"/>
                <w:szCs w:val="18"/>
              </w:rPr>
            </w:pPr>
            <w:r>
              <w:rPr>
                <w:rFonts w:cs="Times New Roman"/>
                <w:kern w:val="0"/>
                <w:sz w:val="18"/>
                <w:szCs w:val="18"/>
                <w:lang w:bidi="ar"/>
              </w:rPr>
              <w:t>1.66 (1.36~2.04)</w:t>
            </w:r>
          </w:p>
        </w:tc>
        <w:tc>
          <w:tcPr>
            <w:tcW w:w="912" w:type="dxa"/>
            <w:tcBorders>
              <w:top w:val="nil"/>
              <w:left w:val="nil"/>
              <w:bottom w:val="nil"/>
              <w:right w:val="nil"/>
            </w:tcBorders>
            <w:vAlign w:val="center"/>
          </w:tcPr>
          <w:p w14:paraId="71C287FE">
            <w:pPr>
              <w:jc w:val="center"/>
              <w:rPr>
                <w:rFonts w:cs="Times New Roman"/>
                <w:kern w:val="0"/>
                <w:sz w:val="18"/>
                <w:szCs w:val="18"/>
              </w:rPr>
            </w:pPr>
            <w:r>
              <w:rPr>
                <w:rFonts w:cs="Times New Roman"/>
                <w:kern w:val="0"/>
                <w:sz w:val="18"/>
                <w:szCs w:val="18"/>
                <w:lang w:bidi="ar"/>
              </w:rPr>
              <w:t>&lt;0.001</w:t>
            </w:r>
          </w:p>
        </w:tc>
      </w:tr>
      <w:tr w14:paraId="7ACB379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18" w:hRule="atLeast"/>
          <w:jc w:val="center"/>
        </w:trPr>
        <w:tc>
          <w:tcPr>
            <w:tcW w:w="0" w:type="auto"/>
            <w:tcBorders>
              <w:top w:val="nil"/>
              <w:left w:val="nil"/>
              <w:bottom w:val="nil"/>
              <w:right w:val="nil"/>
            </w:tcBorders>
          </w:tcPr>
          <w:p w14:paraId="3895931A">
            <w:pPr>
              <w:rPr>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3 (</w:t>
            </w:r>
            <w:r>
              <w:rPr>
                <w:rFonts w:cs="Times New Roman"/>
                <w:kern w:val="0"/>
                <w:sz w:val="18"/>
                <w:szCs w:val="18"/>
                <w:lang w:bidi="ar"/>
              </w:rPr>
              <w:t>0.17-0.67</w:t>
            </w:r>
            <w:r>
              <w:rPr>
                <w:rFonts w:cs="Times New Roman"/>
                <w:sz w:val="18"/>
                <w:szCs w:val="18"/>
                <w:lang w:bidi="ar"/>
              </w:rPr>
              <w:t>)</w:t>
            </w:r>
          </w:p>
        </w:tc>
        <w:tc>
          <w:tcPr>
            <w:tcW w:w="1784" w:type="dxa"/>
            <w:tcBorders>
              <w:top w:val="nil"/>
              <w:left w:val="nil"/>
              <w:bottom w:val="nil"/>
              <w:right w:val="nil"/>
            </w:tcBorders>
            <w:vAlign w:val="center"/>
          </w:tcPr>
          <w:p w14:paraId="5D3917D2">
            <w:pPr>
              <w:jc w:val="center"/>
              <w:rPr>
                <w:rFonts w:cs="Times New Roman"/>
                <w:kern w:val="0"/>
                <w:sz w:val="18"/>
                <w:szCs w:val="18"/>
              </w:rPr>
            </w:pPr>
            <w:r>
              <w:rPr>
                <w:rFonts w:cs="Times New Roman"/>
                <w:kern w:val="0"/>
                <w:sz w:val="18"/>
                <w:szCs w:val="18"/>
                <w:lang w:bidi="ar"/>
              </w:rPr>
              <w:t>7.73 (6.55~9.13)</w:t>
            </w:r>
          </w:p>
        </w:tc>
        <w:tc>
          <w:tcPr>
            <w:tcW w:w="880" w:type="dxa"/>
            <w:tcBorders>
              <w:top w:val="nil"/>
              <w:left w:val="nil"/>
              <w:bottom w:val="nil"/>
              <w:right w:val="nil"/>
            </w:tcBorders>
            <w:vAlign w:val="center"/>
          </w:tcPr>
          <w:p w14:paraId="7253C926">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1358AC4C">
            <w:pPr>
              <w:jc w:val="center"/>
              <w:rPr>
                <w:rFonts w:cs="Times New Roman"/>
                <w:kern w:val="0"/>
                <w:sz w:val="18"/>
                <w:szCs w:val="18"/>
              </w:rPr>
            </w:pPr>
            <w:r>
              <w:rPr>
                <w:rFonts w:cs="Times New Roman"/>
                <w:kern w:val="0"/>
                <w:sz w:val="18"/>
                <w:szCs w:val="18"/>
                <w:lang w:bidi="ar"/>
              </w:rPr>
              <w:t>3.75 (3.16~4.45)</w:t>
            </w:r>
          </w:p>
        </w:tc>
        <w:tc>
          <w:tcPr>
            <w:tcW w:w="861" w:type="dxa"/>
            <w:tcBorders>
              <w:top w:val="nil"/>
              <w:left w:val="nil"/>
              <w:bottom w:val="nil"/>
              <w:right w:val="nil"/>
            </w:tcBorders>
            <w:vAlign w:val="center"/>
          </w:tcPr>
          <w:p w14:paraId="4BD68BE4">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nil"/>
              <w:right w:val="nil"/>
            </w:tcBorders>
            <w:vAlign w:val="center"/>
          </w:tcPr>
          <w:p w14:paraId="00C19115">
            <w:pPr>
              <w:jc w:val="center"/>
              <w:rPr>
                <w:rFonts w:cs="Times New Roman"/>
                <w:kern w:val="0"/>
                <w:sz w:val="18"/>
                <w:szCs w:val="18"/>
              </w:rPr>
            </w:pPr>
            <w:r>
              <w:rPr>
                <w:rFonts w:cs="Times New Roman"/>
                <w:kern w:val="0"/>
                <w:sz w:val="18"/>
                <w:szCs w:val="18"/>
                <w:lang w:bidi="ar"/>
              </w:rPr>
              <w:t>3.2 (2.62~3.9)</w:t>
            </w:r>
          </w:p>
        </w:tc>
        <w:tc>
          <w:tcPr>
            <w:tcW w:w="912" w:type="dxa"/>
            <w:tcBorders>
              <w:top w:val="nil"/>
              <w:left w:val="nil"/>
              <w:bottom w:val="nil"/>
              <w:right w:val="nil"/>
            </w:tcBorders>
            <w:vAlign w:val="center"/>
          </w:tcPr>
          <w:p w14:paraId="1CE791A5">
            <w:pPr>
              <w:jc w:val="center"/>
              <w:rPr>
                <w:rFonts w:cs="Times New Roman"/>
                <w:kern w:val="0"/>
                <w:sz w:val="18"/>
                <w:szCs w:val="18"/>
              </w:rPr>
            </w:pPr>
            <w:r>
              <w:rPr>
                <w:rFonts w:cs="Times New Roman"/>
                <w:kern w:val="0"/>
                <w:sz w:val="18"/>
                <w:szCs w:val="18"/>
                <w:lang w:bidi="ar"/>
              </w:rPr>
              <w:t>&lt;0.001</w:t>
            </w:r>
          </w:p>
        </w:tc>
      </w:tr>
      <w:tr w14:paraId="29F2290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611F85BC">
            <w:pPr>
              <w:rPr>
                <w:sz w:val="18"/>
                <w:szCs w:val="18"/>
              </w:rPr>
            </w:pPr>
            <w:r>
              <w:rPr>
                <w:rFonts w:cs="Times New Roman"/>
                <w:i/>
                <w:iCs/>
                <w:sz w:val="18"/>
                <w:szCs w:val="18"/>
                <w:lang w:bidi="ar"/>
              </w:rPr>
              <w:t>P</w:t>
            </w:r>
            <w:r>
              <w:rPr>
                <w:rFonts w:cs="Times New Roman"/>
                <w:sz w:val="18"/>
                <w:szCs w:val="18"/>
                <w:lang w:bidi="ar"/>
              </w:rPr>
              <w:t xml:space="preserve"> for trend</w:t>
            </w:r>
          </w:p>
        </w:tc>
        <w:tc>
          <w:tcPr>
            <w:tcW w:w="1784" w:type="dxa"/>
            <w:tcBorders>
              <w:top w:val="nil"/>
              <w:left w:val="nil"/>
              <w:bottom w:val="nil"/>
              <w:right w:val="nil"/>
            </w:tcBorders>
            <w:vAlign w:val="center"/>
          </w:tcPr>
          <w:p w14:paraId="115A6D9E">
            <w:pPr>
              <w:jc w:val="center"/>
              <w:rPr>
                <w:rFonts w:cs="Times New Roman"/>
                <w:kern w:val="0"/>
                <w:sz w:val="18"/>
                <w:szCs w:val="18"/>
              </w:rPr>
            </w:pPr>
            <w:r>
              <w:rPr>
                <w:rFonts w:cs="Times New Roman"/>
                <w:kern w:val="0"/>
                <w:sz w:val="18"/>
                <w:szCs w:val="18"/>
                <w:lang w:bidi="ar"/>
              </w:rPr>
              <w:t>2.84 (2.64~3.06)</w:t>
            </w:r>
          </w:p>
        </w:tc>
        <w:tc>
          <w:tcPr>
            <w:tcW w:w="880" w:type="dxa"/>
            <w:tcBorders>
              <w:top w:val="nil"/>
              <w:left w:val="nil"/>
              <w:bottom w:val="nil"/>
              <w:right w:val="nil"/>
            </w:tcBorders>
            <w:vAlign w:val="center"/>
          </w:tcPr>
          <w:p w14:paraId="552C0497">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14B8E58E">
            <w:pPr>
              <w:jc w:val="center"/>
              <w:rPr>
                <w:rFonts w:cs="Times New Roman"/>
                <w:kern w:val="0"/>
                <w:sz w:val="18"/>
                <w:szCs w:val="18"/>
              </w:rPr>
            </w:pPr>
            <w:r>
              <w:rPr>
                <w:rFonts w:cs="Times New Roman"/>
                <w:kern w:val="0"/>
                <w:sz w:val="18"/>
                <w:szCs w:val="18"/>
                <w:lang w:bidi="ar"/>
              </w:rPr>
              <w:t>2.06 (1.9~2.22)</w:t>
            </w:r>
          </w:p>
        </w:tc>
        <w:tc>
          <w:tcPr>
            <w:tcW w:w="861" w:type="dxa"/>
            <w:tcBorders>
              <w:top w:val="nil"/>
              <w:left w:val="nil"/>
              <w:bottom w:val="nil"/>
              <w:right w:val="nil"/>
            </w:tcBorders>
            <w:vAlign w:val="center"/>
          </w:tcPr>
          <w:p w14:paraId="144B441E">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nil"/>
              <w:right w:val="nil"/>
            </w:tcBorders>
            <w:vAlign w:val="center"/>
          </w:tcPr>
          <w:p w14:paraId="2680E9F9">
            <w:pPr>
              <w:jc w:val="center"/>
              <w:rPr>
                <w:rFonts w:cs="Times New Roman"/>
                <w:kern w:val="0"/>
                <w:sz w:val="18"/>
                <w:szCs w:val="18"/>
              </w:rPr>
            </w:pPr>
            <w:r>
              <w:rPr>
                <w:rFonts w:cs="Times New Roman"/>
                <w:kern w:val="0"/>
                <w:sz w:val="18"/>
                <w:szCs w:val="18"/>
                <w:lang w:bidi="ar"/>
              </w:rPr>
              <w:t>1.83 (1.67~2)</w:t>
            </w:r>
          </w:p>
        </w:tc>
        <w:tc>
          <w:tcPr>
            <w:tcW w:w="912" w:type="dxa"/>
            <w:tcBorders>
              <w:top w:val="nil"/>
              <w:left w:val="nil"/>
              <w:bottom w:val="nil"/>
              <w:right w:val="nil"/>
            </w:tcBorders>
            <w:vAlign w:val="center"/>
          </w:tcPr>
          <w:p w14:paraId="3A9CBC57">
            <w:pPr>
              <w:jc w:val="center"/>
              <w:rPr>
                <w:rFonts w:cs="Times New Roman"/>
                <w:kern w:val="0"/>
                <w:sz w:val="18"/>
                <w:szCs w:val="18"/>
              </w:rPr>
            </w:pPr>
            <w:r>
              <w:rPr>
                <w:rFonts w:cs="Times New Roman"/>
                <w:kern w:val="0"/>
                <w:sz w:val="18"/>
                <w:szCs w:val="18"/>
                <w:lang w:bidi="ar"/>
              </w:rPr>
              <w:t>&lt;0.001</w:t>
            </w:r>
          </w:p>
        </w:tc>
      </w:tr>
      <w:tr w14:paraId="44D2786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4A1BC535">
            <w:pPr>
              <w:rPr>
                <w:rFonts w:cs="Times New Roman"/>
                <w:b/>
                <w:bCs/>
                <w:kern w:val="0"/>
                <w:sz w:val="18"/>
                <w:szCs w:val="18"/>
              </w:rPr>
            </w:pPr>
            <w:r>
              <w:rPr>
                <w:rFonts w:cs="Times New Roman"/>
                <w:b/>
                <w:bCs/>
                <w:kern w:val="0"/>
                <w:sz w:val="18"/>
                <w:szCs w:val="18"/>
                <w:lang w:bidi="ar"/>
              </w:rPr>
              <w:t>CVD mortality</w:t>
            </w:r>
          </w:p>
        </w:tc>
        <w:tc>
          <w:tcPr>
            <w:tcW w:w="1784" w:type="dxa"/>
            <w:tcBorders>
              <w:top w:val="nil"/>
              <w:left w:val="nil"/>
              <w:bottom w:val="nil"/>
              <w:right w:val="nil"/>
            </w:tcBorders>
          </w:tcPr>
          <w:p w14:paraId="266964C9">
            <w:pPr>
              <w:jc w:val="center"/>
              <w:rPr>
                <w:rFonts w:cs="Times New Roman"/>
                <w:kern w:val="0"/>
                <w:sz w:val="18"/>
                <w:szCs w:val="18"/>
              </w:rPr>
            </w:pPr>
          </w:p>
        </w:tc>
        <w:tc>
          <w:tcPr>
            <w:tcW w:w="880" w:type="dxa"/>
            <w:tcBorders>
              <w:top w:val="nil"/>
              <w:left w:val="nil"/>
              <w:bottom w:val="nil"/>
              <w:right w:val="nil"/>
            </w:tcBorders>
          </w:tcPr>
          <w:p w14:paraId="344C4764">
            <w:pPr>
              <w:jc w:val="center"/>
              <w:rPr>
                <w:rFonts w:cs="Times New Roman"/>
                <w:kern w:val="0"/>
                <w:sz w:val="18"/>
                <w:szCs w:val="18"/>
              </w:rPr>
            </w:pPr>
          </w:p>
        </w:tc>
        <w:tc>
          <w:tcPr>
            <w:tcW w:w="1958" w:type="dxa"/>
            <w:tcBorders>
              <w:top w:val="nil"/>
              <w:left w:val="nil"/>
              <w:bottom w:val="nil"/>
              <w:right w:val="nil"/>
            </w:tcBorders>
          </w:tcPr>
          <w:p w14:paraId="6D5B8F08">
            <w:pPr>
              <w:jc w:val="center"/>
              <w:rPr>
                <w:rFonts w:cs="Times New Roman"/>
                <w:kern w:val="0"/>
                <w:sz w:val="18"/>
                <w:szCs w:val="18"/>
              </w:rPr>
            </w:pPr>
          </w:p>
        </w:tc>
        <w:tc>
          <w:tcPr>
            <w:tcW w:w="861" w:type="dxa"/>
            <w:tcBorders>
              <w:top w:val="nil"/>
              <w:left w:val="nil"/>
              <w:bottom w:val="nil"/>
              <w:right w:val="nil"/>
            </w:tcBorders>
          </w:tcPr>
          <w:p w14:paraId="6C8B1F96">
            <w:pPr>
              <w:jc w:val="center"/>
              <w:rPr>
                <w:rFonts w:cs="Times New Roman"/>
                <w:kern w:val="0"/>
                <w:sz w:val="18"/>
                <w:szCs w:val="18"/>
              </w:rPr>
            </w:pPr>
          </w:p>
        </w:tc>
        <w:tc>
          <w:tcPr>
            <w:tcW w:w="1899" w:type="dxa"/>
            <w:tcBorders>
              <w:top w:val="nil"/>
              <w:left w:val="nil"/>
              <w:bottom w:val="nil"/>
              <w:right w:val="nil"/>
            </w:tcBorders>
          </w:tcPr>
          <w:p w14:paraId="3047BD19">
            <w:pPr>
              <w:jc w:val="center"/>
              <w:rPr>
                <w:rFonts w:cs="Times New Roman"/>
                <w:kern w:val="0"/>
                <w:sz w:val="18"/>
                <w:szCs w:val="18"/>
              </w:rPr>
            </w:pPr>
          </w:p>
        </w:tc>
        <w:tc>
          <w:tcPr>
            <w:tcW w:w="912" w:type="dxa"/>
            <w:tcBorders>
              <w:top w:val="nil"/>
              <w:left w:val="nil"/>
              <w:bottom w:val="nil"/>
              <w:right w:val="nil"/>
            </w:tcBorders>
          </w:tcPr>
          <w:p w14:paraId="4B2E2872">
            <w:pPr>
              <w:jc w:val="center"/>
              <w:rPr>
                <w:rFonts w:cs="Times New Roman"/>
                <w:kern w:val="0"/>
                <w:sz w:val="18"/>
                <w:szCs w:val="18"/>
              </w:rPr>
            </w:pPr>
          </w:p>
        </w:tc>
      </w:tr>
      <w:tr w14:paraId="172462F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5960E858">
            <w:pPr>
              <w:rPr>
                <w:rFonts w:cs="Times New Roman"/>
                <w:kern w:val="0"/>
                <w:sz w:val="18"/>
                <w:szCs w:val="18"/>
              </w:rPr>
            </w:pPr>
            <w:r>
              <w:rPr>
                <w:rFonts w:cs="Times New Roman"/>
                <w:kern w:val="0"/>
                <w:sz w:val="18"/>
                <w:szCs w:val="18"/>
                <w:lang w:bidi="ar"/>
              </w:rPr>
              <w:t>FI</w:t>
            </w:r>
            <w:r>
              <w:rPr>
                <w:rFonts w:cs="Times New Roman"/>
                <w:sz w:val="18"/>
                <w:szCs w:val="18"/>
                <w:lang w:bidi="ar"/>
              </w:rPr>
              <w:t xml:space="preserve"> </w:t>
            </w:r>
          </w:p>
        </w:tc>
        <w:tc>
          <w:tcPr>
            <w:tcW w:w="1784" w:type="dxa"/>
            <w:tcBorders>
              <w:top w:val="nil"/>
              <w:left w:val="nil"/>
              <w:bottom w:val="nil"/>
              <w:right w:val="nil"/>
            </w:tcBorders>
          </w:tcPr>
          <w:p w14:paraId="75BE6044">
            <w:pPr>
              <w:jc w:val="center"/>
              <w:rPr>
                <w:rFonts w:cs="Times New Roman"/>
                <w:kern w:val="0"/>
                <w:sz w:val="18"/>
                <w:szCs w:val="18"/>
              </w:rPr>
            </w:pPr>
            <w:r>
              <w:rPr>
                <w:rFonts w:cs="Times New Roman"/>
                <w:kern w:val="0"/>
                <w:sz w:val="18"/>
                <w:szCs w:val="18"/>
                <w:lang w:bidi="ar"/>
              </w:rPr>
              <w:t>2 (1.88~2.12)</w:t>
            </w:r>
          </w:p>
        </w:tc>
        <w:tc>
          <w:tcPr>
            <w:tcW w:w="880" w:type="dxa"/>
            <w:tcBorders>
              <w:top w:val="nil"/>
              <w:left w:val="nil"/>
              <w:bottom w:val="nil"/>
              <w:right w:val="nil"/>
            </w:tcBorders>
          </w:tcPr>
          <w:p w14:paraId="23800AEA">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tcPr>
          <w:p w14:paraId="022F7061">
            <w:pPr>
              <w:jc w:val="center"/>
              <w:rPr>
                <w:rFonts w:cs="Times New Roman"/>
                <w:kern w:val="0"/>
                <w:sz w:val="18"/>
                <w:szCs w:val="18"/>
              </w:rPr>
            </w:pPr>
            <w:r>
              <w:rPr>
                <w:rFonts w:cs="Times New Roman"/>
                <w:kern w:val="0"/>
                <w:sz w:val="18"/>
                <w:szCs w:val="18"/>
                <w:lang w:bidi="ar"/>
              </w:rPr>
              <w:t>1.64 (1.54~1.76)</w:t>
            </w:r>
          </w:p>
        </w:tc>
        <w:tc>
          <w:tcPr>
            <w:tcW w:w="861" w:type="dxa"/>
            <w:tcBorders>
              <w:top w:val="nil"/>
              <w:left w:val="nil"/>
              <w:bottom w:val="nil"/>
              <w:right w:val="nil"/>
            </w:tcBorders>
          </w:tcPr>
          <w:p w14:paraId="70F6E3A5">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nil"/>
              <w:right w:val="nil"/>
            </w:tcBorders>
          </w:tcPr>
          <w:p w14:paraId="4A8829CE">
            <w:pPr>
              <w:jc w:val="center"/>
              <w:rPr>
                <w:rFonts w:cs="Times New Roman"/>
                <w:kern w:val="0"/>
                <w:sz w:val="18"/>
                <w:szCs w:val="18"/>
              </w:rPr>
            </w:pPr>
            <w:r>
              <w:rPr>
                <w:rFonts w:cs="Times New Roman"/>
                <w:kern w:val="0"/>
                <w:sz w:val="18"/>
                <w:szCs w:val="18"/>
                <w:lang w:bidi="ar"/>
              </w:rPr>
              <w:t>1.49 (1.36~1.64)</w:t>
            </w:r>
          </w:p>
        </w:tc>
        <w:tc>
          <w:tcPr>
            <w:tcW w:w="912" w:type="dxa"/>
            <w:tcBorders>
              <w:top w:val="nil"/>
              <w:left w:val="nil"/>
              <w:bottom w:val="nil"/>
              <w:right w:val="nil"/>
            </w:tcBorders>
          </w:tcPr>
          <w:p w14:paraId="64B88DCA">
            <w:pPr>
              <w:jc w:val="center"/>
              <w:rPr>
                <w:rFonts w:cs="Times New Roman"/>
                <w:kern w:val="0"/>
                <w:sz w:val="18"/>
                <w:szCs w:val="18"/>
              </w:rPr>
            </w:pPr>
            <w:r>
              <w:rPr>
                <w:rFonts w:cs="Times New Roman"/>
                <w:kern w:val="0"/>
                <w:sz w:val="18"/>
                <w:szCs w:val="18"/>
                <w:lang w:bidi="ar"/>
              </w:rPr>
              <w:t>&lt;0.001</w:t>
            </w:r>
          </w:p>
        </w:tc>
      </w:tr>
      <w:tr w14:paraId="550BB56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69F461E2">
            <w:pPr>
              <w:rPr>
                <w:rFonts w:cs="Times New Roman"/>
                <w:i/>
                <w:iCs/>
                <w:kern w:val="0"/>
                <w:sz w:val="18"/>
                <w:szCs w:val="18"/>
              </w:rPr>
            </w:pPr>
            <w:r>
              <w:rPr>
                <w:rFonts w:cs="Times New Roman"/>
                <w:kern w:val="0"/>
                <w:sz w:val="18"/>
                <w:szCs w:val="18"/>
                <w:lang w:bidi="ar"/>
              </w:rPr>
              <w:t xml:space="preserve">FI tertiles  </w:t>
            </w:r>
          </w:p>
        </w:tc>
        <w:tc>
          <w:tcPr>
            <w:tcW w:w="1784" w:type="dxa"/>
            <w:tcBorders>
              <w:top w:val="nil"/>
              <w:left w:val="nil"/>
              <w:bottom w:val="nil"/>
              <w:right w:val="nil"/>
            </w:tcBorders>
          </w:tcPr>
          <w:p w14:paraId="5F5C0CFE">
            <w:pPr>
              <w:jc w:val="center"/>
              <w:rPr>
                <w:rFonts w:cs="Times New Roman"/>
                <w:kern w:val="0"/>
                <w:sz w:val="18"/>
                <w:szCs w:val="18"/>
              </w:rPr>
            </w:pPr>
          </w:p>
        </w:tc>
        <w:tc>
          <w:tcPr>
            <w:tcW w:w="880" w:type="dxa"/>
            <w:tcBorders>
              <w:top w:val="nil"/>
              <w:left w:val="nil"/>
              <w:bottom w:val="nil"/>
              <w:right w:val="nil"/>
            </w:tcBorders>
          </w:tcPr>
          <w:p w14:paraId="696B49B5">
            <w:pPr>
              <w:jc w:val="center"/>
              <w:rPr>
                <w:rFonts w:cs="Times New Roman"/>
                <w:kern w:val="0"/>
                <w:sz w:val="18"/>
                <w:szCs w:val="18"/>
              </w:rPr>
            </w:pPr>
          </w:p>
        </w:tc>
        <w:tc>
          <w:tcPr>
            <w:tcW w:w="1958" w:type="dxa"/>
            <w:tcBorders>
              <w:top w:val="nil"/>
              <w:left w:val="nil"/>
              <w:bottom w:val="nil"/>
              <w:right w:val="nil"/>
            </w:tcBorders>
          </w:tcPr>
          <w:p w14:paraId="53F79200">
            <w:pPr>
              <w:jc w:val="center"/>
              <w:rPr>
                <w:rFonts w:cs="Times New Roman"/>
                <w:kern w:val="0"/>
                <w:sz w:val="18"/>
                <w:szCs w:val="18"/>
              </w:rPr>
            </w:pPr>
          </w:p>
        </w:tc>
        <w:tc>
          <w:tcPr>
            <w:tcW w:w="861" w:type="dxa"/>
            <w:tcBorders>
              <w:top w:val="nil"/>
              <w:left w:val="nil"/>
              <w:bottom w:val="nil"/>
              <w:right w:val="nil"/>
            </w:tcBorders>
          </w:tcPr>
          <w:p w14:paraId="5BA8DD65">
            <w:pPr>
              <w:jc w:val="center"/>
              <w:rPr>
                <w:rFonts w:cs="Times New Roman"/>
                <w:kern w:val="0"/>
                <w:sz w:val="18"/>
                <w:szCs w:val="18"/>
              </w:rPr>
            </w:pPr>
          </w:p>
        </w:tc>
        <w:tc>
          <w:tcPr>
            <w:tcW w:w="1899" w:type="dxa"/>
            <w:tcBorders>
              <w:top w:val="nil"/>
              <w:left w:val="nil"/>
              <w:bottom w:val="nil"/>
              <w:right w:val="nil"/>
            </w:tcBorders>
          </w:tcPr>
          <w:p w14:paraId="78424BE5">
            <w:pPr>
              <w:jc w:val="center"/>
              <w:rPr>
                <w:rFonts w:cs="Times New Roman"/>
                <w:kern w:val="0"/>
                <w:sz w:val="18"/>
                <w:szCs w:val="18"/>
              </w:rPr>
            </w:pPr>
          </w:p>
        </w:tc>
        <w:tc>
          <w:tcPr>
            <w:tcW w:w="912" w:type="dxa"/>
            <w:tcBorders>
              <w:top w:val="nil"/>
              <w:left w:val="nil"/>
              <w:bottom w:val="nil"/>
              <w:right w:val="nil"/>
            </w:tcBorders>
          </w:tcPr>
          <w:p w14:paraId="22669916">
            <w:pPr>
              <w:jc w:val="center"/>
              <w:rPr>
                <w:rFonts w:cs="Times New Roman"/>
                <w:kern w:val="0"/>
                <w:sz w:val="18"/>
                <w:szCs w:val="18"/>
              </w:rPr>
            </w:pPr>
          </w:p>
        </w:tc>
      </w:tr>
      <w:tr w14:paraId="34FE3AC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3D3C585D">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1 (</w:t>
            </w:r>
            <w:r>
              <w:rPr>
                <w:rFonts w:cs="Times New Roman"/>
                <w:kern w:val="0"/>
                <w:sz w:val="18"/>
                <w:szCs w:val="18"/>
                <w:lang w:bidi="ar"/>
              </w:rPr>
              <w:t>0.01-0.10</w:t>
            </w:r>
            <w:r>
              <w:rPr>
                <w:rFonts w:cs="Times New Roman"/>
                <w:sz w:val="18"/>
                <w:szCs w:val="18"/>
                <w:lang w:bidi="ar"/>
              </w:rPr>
              <w:t>)</w:t>
            </w:r>
          </w:p>
        </w:tc>
        <w:tc>
          <w:tcPr>
            <w:tcW w:w="1784" w:type="dxa"/>
            <w:tcBorders>
              <w:top w:val="nil"/>
              <w:left w:val="nil"/>
              <w:bottom w:val="nil"/>
              <w:right w:val="nil"/>
            </w:tcBorders>
            <w:vAlign w:val="center"/>
          </w:tcPr>
          <w:p w14:paraId="4F16B6FC">
            <w:pPr>
              <w:jc w:val="center"/>
              <w:rPr>
                <w:rFonts w:cs="Times New Roman"/>
                <w:kern w:val="0"/>
                <w:sz w:val="18"/>
                <w:szCs w:val="18"/>
              </w:rPr>
            </w:pPr>
            <w:r>
              <w:rPr>
                <w:rFonts w:cs="Times New Roman"/>
                <w:kern w:val="0"/>
                <w:sz w:val="18"/>
                <w:szCs w:val="18"/>
                <w:lang w:bidi="ar"/>
              </w:rPr>
              <w:t>Reference</w:t>
            </w:r>
          </w:p>
        </w:tc>
        <w:tc>
          <w:tcPr>
            <w:tcW w:w="880" w:type="dxa"/>
            <w:tcBorders>
              <w:top w:val="nil"/>
              <w:left w:val="nil"/>
              <w:bottom w:val="nil"/>
              <w:right w:val="nil"/>
            </w:tcBorders>
          </w:tcPr>
          <w:p w14:paraId="3576BB29">
            <w:pPr>
              <w:jc w:val="center"/>
              <w:rPr>
                <w:rFonts w:cs="Times New Roman"/>
                <w:kern w:val="0"/>
                <w:sz w:val="18"/>
                <w:szCs w:val="18"/>
              </w:rPr>
            </w:pPr>
          </w:p>
        </w:tc>
        <w:tc>
          <w:tcPr>
            <w:tcW w:w="1958" w:type="dxa"/>
            <w:tcBorders>
              <w:top w:val="nil"/>
              <w:left w:val="nil"/>
              <w:bottom w:val="nil"/>
              <w:right w:val="nil"/>
            </w:tcBorders>
            <w:vAlign w:val="center"/>
          </w:tcPr>
          <w:p w14:paraId="26F6F707">
            <w:pPr>
              <w:jc w:val="center"/>
              <w:rPr>
                <w:rFonts w:cs="Times New Roman"/>
                <w:kern w:val="0"/>
                <w:sz w:val="18"/>
                <w:szCs w:val="18"/>
              </w:rPr>
            </w:pPr>
            <w:r>
              <w:rPr>
                <w:rFonts w:cs="Times New Roman"/>
                <w:kern w:val="0"/>
                <w:sz w:val="18"/>
                <w:szCs w:val="18"/>
                <w:lang w:bidi="ar"/>
              </w:rPr>
              <w:t>1(Ref)</w:t>
            </w:r>
          </w:p>
        </w:tc>
        <w:tc>
          <w:tcPr>
            <w:tcW w:w="861" w:type="dxa"/>
            <w:tcBorders>
              <w:top w:val="nil"/>
              <w:left w:val="nil"/>
              <w:bottom w:val="nil"/>
              <w:right w:val="nil"/>
            </w:tcBorders>
          </w:tcPr>
          <w:p w14:paraId="6B6F86EE">
            <w:pPr>
              <w:jc w:val="center"/>
              <w:rPr>
                <w:rFonts w:cs="Times New Roman"/>
                <w:kern w:val="0"/>
                <w:sz w:val="18"/>
                <w:szCs w:val="18"/>
              </w:rPr>
            </w:pPr>
          </w:p>
        </w:tc>
        <w:tc>
          <w:tcPr>
            <w:tcW w:w="1899" w:type="dxa"/>
            <w:tcBorders>
              <w:top w:val="nil"/>
              <w:left w:val="nil"/>
              <w:bottom w:val="nil"/>
              <w:right w:val="nil"/>
            </w:tcBorders>
            <w:vAlign w:val="center"/>
          </w:tcPr>
          <w:p w14:paraId="30984BED">
            <w:pPr>
              <w:jc w:val="center"/>
              <w:rPr>
                <w:rFonts w:cs="Times New Roman"/>
                <w:kern w:val="0"/>
                <w:sz w:val="18"/>
                <w:szCs w:val="18"/>
              </w:rPr>
            </w:pPr>
            <w:r>
              <w:rPr>
                <w:rFonts w:cs="Times New Roman"/>
                <w:kern w:val="0"/>
                <w:sz w:val="18"/>
                <w:szCs w:val="18"/>
                <w:lang w:bidi="ar"/>
              </w:rPr>
              <w:t>Reference</w:t>
            </w:r>
          </w:p>
        </w:tc>
        <w:tc>
          <w:tcPr>
            <w:tcW w:w="912" w:type="dxa"/>
            <w:tcBorders>
              <w:top w:val="nil"/>
              <w:left w:val="nil"/>
              <w:bottom w:val="nil"/>
              <w:right w:val="nil"/>
            </w:tcBorders>
            <w:vAlign w:val="center"/>
          </w:tcPr>
          <w:p w14:paraId="5DA5997D">
            <w:pPr>
              <w:jc w:val="center"/>
              <w:rPr>
                <w:rFonts w:cs="Times New Roman"/>
                <w:kern w:val="0"/>
                <w:sz w:val="18"/>
                <w:szCs w:val="18"/>
              </w:rPr>
            </w:pPr>
            <w:r>
              <w:rPr>
                <w:rFonts w:cs="Times New Roman"/>
                <w:kern w:val="0"/>
                <w:sz w:val="22"/>
                <w:szCs w:val="22"/>
                <w:lang w:bidi="ar"/>
              </w:rPr>
              <w:t xml:space="preserve"> </w:t>
            </w:r>
          </w:p>
        </w:tc>
      </w:tr>
      <w:tr w14:paraId="2DFBB7F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1822EE58">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2 (</w:t>
            </w:r>
            <w:r>
              <w:rPr>
                <w:rFonts w:cs="Times New Roman"/>
                <w:kern w:val="0"/>
                <w:sz w:val="18"/>
                <w:szCs w:val="18"/>
                <w:lang w:bidi="ar"/>
              </w:rPr>
              <w:t>0.10-0.17</w:t>
            </w:r>
            <w:r>
              <w:rPr>
                <w:rFonts w:cs="Times New Roman"/>
                <w:sz w:val="18"/>
                <w:szCs w:val="18"/>
                <w:lang w:bidi="ar"/>
              </w:rPr>
              <w:t>)</w:t>
            </w:r>
          </w:p>
        </w:tc>
        <w:tc>
          <w:tcPr>
            <w:tcW w:w="1784" w:type="dxa"/>
            <w:tcBorders>
              <w:top w:val="nil"/>
              <w:left w:val="nil"/>
              <w:bottom w:val="nil"/>
              <w:right w:val="nil"/>
            </w:tcBorders>
            <w:vAlign w:val="center"/>
          </w:tcPr>
          <w:p w14:paraId="0F1E62F7">
            <w:pPr>
              <w:jc w:val="center"/>
              <w:rPr>
                <w:rFonts w:cs="Times New Roman"/>
                <w:kern w:val="0"/>
                <w:sz w:val="18"/>
                <w:szCs w:val="18"/>
              </w:rPr>
            </w:pPr>
            <w:r>
              <w:rPr>
                <w:rFonts w:cs="Times New Roman"/>
                <w:kern w:val="0"/>
                <w:sz w:val="18"/>
                <w:szCs w:val="18"/>
                <w:lang w:bidi="ar"/>
              </w:rPr>
              <w:t>2.73 (1.93~3.87)</w:t>
            </w:r>
          </w:p>
        </w:tc>
        <w:tc>
          <w:tcPr>
            <w:tcW w:w="880" w:type="dxa"/>
            <w:tcBorders>
              <w:top w:val="nil"/>
              <w:left w:val="nil"/>
              <w:bottom w:val="nil"/>
              <w:right w:val="nil"/>
            </w:tcBorders>
          </w:tcPr>
          <w:p w14:paraId="1BC74BAA">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47AE797F">
            <w:pPr>
              <w:jc w:val="center"/>
              <w:rPr>
                <w:rFonts w:cs="Times New Roman"/>
                <w:kern w:val="0"/>
                <w:sz w:val="18"/>
                <w:szCs w:val="18"/>
              </w:rPr>
            </w:pPr>
            <w:r>
              <w:rPr>
                <w:rFonts w:cs="Times New Roman"/>
                <w:kern w:val="0"/>
                <w:sz w:val="18"/>
                <w:szCs w:val="18"/>
                <w:lang w:bidi="ar"/>
              </w:rPr>
              <w:t>1.6 (1.13~2.26)</w:t>
            </w:r>
          </w:p>
        </w:tc>
        <w:tc>
          <w:tcPr>
            <w:tcW w:w="861" w:type="dxa"/>
            <w:tcBorders>
              <w:top w:val="nil"/>
              <w:left w:val="nil"/>
              <w:bottom w:val="nil"/>
              <w:right w:val="nil"/>
            </w:tcBorders>
            <w:vAlign w:val="center"/>
          </w:tcPr>
          <w:p w14:paraId="0B77D495">
            <w:pPr>
              <w:jc w:val="center"/>
              <w:rPr>
                <w:rFonts w:cs="Times New Roman"/>
                <w:kern w:val="0"/>
                <w:sz w:val="18"/>
                <w:szCs w:val="18"/>
              </w:rPr>
            </w:pPr>
            <w:r>
              <w:rPr>
                <w:rFonts w:cs="Times New Roman"/>
                <w:kern w:val="0"/>
                <w:sz w:val="18"/>
                <w:szCs w:val="18"/>
                <w:lang w:bidi="ar"/>
              </w:rPr>
              <w:t>0.009</w:t>
            </w:r>
          </w:p>
        </w:tc>
        <w:tc>
          <w:tcPr>
            <w:tcW w:w="1899" w:type="dxa"/>
            <w:tcBorders>
              <w:top w:val="nil"/>
              <w:left w:val="nil"/>
              <w:bottom w:val="nil"/>
              <w:right w:val="nil"/>
            </w:tcBorders>
            <w:vAlign w:val="center"/>
          </w:tcPr>
          <w:p w14:paraId="0F230AA2">
            <w:pPr>
              <w:jc w:val="center"/>
              <w:rPr>
                <w:rFonts w:cs="Times New Roman"/>
                <w:kern w:val="0"/>
                <w:sz w:val="18"/>
                <w:szCs w:val="18"/>
              </w:rPr>
            </w:pPr>
            <w:r>
              <w:rPr>
                <w:rFonts w:cs="Times New Roman"/>
                <w:kern w:val="0"/>
                <w:sz w:val="18"/>
                <w:szCs w:val="18"/>
                <w:lang w:bidi="ar"/>
              </w:rPr>
              <w:t>1.63 (1.12~2.37)</w:t>
            </w:r>
          </w:p>
        </w:tc>
        <w:tc>
          <w:tcPr>
            <w:tcW w:w="912" w:type="dxa"/>
            <w:tcBorders>
              <w:top w:val="nil"/>
              <w:left w:val="nil"/>
              <w:bottom w:val="nil"/>
              <w:right w:val="nil"/>
            </w:tcBorders>
            <w:vAlign w:val="center"/>
          </w:tcPr>
          <w:p w14:paraId="4E5BACA9">
            <w:pPr>
              <w:jc w:val="center"/>
              <w:rPr>
                <w:rFonts w:cs="Times New Roman"/>
                <w:kern w:val="0"/>
                <w:sz w:val="18"/>
                <w:szCs w:val="18"/>
              </w:rPr>
            </w:pPr>
            <w:r>
              <w:rPr>
                <w:rFonts w:cs="Times New Roman"/>
                <w:kern w:val="0"/>
                <w:sz w:val="18"/>
                <w:szCs w:val="18"/>
                <w:lang w:bidi="ar"/>
              </w:rPr>
              <w:t>0.011</w:t>
            </w:r>
          </w:p>
        </w:tc>
      </w:tr>
      <w:tr w14:paraId="77BA133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nil"/>
              <w:right w:val="nil"/>
            </w:tcBorders>
          </w:tcPr>
          <w:p w14:paraId="2CCE7AFE">
            <w:pPr>
              <w:rPr>
                <w:rFonts w:cs="Times New Roman"/>
                <w:i/>
                <w:iCs/>
                <w:kern w:val="0"/>
                <w:sz w:val="18"/>
                <w:szCs w:val="18"/>
              </w:rPr>
            </w:pPr>
            <w:r>
              <w:rPr>
                <w:rFonts w:cs="Times New Roman"/>
                <w:sz w:val="18"/>
                <w:szCs w:val="18"/>
                <w:lang w:bidi="ar"/>
              </w:rPr>
              <w:t>  </w:t>
            </w:r>
            <w:r>
              <w:rPr>
                <w:rFonts w:cs="Times New Roman"/>
                <w:kern w:val="0"/>
                <w:sz w:val="18"/>
                <w:szCs w:val="18"/>
                <w:lang w:bidi="ar"/>
              </w:rPr>
              <w:t>T</w:t>
            </w:r>
            <w:r>
              <w:rPr>
                <w:rFonts w:cs="Times New Roman"/>
                <w:sz w:val="18"/>
                <w:szCs w:val="18"/>
                <w:lang w:bidi="ar"/>
              </w:rPr>
              <w:t>3 (</w:t>
            </w:r>
            <w:r>
              <w:rPr>
                <w:rFonts w:cs="Times New Roman"/>
                <w:kern w:val="0"/>
                <w:sz w:val="18"/>
                <w:szCs w:val="18"/>
                <w:lang w:bidi="ar"/>
              </w:rPr>
              <w:t>0.17-0.67</w:t>
            </w:r>
            <w:r>
              <w:rPr>
                <w:rFonts w:cs="Times New Roman"/>
                <w:sz w:val="18"/>
                <w:szCs w:val="18"/>
                <w:lang w:bidi="ar"/>
              </w:rPr>
              <w:t>)</w:t>
            </w:r>
          </w:p>
        </w:tc>
        <w:tc>
          <w:tcPr>
            <w:tcW w:w="1784" w:type="dxa"/>
            <w:tcBorders>
              <w:top w:val="nil"/>
              <w:left w:val="nil"/>
              <w:bottom w:val="nil"/>
              <w:right w:val="nil"/>
            </w:tcBorders>
            <w:vAlign w:val="center"/>
          </w:tcPr>
          <w:p w14:paraId="08513573">
            <w:pPr>
              <w:jc w:val="center"/>
              <w:rPr>
                <w:rFonts w:cs="Times New Roman"/>
                <w:kern w:val="0"/>
                <w:sz w:val="18"/>
                <w:szCs w:val="18"/>
              </w:rPr>
            </w:pPr>
            <w:r>
              <w:rPr>
                <w:rFonts w:cs="Times New Roman"/>
                <w:kern w:val="0"/>
                <w:sz w:val="18"/>
                <w:szCs w:val="18"/>
                <w:lang w:bidi="ar"/>
              </w:rPr>
              <w:t>9.43 (6.89~12.9)</w:t>
            </w:r>
          </w:p>
        </w:tc>
        <w:tc>
          <w:tcPr>
            <w:tcW w:w="880" w:type="dxa"/>
            <w:tcBorders>
              <w:top w:val="nil"/>
              <w:left w:val="nil"/>
              <w:bottom w:val="nil"/>
              <w:right w:val="nil"/>
            </w:tcBorders>
          </w:tcPr>
          <w:p w14:paraId="2E7C21B8">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nil"/>
              <w:right w:val="nil"/>
            </w:tcBorders>
            <w:vAlign w:val="center"/>
          </w:tcPr>
          <w:p w14:paraId="6B26585F">
            <w:pPr>
              <w:jc w:val="center"/>
              <w:rPr>
                <w:rFonts w:cs="Times New Roman"/>
                <w:kern w:val="0"/>
                <w:sz w:val="18"/>
                <w:szCs w:val="18"/>
              </w:rPr>
            </w:pPr>
            <w:r>
              <w:rPr>
                <w:rFonts w:cs="Times New Roman"/>
                <w:kern w:val="0"/>
                <w:sz w:val="18"/>
                <w:szCs w:val="18"/>
                <w:lang w:bidi="ar"/>
              </w:rPr>
              <w:t>4.15 (3.02~5.72)</w:t>
            </w:r>
          </w:p>
        </w:tc>
        <w:tc>
          <w:tcPr>
            <w:tcW w:w="861" w:type="dxa"/>
            <w:tcBorders>
              <w:top w:val="nil"/>
              <w:left w:val="nil"/>
              <w:bottom w:val="nil"/>
              <w:right w:val="nil"/>
            </w:tcBorders>
            <w:vAlign w:val="center"/>
          </w:tcPr>
          <w:p w14:paraId="39192E1F">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nil"/>
              <w:right w:val="nil"/>
            </w:tcBorders>
            <w:vAlign w:val="center"/>
          </w:tcPr>
          <w:p w14:paraId="160B2D9C">
            <w:pPr>
              <w:jc w:val="center"/>
              <w:rPr>
                <w:rFonts w:cs="Times New Roman"/>
                <w:kern w:val="0"/>
                <w:sz w:val="18"/>
                <w:szCs w:val="18"/>
              </w:rPr>
            </w:pPr>
            <w:r>
              <w:rPr>
                <w:rFonts w:cs="Times New Roman"/>
                <w:kern w:val="0"/>
                <w:sz w:val="18"/>
                <w:szCs w:val="18"/>
                <w:lang w:bidi="ar"/>
              </w:rPr>
              <w:t>3.35 (2.33~4.82)</w:t>
            </w:r>
          </w:p>
        </w:tc>
        <w:tc>
          <w:tcPr>
            <w:tcW w:w="912" w:type="dxa"/>
            <w:tcBorders>
              <w:top w:val="nil"/>
              <w:left w:val="nil"/>
              <w:bottom w:val="nil"/>
              <w:right w:val="nil"/>
            </w:tcBorders>
            <w:vAlign w:val="center"/>
          </w:tcPr>
          <w:p w14:paraId="45E1850D">
            <w:pPr>
              <w:jc w:val="center"/>
              <w:rPr>
                <w:rFonts w:cs="Times New Roman"/>
                <w:kern w:val="0"/>
                <w:sz w:val="18"/>
                <w:szCs w:val="18"/>
              </w:rPr>
            </w:pPr>
            <w:r>
              <w:rPr>
                <w:rFonts w:cs="Times New Roman"/>
                <w:kern w:val="0"/>
                <w:sz w:val="18"/>
                <w:szCs w:val="18"/>
                <w:lang w:bidi="ar"/>
              </w:rPr>
              <w:t>&lt;0.001</w:t>
            </w:r>
          </w:p>
        </w:tc>
      </w:tr>
      <w:tr w14:paraId="580512E3">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226" w:hRule="atLeast"/>
          <w:jc w:val="center"/>
        </w:trPr>
        <w:tc>
          <w:tcPr>
            <w:tcW w:w="0" w:type="auto"/>
            <w:tcBorders>
              <w:top w:val="nil"/>
              <w:left w:val="nil"/>
              <w:bottom w:val="single" w:color="auto" w:sz="8" w:space="0"/>
              <w:right w:val="nil"/>
            </w:tcBorders>
          </w:tcPr>
          <w:p w14:paraId="388040D5">
            <w:pPr>
              <w:rPr>
                <w:rFonts w:cs="Times New Roman"/>
                <w:i/>
                <w:iCs/>
                <w:kern w:val="0"/>
                <w:sz w:val="18"/>
                <w:szCs w:val="18"/>
              </w:rPr>
            </w:pPr>
            <w:r>
              <w:rPr>
                <w:rFonts w:cs="Times New Roman"/>
                <w:i/>
                <w:iCs/>
                <w:sz w:val="18"/>
                <w:szCs w:val="18"/>
                <w:lang w:bidi="ar"/>
              </w:rPr>
              <w:t>P</w:t>
            </w:r>
            <w:r>
              <w:rPr>
                <w:rFonts w:cs="Times New Roman"/>
                <w:sz w:val="18"/>
                <w:szCs w:val="18"/>
                <w:lang w:bidi="ar"/>
              </w:rPr>
              <w:t xml:space="preserve"> for trend</w:t>
            </w:r>
          </w:p>
        </w:tc>
        <w:tc>
          <w:tcPr>
            <w:tcW w:w="1784" w:type="dxa"/>
            <w:tcBorders>
              <w:top w:val="nil"/>
              <w:left w:val="nil"/>
              <w:bottom w:val="single" w:color="auto" w:sz="8" w:space="0"/>
              <w:right w:val="nil"/>
            </w:tcBorders>
            <w:vAlign w:val="center"/>
          </w:tcPr>
          <w:p w14:paraId="2B43FE07">
            <w:pPr>
              <w:jc w:val="center"/>
              <w:rPr>
                <w:rFonts w:cs="Times New Roman"/>
                <w:kern w:val="0"/>
                <w:sz w:val="18"/>
                <w:szCs w:val="18"/>
              </w:rPr>
            </w:pPr>
            <w:r>
              <w:rPr>
                <w:rFonts w:cs="Times New Roman"/>
                <w:kern w:val="0"/>
                <w:sz w:val="18"/>
                <w:szCs w:val="18"/>
                <w:lang w:bidi="ar"/>
              </w:rPr>
              <w:t>3.2 (2.79~3.67)</w:t>
            </w:r>
          </w:p>
        </w:tc>
        <w:tc>
          <w:tcPr>
            <w:tcW w:w="880" w:type="dxa"/>
            <w:tcBorders>
              <w:top w:val="nil"/>
              <w:left w:val="nil"/>
              <w:bottom w:val="single" w:color="auto" w:sz="8" w:space="0"/>
              <w:right w:val="nil"/>
            </w:tcBorders>
          </w:tcPr>
          <w:p w14:paraId="6A75136E">
            <w:pPr>
              <w:jc w:val="center"/>
              <w:rPr>
                <w:rFonts w:cs="Times New Roman"/>
                <w:kern w:val="0"/>
                <w:sz w:val="18"/>
                <w:szCs w:val="18"/>
              </w:rPr>
            </w:pPr>
            <w:r>
              <w:rPr>
                <w:rFonts w:cs="Times New Roman"/>
                <w:kern w:val="0"/>
                <w:sz w:val="18"/>
                <w:szCs w:val="18"/>
                <w:lang w:bidi="ar"/>
              </w:rPr>
              <w:t>&lt;0.001</w:t>
            </w:r>
          </w:p>
        </w:tc>
        <w:tc>
          <w:tcPr>
            <w:tcW w:w="1958" w:type="dxa"/>
            <w:tcBorders>
              <w:top w:val="nil"/>
              <w:left w:val="nil"/>
              <w:bottom w:val="single" w:color="auto" w:sz="8" w:space="0"/>
              <w:right w:val="nil"/>
            </w:tcBorders>
            <w:vAlign w:val="center"/>
          </w:tcPr>
          <w:p w14:paraId="28774857">
            <w:pPr>
              <w:jc w:val="center"/>
              <w:rPr>
                <w:rFonts w:cs="Times New Roman"/>
                <w:kern w:val="0"/>
                <w:sz w:val="18"/>
                <w:szCs w:val="18"/>
              </w:rPr>
            </w:pPr>
            <w:r>
              <w:rPr>
                <w:rFonts w:cs="Times New Roman"/>
                <w:kern w:val="0"/>
                <w:sz w:val="18"/>
                <w:szCs w:val="18"/>
                <w:lang w:bidi="ar"/>
              </w:rPr>
              <w:t>2.23 (1.93~2.58)</w:t>
            </w:r>
          </w:p>
        </w:tc>
        <w:tc>
          <w:tcPr>
            <w:tcW w:w="861" w:type="dxa"/>
            <w:tcBorders>
              <w:top w:val="nil"/>
              <w:left w:val="nil"/>
              <w:bottom w:val="single" w:color="auto" w:sz="8" w:space="0"/>
              <w:right w:val="nil"/>
            </w:tcBorders>
            <w:vAlign w:val="center"/>
          </w:tcPr>
          <w:p w14:paraId="031F023B">
            <w:pPr>
              <w:jc w:val="center"/>
              <w:rPr>
                <w:rFonts w:cs="Times New Roman"/>
                <w:kern w:val="0"/>
                <w:sz w:val="18"/>
                <w:szCs w:val="18"/>
              </w:rPr>
            </w:pPr>
            <w:r>
              <w:rPr>
                <w:rFonts w:cs="Times New Roman"/>
                <w:kern w:val="0"/>
                <w:sz w:val="18"/>
                <w:szCs w:val="18"/>
                <w:lang w:bidi="ar"/>
              </w:rPr>
              <w:t>&lt;0.001</w:t>
            </w:r>
          </w:p>
        </w:tc>
        <w:tc>
          <w:tcPr>
            <w:tcW w:w="1899" w:type="dxa"/>
            <w:tcBorders>
              <w:top w:val="nil"/>
              <w:left w:val="nil"/>
              <w:bottom w:val="single" w:color="auto" w:sz="8" w:space="0"/>
              <w:right w:val="nil"/>
            </w:tcBorders>
            <w:vAlign w:val="center"/>
          </w:tcPr>
          <w:p w14:paraId="57A555FE">
            <w:pPr>
              <w:jc w:val="center"/>
              <w:rPr>
                <w:rFonts w:cs="Times New Roman"/>
                <w:kern w:val="0"/>
                <w:sz w:val="18"/>
                <w:szCs w:val="18"/>
              </w:rPr>
            </w:pPr>
            <w:r>
              <w:rPr>
                <w:rFonts w:cs="Times New Roman"/>
                <w:kern w:val="0"/>
                <w:sz w:val="18"/>
                <w:szCs w:val="18"/>
                <w:lang w:bidi="ar"/>
              </w:rPr>
              <w:t>1.9 (1.62~2.25)</w:t>
            </w:r>
          </w:p>
        </w:tc>
        <w:tc>
          <w:tcPr>
            <w:tcW w:w="912" w:type="dxa"/>
            <w:tcBorders>
              <w:top w:val="nil"/>
              <w:left w:val="nil"/>
              <w:bottom w:val="single" w:color="auto" w:sz="8" w:space="0"/>
              <w:right w:val="nil"/>
            </w:tcBorders>
            <w:vAlign w:val="center"/>
          </w:tcPr>
          <w:p w14:paraId="7CE0D2D4">
            <w:pPr>
              <w:jc w:val="center"/>
              <w:rPr>
                <w:rFonts w:cs="Times New Roman"/>
                <w:kern w:val="0"/>
                <w:sz w:val="18"/>
                <w:szCs w:val="18"/>
              </w:rPr>
            </w:pPr>
            <w:r>
              <w:rPr>
                <w:rFonts w:cs="Times New Roman"/>
                <w:kern w:val="0"/>
                <w:sz w:val="18"/>
                <w:szCs w:val="18"/>
                <w:lang w:bidi="ar"/>
              </w:rPr>
              <w:t>&lt;0.001</w:t>
            </w:r>
          </w:p>
        </w:tc>
      </w:tr>
    </w:tbl>
    <w:p w14:paraId="55B282AD">
      <w:r>
        <w:rPr>
          <w:rFonts w:cs="Times New Roman"/>
          <w:lang w:bidi="ar"/>
        </w:rPr>
        <w:t xml:space="preserve">CI, confidence interval; HR, hazard ratio; T, tertiles; CVD, cardiovascular disease; FI, </w:t>
      </w:r>
      <w:r>
        <w:rPr>
          <w:rFonts w:hint="eastAsia" w:cs="Times New Roman"/>
          <w:lang w:bidi="ar"/>
        </w:rPr>
        <w:t>f</w:t>
      </w:r>
      <w:r>
        <w:rPr>
          <w:rFonts w:cs="Times New Roman"/>
          <w:lang w:bidi="ar"/>
        </w:rPr>
        <w:t>railty index; BMI, body mass index; PIR, poverty income ratio; eGFR, estimated glomerular filtration rate; CVD, cardiovascular disease; CKM, cardiovascular-kidney-metabolic.</w:t>
      </w:r>
    </w:p>
    <w:p w14:paraId="3C4C1C7C">
      <w:r>
        <w:rPr>
          <w:rFonts w:cs="Times New Roman"/>
          <w:lang w:bidi="ar"/>
        </w:rPr>
        <w:t>Model 1: no covariates were adjusted</w:t>
      </w:r>
    </w:p>
    <w:p w14:paraId="4EEDA1A1">
      <w:r>
        <w:rPr>
          <w:rFonts w:cs="Times New Roman"/>
          <w:lang w:bidi="ar"/>
        </w:rPr>
        <w:t>Model 2: Adjusted for age, sex and race</w:t>
      </w:r>
    </w:p>
    <w:p w14:paraId="0D5E7C80">
      <w:pPr>
        <w:rPr>
          <w:rFonts w:cs="Times New Roman"/>
          <w:lang w:bidi="ar"/>
        </w:rPr>
      </w:pPr>
      <w:r>
        <w:rPr>
          <w:rFonts w:cs="Times New Roman"/>
          <w:lang w:bidi="ar"/>
        </w:rPr>
        <w:t>Model 3: Adjusted for age, sex, race, BMI, marital status, PIR, education, smoke, drink, eGFR, hypertension, stroke</w:t>
      </w:r>
    </w:p>
    <w:p w14:paraId="7CDAFA43">
      <w:pPr>
        <w:rPr>
          <w:rFonts w:cs="Times New Roman"/>
          <w:lang w:bidi="ar"/>
        </w:rPr>
      </w:pPr>
    </w:p>
    <w:p w14:paraId="77BFCC48">
      <w:pPr>
        <w:pStyle w:val="3"/>
        <w:rPr>
          <w:rFonts w:ascii="Times New Roman" w:hAnsi="Times New Roman" w:cs="Times New Roman" w:eastAsiaTheme="minorEastAsia"/>
          <w:b/>
          <w:bCs/>
          <w:color w:val="auto"/>
          <w:sz w:val="28"/>
          <w:szCs w:val="28"/>
        </w:rPr>
      </w:pPr>
    </w:p>
    <w:p w14:paraId="140CCE62">
      <w:pPr>
        <w:pStyle w:val="3"/>
        <w:rPr>
          <w:rFonts w:ascii="Times New Roman" w:hAnsi="Times New Roman" w:cs="Times New Roman" w:eastAsiaTheme="minorEastAsia"/>
          <w:b/>
          <w:bCs/>
          <w:color w:val="auto"/>
          <w:sz w:val="28"/>
          <w:szCs w:val="28"/>
        </w:rPr>
      </w:pPr>
    </w:p>
    <w:p w14:paraId="4A56528D">
      <w:pPr>
        <w:pStyle w:val="3"/>
        <w:rPr>
          <w:rFonts w:ascii="Times New Roman" w:hAnsi="Times New Roman" w:cs="Times New Roman" w:eastAsiaTheme="minorEastAsia"/>
          <w:b/>
          <w:bCs/>
          <w:color w:val="auto"/>
          <w:sz w:val="28"/>
          <w:szCs w:val="28"/>
        </w:rPr>
      </w:pPr>
    </w:p>
    <w:p w14:paraId="6CA9D9F7">
      <w:pPr>
        <w:pStyle w:val="3"/>
        <w:rPr>
          <w:rFonts w:ascii="Times New Roman" w:hAnsi="Times New Roman" w:cs="Times New Roman" w:eastAsiaTheme="minorEastAsia"/>
          <w:b/>
          <w:bCs/>
          <w:color w:val="auto"/>
          <w:sz w:val="28"/>
          <w:szCs w:val="28"/>
        </w:rPr>
      </w:pPr>
    </w:p>
    <w:p w14:paraId="4B1BC467">
      <w:pPr>
        <w:pStyle w:val="3"/>
        <w:rPr>
          <w:rFonts w:ascii="Times New Roman" w:hAnsi="Times New Roman" w:cs="Times New Roman" w:eastAsiaTheme="minorEastAsia"/>
          <w:b/>
          <w:bCs/>
          <w:color w:val="auto"/>
          <w:sz w:val="28"/>
          <w:szCs w:val="28"/>
        </w:rPr>
      </w:pPr>
    </w:p>
    <w:p w14:paraId="034A7E03">
      <w:pPr>
        <w:pStyle w:val="3"/>
        <w:rPr>
          <w:rFonts w:ascii="Times New Roman" w:hAnsi="Times New Roman" w:cs="Times New Roman" w:eastAsiaTheme="minorEastAsia"/>
          <w:b/>
          <w:bCs/>
          <w:color w:val="auto"/>
          <w:sz w:val="28"/>
          <w:szCs w:val="28"/>
        </w:rPr>
      </w:pPr>
    </w:p>
    <w:p w14:paraId="5BD0DD5B">
      <w:pPr>
        <w:pStyle w:val="3"/>
        <w:keepNext w:val="0"/>
        <w:keepLines w:val="0"/>
        <w:rPr>
          <w:rFonts w:ascii="Times New Roman" w:hAnsi="Times New Roman" w:cs="Times New Roman" w:eastAsiaTheme="minorEastAsia"/>
          <w:b/>
          <w:bCs/>
          <w:color w:val="auto"/>
          <w:sz w:val="28"/>
          <w:szCs w:val="28"/>
        </w:rPr>
      </w:pPr>
    </w:p>
    <w:p w14:paraId="76C8C29A"/>
    <w:p w14:paraId="0EDE76EC"/>
    <w:p w14:paraId="078501A5"/>
    <w:p w14:paraId="149CDC7A">
      <w:pPr>
        <w:pStyle w:val="3"/>
        <w:keepNext w:val="0"/>
        <w:keepLines w:val="0"/>
      </w:pPr>
      <w:bookmarkStart w:id="42" w:name="_GoBack"/>
      <w:bookmarkEnd w:id="42"/>
      <w:bookmarkStart w:id="20" w:name="_Toc218184819"/>
      <w:r>
        <w:rPr>
          <w:rFonts w:ascii="Times New Roman" w:hAnsi="Times New Roman" w:cs="Times New Roman" w:eastAsiaTheme="minorEastAsia"/>
          <w:b/>
          <w:bCs/>
          <w:color w:val="auto"/>
          <w:sz w:val="28"/>
          <w:szCs w:val="28"/>
        </w:rPr>
        <w:t xml:space="preserve">IV.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Interaction </w:t>
      </w:r>
      <w:r>
        <w:rPr>
          <w:rFonts w:hint="eastAsia" w:ascii="Times New Roman" w:hAnsi="Times New Roman" w:cs="Times New Roman"/>
          <w:b/>
          <w:bCs/>
          <w:color w:val="auto"/>
          <w:sz w:val="28"/>
          <w:szCs w:val="28"/>
        </w:rPr>
        <w:t>a</w:t>
      </w:r>
      <w:r>
        <w:rPr>
          <w:rFonts w:ascii="Times New Roman" w:hAnsi="Times New Roman" w:cs="Times New Roman"/>
          <w:b/>
          <w:bCs/>
          <w:color w:val="auto"/>
          <w:sz w:val="28"/>
          <w:szCs w:val="28"/>
        </w:rPr>
        <w:t>nalyses of TyG and FI</w:t>
      </w:r>
      <w:bookmarkEnd w:id="20"/>
      <w:r>
        <w:rPr>
          <w:rFonts w:ascii="Times New Roman" w:hAnsi="Times New Roman" w:cs="Times New Roman"/>
          <w:b/>
          <w:bCs/>
          <w:color w:val="auto"/>
          <w:sz w:val="28"/>
          <w:szCs w:val="28"/>
        </w:rPr>
        <w:fldChar w:fldCharType="end"/>
      </w:r>
    </w:p>
    <w:p w14:paraId="60C2FD60"/>
    <w:p w14:paraId="337F2989">
      <w:pPr>
        <w:pStyle w:val="4"/>
        <w:rPr>
          <w:rFonts w:ascii="Times New Roman" w:hAnsi="Times New Roman" w:cs="Times New Roman"/>
          <w:color w:val="auto"/>
          <w:sz w:val="24"/>
          <w:szCs w:val="24"/>
          <w:lang w:bidi="ar"/>
        </w:rPr>
      </w:pPr>
      <w:bookmarkStart w:id="21" w:name="_Toc218184820"/>
      <w:r>
        <w:rPr>
          <w:rFonts w:ascii="Times New Roman" w:hAnsi="Times New Roman" w:cs="Times New Roman"/>
          <w:b/>
          <w:bCs/>
          <w:color w:val="auto"/>
          <w:sz w:val="24"/>
          <w:szCs w:val="24"/>
          <w:lang w:bidi="ar"/>
        </w:rPr>
        <w:t>Table S8</w:t>
      </w:r>
      <w:r>
        <w:rPr>
          <w:rFonts w:ascii="Times New Roman" w:hAnsi="Times New Roman" w:cs="Times New Roman"/>
          <w:color w:val="auto"/>
          <w:sz w:val="24"/>
          <w:szCs w:val="24"/>
          <w:lang w:bidi="ar"/>
        </w:rPr>
        <w:t xml:space="preserve"> Additive and multiplicative joint interaction of TyG and frailty index on all-cause mortality</w:t>
      </w:r>
      <w:bookmarkEnd w:id="21"/>
    </w:p>
    <w:tbl>
      <w:tblPr>
        <w:tblStyle w:val="18"/>
        <w:tblW w:w="0" w:type="auto"/>
        <w:jc w:val="center"/>
        <w:tblLayout w:type="autofit"/>
        <w:tblCellMar>
          <w:top w:w="0" w:type="dxa"/>
          <w:left w:w="0" w:type="dxa"/>
          <w:bottom w:w="0" w:type="dxa"/>
          <w:right w:w="0" w:type="dxa"/>
        </w:tblCellMar>
      </w:tblPr>
      <w:tblGrid>
        <w:gridCol w:w="3359"/>
        <w:gridCol w:w="1207"/>
        <w:gridCol w:w="1500"/>
        <w:gridCol w:w="1074"/>
      </w:tblGrid>
      <w:tr w14:paraId="6F8597CC">
        <w:tblPrEx>
          <w:tblCellMar>
            <w:top w:w="0" w:type="dxa"/>
            <w:left w:w="0" w:type="dxa"/>
            <w:bottom w:w="0" w:type="dxa"/>
            <w:right w:w="0" w:type="dxa"/>
          </w:tblCellMar>
        </w:tblPrEx>
        <w:trPr>
          <w:jc w:val="center"/>
        </w:trPr>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3069488F">
            <w:pPr>
              <w:rPr>
                <w:rFonts w:cs="Times New Roman"/>
                <w:b/>
                <w:bCs/>
                <w:lang w:bidi="ar"/>
              </w:rPr>
            </w:pPr>
            <w:r>
              <w:rPr>
                <w:rFonts w:cs="Times New Roman"/>
                <w:b/>
                <w:bCs/>
                <w:lang w:bidi="ar"/>
              </w:rPr>
              <w:t>Measure</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52115CFB">
            <w:pPr>
              <w:rPr>
                <w:rFonts w:cs="Times New Roman"/>
                <w:b/>
                <w:bCs/>
                <w:lang w:bidi="ar"/>
              </w:rPr>
            </w:pPr>
            <w:r>
              <w:rPr>
                <w:rFonts w:cs="Times New Roman"/>
                <w:b/>
                <w:bCs/>
                <w:lang w:bidi="ar"/>
              </w:rPr>
              <w:t>Estimate</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7F28EA83">
            <w:pPr>
              <w:rPr>
                <w:rFonts w:cs="Times New Roman"/>
                <w:b/>
                <w:bCs/>
                <w:lang w:bidi="ar"/>
              </w:rPr>
            </w:pPr>
            <w:r>
              <w:rPr>
                <w:rFonts w:cs="Times New Roman"/>
                <w:b/>
                <w:bCs/>
                <w:lang w:bidi="ar"/>
              </w:rPr>
              <w:t>95% CI</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5FB9A1EB">
            <w:pPr>
              <w:rPr>
                <w:rFonts w:cs="Times New Roman"/>
                <w:b/>
                <w:bCs/>
                <w:lang w:bidi="ar"/>
              </w:rPr>
            </w:pPr>
            <w:r>
              <w:rPr>
                <w:rFonts w:cs="Times New Roman"/>
                <w:b/>
                <w:bCs/>
                <w:lang w:bidi="ar"/>
              </w:rPr>
              <w:t>P-value</w:t>
            </w:r>
          </w:p>
        </w:tc>
      </w:tr>
      <w:tr w14:paraId="3724C351">
        <w:tblPrEx>
          <w:tblCellMar>
            <w:top w:w="0" w:type="dxa"/>
            <w:left w:w="0" w:type="dxa"/>
            <w:bottom w:w="0" w:type="dxa"/>
            <w:right w:w="0" w:type="dxa"/>
          </w:tblCellMar>
        </w:tblPrEx>
        <w:trPr>
          <w:jc w:val="center"/>
        </w:trPr>
        <w:tc>
          <w:tcPr>
            <w:tcW w:w="0" w:type="auto"/>
            <w:tcBorders>
              <w:top w:val="single" w:color="auto" w:sz="6" w:space="0"/>
            </w:tcBorders>
            <w:shd w:val="clear" w:color="auto" w:fill="FFFFFF"/>
            <w:tcMar>
              <w:top w:w="150" w:type="dxa"/>
              <w:left w:w="150" w:type="dxa"/>
              <w:bottom w:w="150" w:type="dxa"/>
              <w:right w:w="150" w:type="dxa"/>
            </w:tcMar>
            <w:vAlign w:val="bottom"/>
          </w:tcPr>
          <w:p w14:paraId="731D6EBC">
            <w:pPr>
              <w:rPr>
                <w:rFonts w:cs="Times New Roman"/>
                <w:b/>
                <w:bCs/>
                <w:lang w:bidi="ar"/>
              </w:rPr>
            </w:pPr>
            <w:r>
              <w:rPr>
                <w:rFonts w:cs="Times New Roman"/>
                <w:b/>
                <w:bCs/>
                <w:lang w:bidi="ar"/>
              </w:rPr>
              <w:t>Individual Effects</w:t>
            </w:r>
          </w:p>
        </w:tc>
        <w:tc>
          <w:tcPr>
            <w:tcW w:w="0" w:type="auto"/>
            <w:tcBorders>
              <w:top w:val="single" w:color="auto" w:sz="6" w:space="0"/>
            </w:tcBorders>
            <w:shd w:val="clear" w:color="auto" w:fill="FFFFFF"/>
            <w:tcMar>
              <w:top w:w="150" w:type="dxa"/>
              <w:left w:w="150" w:type="dxa"/>
              <w:bottom w:w="150" w:type="dxa"/>
              <w:right w:w="150" w:type="dxa"/>
            </w:tcMar>
            <w:vAlign w:val="bottom"/>
          </w:tcPr>
          <w:p w14:paraId="4B2E056D">
            <w:pPr>
              <w:rPr>
                <w:rFonts w:cs="Times New Roman"/>
                <w:lang w:bidi="ar"/>
              </w:rPr>
            </w:pPr>
          </w:p>
        </w:tc>
        <w:tc>
          <w:tcPr>
            <w:tcW w:w="0" w:type="auto"/>
            <w:tcBorders>
              <w:top w:val="single" w:color="auto" w:sz="6" w:space="0"/>
            </w:tcBorders>
            <w:shd w:val="clear" w:color="auto" w:fill="FFFFFF"/>
            <w:tcMar>
              <w:top w:w="150" w:type="dxa"/>
              <w:left w:w="150" w:type="dxa"/>
              <w:bottom w:w="150" w:type="dxa"/>
              <w:right w:w="150" w:type="dxa"/>
            </w:tcMar>
            <w:vAlign w:val="bottom"/>
          </w:tcPr>
          <w:p w14:paraId="3F930C6D">
            <w:pPr>
              <w:rPr>
                <w:rFonts w:cs="Times New Roman"/>
                <w:lang w:bidi="ar"/>
              </w:rPr>
            </w:pPr>
          </w:p>
        </w:tc>
        <w:tc>
          <w:tcPr>
            <w:tcW w:w="0" w:type="auto"/>
            <w:tcBorders>
              <w:top w:val="single" w:color="auto" w:sz="6" w:space="0"/>
            </w:tcBorders>
            <w:shd w:val="clear" w:color="auto" w:fill="FFFFFF"/>
            <w:tcMar>
              <w:top w:w="150" w:type="dxa"/>
              <w:left w:w="150" w:type="dxa"/>
              <w:bottom w:w="150" w:type="dxa"/>
              <w:right w:w="150" w:type="dxa"/>
            </w:tcMar>
            <w:vAlign w:val="bottom"/>
          </w:tcPr>
          <w:p w14:paraId="075085AC">
            <w:pPr>
              <w:rPr>
                <w:rFonts w:cs="Times New Roman"/>
                <w:lang w:bidi="ar"/>
              </w:rPr>
            </w:pPr>
          </w:p>
        </w:tc>
      </w:tr>
      <w:tr w14:paraId="7FEDDA49">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1865DE3C">
            <w:pPr>
              <w:rPr>
                <w:rFonts w:cs="Times New Roman"/>
                <w:lang w:bidi="ar"/>
              </w:rPr>
            </w:pPr>
            <w:r>
              <w:rPr>
                <w:rFonts w:cs="Times New Roman"/>
                <w:lang w:bidi="ar"/>
              </w:rPr>
              <w:t>Reference (FI Low, TyG Low)</w:t>
            </w:r>
          </w:p>
        </w:tc>
        <w:tc>
          <w:tcPr>
            <w:tcW w:w="0" w:type="auto"/>
            <w:shd w:val="clear" w:color="auto" w:fill="FFFFFF"/>
            <w:tcMar>
              <w:top w:w="150" w:type="dxa"/>
              <w:left w:w="150" w:type="dxa"/>
              <w:bottom w:w="150" w:type="dxa"/>
              <w:right w:w="150" w:type="dxa"/>
            </w:tcMar>
            <w:vAlign w:val="bottom"/>
          </w:tcPr>
          <w:p w14:paraId="170B552D">
            <w:pPr>
              <w:rPr>
                <w:rFonts w:cs="Times New Roman"/>
                <w:lang w:bidi="ar"/>
              </w:rPr>
            </w:pPr>
            <w:r>
              <w:rPr>
                <w:rFonts w:cs="Times New Roman"/>
                <w:lang w:bidi="ar"/>
              </w:rPr>
              <w:t>1</w:t>
            </w:r>
          </w:p>
        </w:tc>
        <w:tc>
          <w:tcPr>
            <w:tcW w:w="0" w:type="auto"/>
            <w:shd w:val="clear" w:color="auto" w:fill="FFFFFF"/>
            <w:tcMar>
              <w:top w:w="150" w:type="dxa"/>
              <w:left w:w="150" w:type="dxa"/>
              <w:bottom w:w="150" w:type="dxa"/>
              <w:right w:w="150" w:type="dxa"/>
            </w:tcMar>
            <w:vAlign w:val="bottom"/>
          </w:tcPr>
          <w:p w14:paraId="28CF6DB9">
            <w:pPr>
              <w:rPr>
                <w:rFonts w:cs="Times New Roman"/>
                <w:lang w:bidi="ar"/>
              </w:rPr>
            </w:pPr>
            <w:r>
              <w:rPr>
                <w:rFonts w:cs="Times New Roman"/>
                <w:lang w:bidi="ar"/>
              </w:rPr>
              <w:t>NA</w:t>
            </w:r>
          </w:p>
        </w:tc>
        <w:tc>
          <w:tcPr>
            <w:tcW w:w="0" w:type="auto"/>
            <w:shd w:val="clear" w:color="auto" w:fill="FFFFFF"/>
            <w:tcMar>
              <w:top w:w="150" w:type="dxa"/>
              <w:left w:w="150" w:type="dxa"/>
              <w:bottom w:w="150" w:type="dxa"/>
              <w:right w:w="150" w:type="dxa"/>
            </w:tcMar>
            <w:vAlign w:val="bottom"/>
          </w:tcPr>
          <w:p w14:paraId="38B12BE6">
            <w:pPr>
              <w:rPr>
                <w:rFonts w:cs="Times New Roman"/>
                <w:lang w:bidi="ar"/>
              </w:rPr>
            </w:pPr>
            <w:r>
              <w:rPr>
                <w:rFonts w:cs="Times New Roman"/>
                <w:lang w:bidi="ar"/>
              </w:rPr>
              <w:t>NA</w:t>
            </w:r>
          </w:p>
        </w:tc>
      </w:tr>
      <w:tr w14:paraId="2848E550">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62DC2A83">
            <w:pPr>
              <w:rPr>
                <w:rFonts w:cs="Times New Roman"/>
                <w:lang w:bidi="ar"/>
              </w:rPr>
            </w:pPr>
            <w:r>
              <w:rPr>
                <w:rFonts w:cs="Times New Roman"/>
                <w:lang w:bidi="ar"/>
              </w:rPr>
              <w:t>FI High, TyG Low</w:t>
            </w:r>
          </w:p>
        </w:tc>
        <w:tc>
          <w:tcPr>
            <w:tcW w:w="0" w:type="auto"/>
            <w:shd w:val="clear" w:color="auto" w:fill="FFFFFF"/>
            <w:tcMar>
              <w:top w:w="150" w:type="dxa"/>
              <w:left w:w="150" w:type="dxa"/>
              <w:bottom w:w="150" w:type="dxa"/>
              <w:right w:w="150" w:type="dxa"/>
            </w:tcMar>
            <w:vAlign w:val="bottom"/>
          </w:tcPr>
          <w:p w14:paraId="3357D781">
            <w:pPr>
              <w:rPr>
                <w:rFonts w:cs="Times New Roman"/>
                <w:lang w:bidi="ar"/>
              </w:rPr>
            </w:pPr>
            <w:r>
              <w:rPr>
                <w:rFonts w:cs="Times New Roman"/>
                <w:lang w:bidi="ar"/>
              </w:rPr>
              <w:t>2.58</w:t>
            </w:r>
          </w:p>
        </w:tc>
        <w:tc>
          <w:tcPr>
            <w:tcW w:w="0" w:type="auto"/>
            <w:shd w:val="clear" w:color="auto" w:fill="FFFFFF"/>
            <w:tcMar>
              <w:top w:w="150" w:type="dxa"/>
              <w:left w:w="150" w:type="dxa"/>
              <w:bottom w:w="150" w:type="dxa"/>
              <w:right w:w="150" w:type="dxa"/>
            </w:tcMar>
            <w:vAlign w:val="bottom"/>
          </w:tcPr>
          <w:p w14:paraId="4BF349A1">
            <w:pPr>
              <w:rPr>
                <w:rFonts w:cs="Times New Roman"/>
                <w:lang w:bidi="ar"/>
              </w:rPr>
            </w:pPr>
            <w:r>
              <w:rPr>
                <w:rFonts w:cs="Times New Roman"/>
                <w:lang w:bidi="ar"/>
              </w:rPr>
              <w:t>2.09 - 3.19</w:t>
            </w:r>
          </w:p>
        </w:tc>
        <w:tc>
          <w:tcPr>
            <w:tcW w:w="0" w:type="auto"/>
            <w:shd w:val="clear" w:color="auto" w:fill="FFFFFF"/>
            <w:tcMar>
              <w:top w:w="150" w:type="dxa"/>
              <w:left w:w="150" w:type="dxa"/>
              <w:bottom w:w="150" w:type="dxa"/>
              <w:right w:w="150" w:type="dxa"/>
            </w:tcMar>
            <w:vAlign w:val="bottom"/>
          </w:tcPr>
          <w:p w14:paraId="4F5C7031">
            <w:pPr>
              <w:rPr>
                <w:rFonts w:cs="Times New Roman"/>
                <w:lang w:bidi="ar"/>
              </w:rPr>
            </w:pPr>
            <w:r>
              <w:rPr>
                <w:rFonts w:cs="Times New Roman"/>
                <w:lang w:bidi="ar"/>
              </w:rPr>
              <w:t>&lt;0.001</w:t>
            </w:r>
          </w:p>
        </w:tc>
      </w:tr>
      <w:tr w14:paraId="0B96F81F">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0F91FBEB">
            <w:pPr>
              <w:rPr>
                <w:rFonts w:cs="Times New Roman"/>
                <w:lang w:bidi="ar"/>
              </w:rPr>
            </w:pPr>
            <w:r>
              <w:rPr>
                <w:rFonts w:cs="Times New Roman"/>
                <w:lang w:bidi="ar"/>
              </w:rPr>
              <w:t>FI Low, TyG High</w:t>
            </w:r>
          </w:p>
        </w:tc>
        <w:tc>
          <w:tcPr>
            <w:tcW w:w="0" w:type="auto"/>
            <w:shd w:val="clear" w:color="auto" w:fill="FFFFFF"/>
            <w:tcMar>
              <w:top w:w="150" w:type="dxa"/>
              <w:left w:w="150" w:type="dxa"/>
              <w:bottom w:w="150" w:type="dxa"/>
              <w:right w:w="150" w:type="dxa"/>
            </w:tcMar>
            <w:vAlign w:val="bottom"/>
          </w:tcPr>
          <w:p w14:paraId="6E7A0F48">
            <w:pPr>
              <w:rPr>
                <w:rFonts w:cs="Times New Roman"/>
                <w:lang w:bidi="ar"/>
              </w:rPr>
            </w:pPr>
            <w:r>
              <w:rPr>
                <w:rFonts w:cs="Times New Roman"/>
                <w:lang w:bidi="ar"/>
              </w:rPr>
              <w:t>1.18</w:t>
            </w:r>
          </w:p>
        </w:tc>
        <w:tc>
          <w:tcPr>
            <w:tcW w:w="0" w:type="auto"/>
            <w:shd w:val="clear" w:color="auto" w:fill="FFFFFF"/>
            <w:tcMar>
              <w:top w:w="150" w:type="dxa"/>
              <w:left w:w="150" w:type="dxa"/>
              <w:bottom w:w="150" w:type="dxa"/>
              <w:right w:w="150" w:type="dxa"/>
            </w:tcMar>
            <w:vAlign w:val="bottom"/>
          </w:tcPr>
          <w:p w14:paraId="5BA91DBD">
            <w:pPr>
              <w:rPr>
                <w:rFonts w:cs="Times New Roman"/>
                <w:lang w:bidi="ar"/>
              </w:rPr>
            </w:pPr>
            <w:r>
              <w:rPr>
                <w:rFonts w:cs="Times New Roman"/>
                <w:lang w:bidi="ar"/>
              </w:rPr>
              <w:t>0.93 - 1.50</w:t>
            </w:r>
          </w:p>
        </w:tc>
        <w:tc>
          <w:tcPr>
            <w:tcW w:w="0" w:type="auto"/>
            <w:shd w:val="clear" w:color="auto" w:fill="FFFFFF"/>
            <w:tcMar>
              <w:top w:w="150" w:type="dxa"/>
              <w:left w:w="150" w:type="dxa"/>
              <w:bottom w:w="150" w:type="dxa"/>
              <w:right w:w="150" w:type="dxa"/>
            </w:tcMar>
            <w:vAlign w:val="bottom"/>
          </w:tcPr>
          <w:p w14:paraId="01E6BAC0">
            <w:pPr>
              <w:rPr>
                <w:rFonts w:cs="Times New Roman"/>
                <w:lang w:bidi="ar"/>
              </w:rPr>
            </w:pPr>
            <w:r>
              <w:rPr>
                <w:rFonts w:cs="Times New Roman"/>
                <w:lang w:bidi="ar"/>
              </w:rPr>
              <w:t>0.16</w:t>
            </w:r>
          </w:p>
        </w:tc>
      </w:tr>
      <w:tr w14:paraId="3CBF8913">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39B982B9">
            <w:pPr>
              <w:rPr>
                <w:rFonts w:cs="Times New Roman"/>
                <w:lang w:bidi="ar"/>
              </w:rPr>
            </w:pPr>
            <w:r>
              <w:rPr>
                <w:rFonts w:cs="Times New Roman"/>
                <w:lang w:bidi="ar"/>
              </w:rPr>
              <w:t>Both High (FI High, TyG High)</w:t>
            </w:r>
          </w:p>
        </w:tc>
        <w:tc>
          <w:tcPr>
            <w:tcW w:w="0" w:type="auto"/>
            <w:shd w:val="clear" w:color="auto" w:fill="FFFFFF"/>
            <w:tcMar>
              <w:top w:w="150" w:type="dxa"/>
              <w:left w:w="150" w:type="dxa"/>
              <w:bottom w:w="150" w:type="dxa"/>
              <w:right w:w="150" w:type="dxa"/>
            </w:tcMar>
            <w:vAlign w:val="bottom"/>
          </w:tcPr>
          <w:p w14:paraId="1CD8CC4A">
            <w:pPr>
              <w:rPr>
                <w:rFonts w:cs="Times New Roman"/>
                <w:lang w:bidi="ar"/>
              </w:rPr>
            </w:pPr>
            <w:r>
              <w:rPr>
                <w:rFonts w:cs="Times New Roman"/>
                <w:lang w:bidi="ar"/>
              </w:rPr>
              <w:t>2.26</w:t>
            </w:r>
          </w:p>
        </w:tc>
        <w:tc>
          <w:tcPr>
            <w:tcW w:w="0" w:type="auto"/>
            <w:shd w:val="clear" w:color="auto" w:fill="FFFFFF"/>
            <w:tcMar>
              <w:top w:w="150" w:type="dxa"/>
              <w:left w:w="150" w:type="dxa"/>
              <w:bottom w:w="150" w:type="dxa"/>
              <w:right w:w="150" w:type="dxa"/>
            </w:tcMar>
            <w:vAlign w:val="bottom"/>
          </w:tcPr>
          <w:p w14:paraId="4421FC50">
            <w:pPr>
              <w:rPr>
                <w:rFonts w:cs="Times New Roman"/>
                <w:lang w:bidi="ar"/>
              </w:rPr>
            </w:pPr>
            <w:r>
              <w:rPr>
                <w:rFonts w:cs="Times New Roman"/>
                <w:lang w:bidi="ar"/>
              </w:rPr>
              <w:t>1.83 - 2.78</w:t>
            </w:r>
          </w:p>
        </w:tc>
        <w:tc>
          <w:tcPr>
            <w:tcW w:w="0" w:type="auto"/>
            <w:shd w:val="clear" w:color="auto" w:fill="FFFFFF"/>
            <w:tcMar>
              <w:top w:w="150" w:type="dxa"/>
              <w:left w:w="150" w:type="dxa"/>
              <w:bottom w:w="150" w:type="dxa"/>
              <w:right w:w="150" w:type="dxa"/>
            </w:tcMar>
            <w:vAlign w:val="bottom"/>
          </w:tcPr>
          <w:p w14:paraId="66D96333">
            <w:pPr>
              <w:rPr>
                <w:rFonts w:cs="Times New Roman"/>
                <w:lang w:bidi="ar"/>
              </w:rPr>
            </w:pPr>
            <w:r>
              <w:rPr>
                <w:rFonts w:cs="Times New Roman"/>
                <w:lang w:bidi="ar"/>
              </w:rPr>
              <w:t>&lt;0.001</w:t>
            </w:r>
          </w:p>
        </w:tc>
      </w:tr>
      <w:tr w14:paraId="39BF616C">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1AFA66CF">
            <w:pPr>
              <w:rPr>
                <w:rFonts w:cs="Times New Roman"/>
                <w:lang w:bidi="ar"/>
              </w:rPr>
            </w:pPr>
            <w:r>
              <w:rPr>
                <w:rFonts w:cs="Times New Roman"/>
                <w:b/>
                <w:bCs/>
                <w:lang w:bidi="ar"/>
              </w:rPr>
              <w:t>Multiplicative Interaction</w:t>
            </w:r>
          </w:p>
        </w:tc>
        <w:tc>
          <w:tcPr>
            <w:tcW w:w="0" w:type="auto"/>
            <w:shd w:val="clear" w:color="auto" w:fill="FFFFFF"/>
            <w:tcMar>
              <w:top w:w="150" w:type="dxa"/>
              <w:left w:w="150" w:type="dxa"/>
              <w:bottom w:w="150" w:type="dxa"/>
              <w:right w:w="150" w:type="dxa"/>
            </w:tcMar>
            <w:vAlign w:val="bottom"/>
          </w:tcPr>
          <w:p w14:paraId="1346E2ED">
            <w:pPr>
              <w:rPr>
                <w:rFonts w:cs="Times New Roman"/>
                <w:lang w:bidi="ar"/>
              </w:rPr>
            </w:pPr>
          </w:p>
        </w:tc>
        <w:tc>
          <w:tcPr>
            <w:tcW w:w="0" w:type="auto"/>
            <w:shd w:val="clear" w:color="auto" w:fill="FFFFFF"/>
            <w:tcMar>
              <w:top w:w="150" w:type="dxa"/>
              <w:left w:w="150" w:type="dxa"/>
              <w:bottom w:w="150" w:type="dxa"/>
              <w:right w:w="150" w:type="dxa"/>
            </w:tcMar>
            <w:vAlign w:val="bottom"/>
          </w:tcPr>
          <w:p w14:paraId="217C5BC4">
            <w:pPr>
              <w:rPr>
                <w:rFonts w:cs="Times New Roman"/>
                <w:lang w:bidi="ar"/>
              </w:rPr>
            </w:pPr>
          </w:p>
        </w:tc>
        <w:tc>
          <w:tcPr>
            <w:tcW w:w="0" w:type="auto"/>
            <w:shd w:val="clear" w:color="auto" w:fill="FFFFFF"/>
            <w:tcMar>
              <w:top w:w="150" w:type="dxa"/>
              <w:left w:w="150" w:type="dxa"/>
              <w:bottom w:w="150" w:type="dxa"/>
              <w:right w:w="150" w:type="dxa"/>
            </w:tcMar>
            <w:vAlign w:val="bottom"/>
          </w:tcPr>
          <w:p w14:paraId="3AD9347D">
            <w:pPr>
              <w:rPr>
                <w:rFonts w:cs="Times New Roman"/>
                <w:lang w:bidi="ar"/>
              </w:rPr>
            </w:pPr>
          </w:p>
        </w:tc>
      </w:tr>
      <w:tr w14:paraId="196982E6">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7E09470B">
            <w:pPr>
              <w:rPr>
                <w:rFonts w:cs="Times New Roman"/>
                <w:lang w:bidi="ar"/>
              </w:rPr>
            </w:pPr>
            <w:r>
              <w:rPr>
                <w:rFonts w:cs="Times New Roman"/>
                <w:lang w:bidi="ar"/>
              </w:rPr>
              <w:t>HR (Both High vs. Reference)</w:t>
            </w:r>
          </w:p>
        </w:tc>
        <w:tc>
          <w:tcPr>
            <w:tcW w:w="0" w:type="auto"/>
            <w:shd w:val="clear" w:color="auto" w:fill="FFFFFF"/>
            <w:tcMar>
              <w:top w:w="150" w:type="dxa"/>
              <w:left w:w="150" w:type="dxa"/>
              <w:bottom w:w="150" w:type="dxa"/>
              <w:right w:w="150" w:type="dxa"/>
            </w:tcMar>
            <w:vAlign w:val="bottom"/>
          </w:tcPr>
          <w:p w14:paraId="44F776E5">
            <w:pPr>
              <w:rPr>
                <w:rFonts w:cs="Times New Roman"/>
                <w:lang w:bidi="ar"/>
              </w:rPr>
            </w:pPr>
            <w:r>
              <w:rPr>
                <w:rFonts w:cs="Times New Roman"/>
                <w:lang w:bidi="ar"/>
              </w:rPr>
              <w:t>0.74</w:t>
            </w:r>
          </w:p>
        </w:tc>
        <w:tc>
          <w:tcPr>
            <w:tcW w:w="0" w:type="auto"/>
            <w:shd w:val="clear" w:color="auto" w:fill="FFFFFF"/>
            <w:tcMar>
              <w:top w:w="150" w:type="dxa"/>
              <w:left w:w="150" w:type="dxa"/>
              <w:bottom w:w="150" w:type="dxa"/>
              <w:right w:w="150" w:type="dxa"/>
            </w:tcMar>
            <w:vAlign w:val="bottom"/>
          </w:tcPr>
          <w:p w14:paraId="6498F972">
            <w:pPr>
              <w:rPr>
                <w:rFonts w:cs="Times New Roman"/>
                <w:lang w:bidi="ar"/>
              </w:rPr>
            </w:pPr>
            <w:r>
              <w:rPr>
                <w:rFonts w:cs="Times New Roman"/>
                <w:lang w:bidi="ar"/>
              </w:rPr>
              <w:t>0.57 - 0.97</w:t>
            </w:r>
          </w:p>
        </w:tc>
        <w:tc>
          <w:tcPr>
            <w:tcW w:w="0" w:type="auto"/>
            <w:shd w:val="clear" w:color="auto" w:fill="FFFFFF"/>
            <w:tcMar>
              <w:top w:w="150" w:type="dxa"/>
              <w:left w:w="150" w:type="dxa"/>
              <w:bottom w:w="150" w:type="dxa"/>
              <w:right w:w="150" w:type="dxa"/>
            </w:tcMar>
            <w:vAlign w:val="bottom"/>
          </w:tcPr>
          <w:p w14:paraId="5BA6647A">
            <w:pPr>
              <w:rPr>
                <w:rFonts w:cs="Times New Roman"/>
                <w:lang w:bidi="ar"/>
              </w:rPr>
            </w:pPr>
            <w:r>
              <w:rPr>
                <w:rFonts w:cs="Times New Roman"/>
                <w:b/>
                <w:bCs/>
                <w:lang w:bidi="ar"/>
              </w:rPr>
              <w:t>0.03</w:t>
            </w:r>
          </w:p>
        </w:tc>
      </w:tr>
      <w:tr w14:paraId="11D14CF3">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7FCF7E94">
            <w:pPr>
              <w:rPr>
                <w:rFonts w:cs="Times New Roman"/>
                <w:lang w:bidi="ar"/>
              </w:rPr>
            </w:pPr>
            <w:r>
              <w:rPr>
                <w:rFonts w:cs="Times New Roman"/>
                <w:b/>
                <w:bCs/>
                <w:lang w:bidi="ar"/>
              </w:rPr>
              <w:t>Additive Interaction</w:t>
            </w:r>
          </w:p>
        </w:tc>
        <w:tc>
          <w:tcPr>
            <w:tcW w:w="0" w:type="auto"/>
            <w:shd w:val="clear" w:color="auto" w:fill="FFFFFF"/>
            <w:tcMar>
              <w:top w:w="150" w:type="dxa"/>
              <w:left w:w="150" w:type="dxa"/>
              <w:bottom w:w="150" w:type="dxa"/>
              <w:right w:w="150" w:type="dxa"/>
            </w:tcMar>
            <w:vAlign w:val="bottom"/>
          </w:tcPr>
          <w:p w14:paraId="5637E97A">
            <w:pPr>
              <w:rPr>
                <w:rFonts w:cs="Times New Roman"/>
                <w:lang w:bidi="ar"/>
              </w:rPr>
            </w:pPr>
          </w:p>
        </w:tc>
        <w:tc>
          <w:tcPr>
            <w:tcW w:w="0" w:type="auto"/>
            <w:shd w:val="clear" w:color="auto" w:fill="FFFFFF"/>
            <w:tcMar>
              <w:top w:w="150" w:type="dxa"/>
              <w:left w:w="150" w:type="dxa"/>
              <w:bottom w:w="150" w:type="dxa"/>
              <w:right w:w="150" w:type="dxa"/>
            </w:tcMar>
            <w:vAlign w:val="bottom"/>
          </w:tcPr>
          <w:p w14:paraId="3A04D4F2">
            <w:pPr>
              <w:rPr>
                <w:rFonts w:cs="Times New Roman"/>
                <w:lang w:bidi="ar"/>
              </w:rPr>
            </w:pPr>
          </w:p>
        </w:tc>
        <w:tc>
          <w:tcPr>
            <w:tcW w:w="0" w:type="auto"/>
            <w:shd w:val="clear" w:color="auto" w:fill="FFFFFF"/>
            <w:tcMar>
              <w:top w:w="150" w:type="dxa"/>
              <w:left w:w="150" w:type="dxa"/>
              <w:bottom w:w="150" w:type="dxa"/>
              <w:right w:w="150" w:type="dxa"/>
            </w:tcMar>
            <w:vAlign w:val="bottom"/>
          </w:tcPr>
          <w:p w14:paraId="666A29C5">
            <w:pPr>
              <w:rPr>
                <w:rFonts w:cs="Times New Roman"/>
                <w:lang w:bidi="ar"/>
              </w:rPr>
            </w:pPr>
          </w:p>
        </w:tc>
      </w:tr>
      <w:tr w14:paraId="2E94345D">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2581CCB6">
            <w:pPr>
              <w:rPr>
                <w:rFonts w:cs="Times New Roman"/>
                <w:lang w:bidi="ar"/>
              </w:rPr>
            </w:pPr>
            <w:r>
              <w:rPr>
                <w:rFonts w:cs="Times New Roman"/>
                <w:lang w:bidi="ar"/>
              </w:rPr>
              <w:t>RERI</w:t>
            </w:r>
          </w:p>
        </w:tc>
        <w:tc>
          <w:tcPr>
            <w:tcW w:w="0" w:type="auto"/>
            <w:shd w:val="clear" w:color="auto" w:fill="FFFFFF"/>
            <w:tcMar>
              <w:top w:w="150" w:type="dxa"/>
              <w:left w:w="150" w:type="dxa"/>
              <w:bottom w:w="150" w:type="dxa"/>
              <w:right w:w="150" w:type="dxa"/>
            </w:tcMar>
            <w:vAlign w:val="bottom"/>
          </w:tcPr>
          <w:p w14:paraId="7F973210">
            <w:pPr>
              <w:rPr>
                <w:rFonts w:cs="Times New Roman"/>
                <w:lang w:bidi="ar"/>
              </w:rPr>
            </w:pPr>
            <w:r>
              <w:rPr>
                <w:rFonts w:cs="Times New Roman"/>
                <w:lang w:bidi="ar"/>
              </w:rPr>
              <w:t>-0.51</w:t>
            </w:r>
          </w:p>
        </w:tc>
        <w:tc>
          <w:tcPr>
            <w:tcW w:w="0" w:type="auto"/>
            <w:shd w:val="clear" w:color="auto" w:fill="FFFFFF"/>
            <w:tcMar>
              <w:top w:w="150" w:type="dxa"/>
              <w:left w:w="150" w:type="dxa"/>
              <w:bottom w:w="150" w:type="dxa"/>
              <w:right w:w="150" w:type="dxa"/>
            </w:tcMar>
            <w:vAlign w:val="bottom"/>
          </w:tcPr>
          <w:p w14:paraId="666888BF">
            <w:pPr>
              <w:rPr>
                <w:rFonts w:cs="Times New Roman"/>
                <w:lang w:bidi="ar"/>
              </w:rPr>
            </w:pPr>
            <w:r>
              <w:rPr>
                <w:rFonts w:cs="Times New Roman"/>
                <w:lang w:bidi="ar"/>
              </w:rPr>
              <w:t>-0.96 - -0.06</w:t>
            </w:r>
          </w:p>
        </w:tc>
        <w:tc>
          <w:tcPr>
            <w:tcW w:w="0" w:type="auto"/>
            <w:shd w:val="clear" w:color="auto" w:fill="FFFFFF"/>
            <w:tcMar>
              <w:top w:w="150" w:type="dxa"/>
              <w:left w:w="150" w:type="dxa"/>
              <w:bottom w:w="150" w:type="dxa"/>
              <w:right w:w="150" w:type="dxa"/>
            </w:tcMar>
            <w:vAlign w:val="bottom"/>
          </w:tcPr>
          <w:p w14:paraId="5352E7D2">
            <w:pPr>
              <w:rPr>
                <w:rFonts w:cs="Times New Roman"/>
                <w:lang w:bidi="ar"/>
              </w:rPr>
            </w:pPr>
            <w:r>
              <w:rPr>
                <w:rFonts w:cs="Times New Roman"/>
                <w:lang w:bidi="ar"/>
              </w:rPr>
              <w:t>0.99</w:t>
            </w:r>
          </w:p>
        </w:tc>
      </w:tr>
      <w:tr w14:paraId="302E34A7">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06A99BCC">
            <w:pPr>
              <w:rPr>
                <w:rFonts w:cs="Times New Roman"/>
                <w:lang w:bidi="ar"/>
              </w:rPr>
            </w:pPr>
            <w:r>
              <w:rPr>
                <w:rFonts w:cs="Times New Roman"/>
                <w:lang w:bidi="ar"/>
              </w:rPr>
              <w:t>AP</w:t>
            </w:r>
            <w:r>
              <w:rPr>
                <w:rFonts w:hint="eastAsia" w:cs="Times New Roman"/>
                <w:lang w:bidi="ar"/>
              </w:rPr>
              <w:t xml:space="preserve"> </w:t>
            </w:r>
          </w:p>
        </w:tc>
        <w:tc>
          <w:tcPr>
            <w:tcW w:w="0" w:type="auto"/>
            <w:shd w:val="clear" w:color="auto" w:fill="FFFFFF"/>
            <w:tcMar>
              <w:top w:w="150" w:type="dxa"/>
              <w:left w:w="150" w:type="dxa"/>
              <w:bottom w:w="150" w:type="dxa"/>
              <w:right w:w="150" w:type="dxa"/>
            </w:tcMar>
            <w:vAlign w:val="bottom"/>
          </w:tcPr>
          <w:p w14:paraId="33CA8394">
            <w:pPr>
              <w:rPr>
                <w:rFonts w:cs="Times New Roman"/>
                <w:lang w:bidi="ar"/>
              </w:rPr>
            </w:pPr>
            <w:r>
              <w:rPr>
                <w:rFonts w:cs="Times New Roman"/>
                <w:lang w:bidi="ar"/>
              </w:rPr>
              <w:t>-0.22</w:t>
            </w:r>
          </w:p>
        </w:tc>
        <w:tc>
          <w:tcPr>
            <w:tcW w:w="0" w:type="auto"/>
            <w:shd w:val="clear" w:color="auto" w:fill="FFFFFF"/>
            <w:tcMar>
              <w:top w:w="150" w:type="dxa"/>
              <w:left w:w="150" w:type="dxa"/>
              <w:bottom w:w="150" w:type="dxa"/>
              <w:right w:w="150" w:type="dxa"/>
            </w:tcMar>
            <w:vAlign w:val="bottom"/>
          </w:tcPr>
          <w:p w14:paraId="7B268D85">
            <w:pPr>
              <w:rPr>
                <w:rFonts w:cs="Times New Roman"/>
                <w:lang w:bidi="ar"/>
              </w:rPr>
            </w:pPr>
            <w:r>
              <w:rPr>
                <w:rFonts w:cs="Times New Roman"/>
                <w:lang w:bidi="ar"/>
              </w:rPr>
              <w:t>-0.41 - -0.04</w:t>
            </w:r>
          </w:p>
        </w:tc>
        <w:tc>
          <w:tcPr>
            <w:tcW w:w="0" w:type="auto"/>
            <w:shd w:val="clear" w:color="auto" w:fill="FFFFFF"/>
            <w:tcMar>
              <w:top w:w="150" w:type="dxa"/>
              <w:left w:w="150" w:type="dxa"/>
              <w:bottom w:w="150" w:type="dxa"/>
              <w:right w:w="150" w:type="dxa"/>
            </w:tcMar>
            <w:vAlign w:val="bottom"/>
          </w:tcPr>
          <w:p w14:paraId="11100F78">
            <w:pPr>
              <w:rPr>
                <w:rFonts w:cs="Times New Roman"/>
                <w:lang w:bidi="ar"/>
              </w:rPr>
            </w:pPr>
            <w:r>
              <w:rPr>
                <w:rFonts w:cs="Times New Roman"/>
                <w:lang w:bidi="ar"/>
              </w:rPr>
              <w:t>0.01</w:t>
            </w:r>
          </w:p>
        </w:tc>
      </w:tr>
      <w:tr w14:paraId="24A9F25C">
        <w:tblPrEx>
          <w:tblCellMar>
            <w:top w:w="0" w:type="dxa"/>
            <w:left w:w="0" w:type="dxa"/>
            <w:bottom w:w="0" w:type="dxa"/>
            <w:right w:w="0" w:type="dxa"/>
          </w:tblCellMar>
        </w:tblPrEx>
        <w:trPr>
          <w:jc w:val="center"/>
        </w:trPr>
        <w:tc>
          <w:tcPr>
            <w:tcW w:w="0" w:type="auto"/>
            <w:tcBorders>
              <w:bottom w:val="single" w:color="auto" w:sz="12" w:space="0"/>
            </w:tcBorders>
            <w:shd w:val="clear" w:color="auto" w:fill="FFFFFF"/>
            <w:tcMar>
              <w:top w:w="150" w:type="dxa"/>
              <w:left w:w="150" w:type="dxa"/>
              <w:bottom w:w="150" w:type="dxa"/>
              <w:right w:w="150" w:type="dxa"/>
            </w:tcMar>
            <w:vAlign w:val="bottom"/>
          </w:tcPr>
          <w:p w14:paraId="77A6BE23">
            <w:pPr>
              <w:rPr>
                <w:rFonts w:cs="Times New Roman"/>
                <w:lang w:bidi="ar"/>
              </w:rPr>
            </w:pPr>
            <w:r>
              <w:rPr>
                <w:rFonts w:cs="Times New Roman"/>
                <w:lang w:bidi="ar"/>
              </w:rPr>
              <w:t>SI</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52D92BE4">
            <w:pPr>
              <w:rPr>
                <w:rFonts w:cs="Times New Roman"/>
                <w:lang w:bidi="ar"/>
              </w:rPr>
            </w:pPr>
            <w:r>
              <w:rPr>
                <w:rFonts w:cs="Times New Roman"/>
                <w:lang w:bidi="ar"/>
              </w:rPr>
              <w:t>0.71</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7075A84F">
            <w:pPr>
              <w:rPr>
                <w:rFonts w:cs="Times New Roman"/>
                <w:lang w:bidi="ar"/>
              </w:rPr>
            </w:pPr>
            <w:r>
              <w:rPr>
                <w:rFonts w:cs="Times New Roman"/>
                <w:lang w:bidi="ar"/>
              </w:rPr>
              <w:t>0.56 - 0.90</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6CC6E0C6">
            <w:pPr>
              <w:rPr>
                <w:rFonts w:cs="Times New Roman"/>
                <w:lang w:bidi="ar"/>
              </w:rPr>
            </w:pPr>
            <w:r>
              <w:rPr>
                <w:rFonts w:cs="Times New Roman"/>
                <w:lang w:bidi="ar"/>
              </w:rPr>
              <w:t>0.48</w:t>
            </w:r>
          </w:p>
        </w:tc>
      </w:tr>
    </w:tbl>
    <w:p w14:paraId="26C37297">
      <w:pPr>
        <w:rPr>
          <w:rFonts w:cs="Times New Roman"/>
          <w:lang w:bidi="ar"/>
        </w:rPr>
      </w:pPr>
      <w:r>
        <w:rPr>
          <w:rFonts w:cs="Times New Roman"/>
          <w:lang w:bidi="ar"/>
        </w:rPr>
        <w:t>Note: FI Low is defined as FI &lt; 0.13, FI High as FI ≥ 0.13; TyG Low is defined as TyG &lt; 8.62, TyG High as TyG ≥ 8.62. The terms "RERI", "AP", and "SI" refer to relative excess risk due to interaction, attributable proportion due to interaction, and synergy index, respectively.</w:t>
      </w:r>
    </w:p>
    <w:p w14:paraId="330FC30E">
      <w:pPr>
        <w:rPr>
          <w:rFonts w:cs="Times New Roman"/>
          <w:lang w:bidi="ar"/>
        </w:rPr>
      </w:pPr>
      <w:r>
        <w:rPr>
          <w:rFonts w:cs="Times New Roman"/>
          <w:lang w:bidi="ar"/>
        </w:rPr>
        <w:t xml:space="preserve"> </w:t>
      </w:r>
    </w:p>
    <w:p w14:paraId="7EBAAC66">
      <w:pPr>
        <w:pStyle w:val="4"/>
        <w:rPr>
          <w:rFonts w:ascii="Times New Roman" w:hAnsi="Times New Roman" w:cs="Times New Roman"/>
          <w:b/>
          <w:bCs/>
          <w:color w:val="auto"/>
          <w:sz w:val="24"/>
          <w:szCs w:val="24"/>
          <w:lang w:bidi="ar"/>
        </w:rPr>
      </w:pPr>
    </w:p>
    <w:p w14:paraId="5A74CDB9">
      <w:pPr>
        <w:pStyle w:val="4"/>
        <w:rPr>
          <w:rFonts w:ascii="Times New Roman" w:hAnsi="Times New Roman" w:cs="Times New Roman"/>
          <w:b/>
          <w:bCs/>
          <w:color w:val="auto"/>
          <w:sz w:val="24"/>
          <w:szCs w:val="24"/>
          <w:lang w:bidi="ar"/>
        </w:rPr>
      </w:pPr>
    </w:p>
    <w:p w14:paraId="4E051809">
      <w:pPr>
        <w:pStyle w:val="4"/>
        <w:rPr>
          <w:rFonts w:ascii="Times New Roman" w:hAnsi="Times New Roman" w:cs="Times New Roman"/>
          <w:b/>
          <w:bCs/>
          <w:color w:val="auto"/>
          <w:sz w:val="24"/>
          <w:szCs w:val="24"/>
          <w:lang w:bidi="ar"/>
        </w:rPr>
      </w:pPr>
    </w:p>
    <w:p w14:paraId="3477E557">
      <w:pPr>
        <w:pStyle w:val="4"/>
        <w:rPr>
          <w:rFonts w:ascii="Times New Roman" w:hAnsi="Times New Roman" w:cs="Times New Roman"/>
          <w:b/>
          <w:bCs/>
          <w:color w:val="auto"/>
          <w:sz w:val="24"/>
          <w:szCs w:val="24"/>
          <w:lang w:bidi="ar"/>
        </w:rPr>
      </w:pPr>
    </w:p>
    <w:p w14:paraId="76A60CCC">
      <w:pPr>
        <w:pStyle w:val="4"/>
        <w:keepNext w:val="0"/>
        <w:keepLines w:val="0"/>
        <w:rPr>
          <w:rFonts w:ascii="Times New Roman" w:hAnsi="Times New Roman" w:cs="Times New Roman"/>
          <w:b/>
          <w:bCs/>
          <w:color w:val="auto"/>
          <w:sz w:val="24"/>
          <w:szCs w:val="24"/>
          <w:lang w:bidi="ar"/>
        </w:rPr>
      </w:pPr>
    </w:p>
    <w:p w14:paraId="5B45F847">
      <w:pPr>
        <w:pStyle w:val="4"/>
        <w:keepNext w:val="0"/>
        <w:keepLines w:val="0"/>
        <w:rPr>
          <w:rFonts w:ascii="Times New Roman" w:hAnsi="Times New Roman" w:cs="Times New Roman"/>
          <w:b/>
          <w:bCs/>
          <w:color w:val="auto"/>
          <w:sz w:val="24"/>
          <w:szCs w:val="24"/>
          <w:lang w:bidi="ar"/>
        </w:rPr>
      </w:pPr>
    </w:p>
    <w:p w14:paraId="26529389">
      <w:pPr>
        <w:pStyle w:val="4"/>
        <w:keepNext w:val="0"/>
        <w:keepLines w:val="0"/>
        <w:rPr>
          <w:rFonts w:ascii="Times New Roman" w:hAnsi="Times New Roman" w:cs="Times New Roman"/>
          <w:color w:val="auto"/>
          <w:sz w:val="24"/>
          <w:szCs w:val="24"/>
          <w:lang w:bidi="ar"/>
        </w:rPr>
      </w:pPr>
      <w:bookmarkStart w:id="22" w:name="_Toc218184821"/>
      <w:r>
        <w:rPr>
          <w:rFonts w:ascii="Times New Roman" w:hAnsi="Times New Roman" w:cs="Times New Roman"/>
          <w:b/>
          <w:bCs/>
          <w:color w:val="auto"/>
          <w:sz w:val="24"/>
          <w:szCs w:val="24"/>
          <w:lang w:bidi="ar"/>
        </w:rPr>
        <w:t>Table S9</w:t>
      </w:r>
      <w:r>
        <w:rPr>
          <w:rFonts w:ascii="Times New Roman" w:hAnsi="Times New Roman" w:cs="Times New Roman"/>
          <w:color w:val="auto"/>
          <w:sz w:val="24"/>
          <w:szCs w:val="24"/>
          <w:lang w:bidi="ar"/>
        </w:rPr>
        <w:t xml:space="preserve"> Additive and multiplicative joint interaction of TyG and frailty index on CVD mortality</w:t>
      </w:r>
      <w:bookmarkEnd w:id="22"/>
    </w:p>
    <w:tbl>
      <w:tblPr>
        <w:tblStyle w:val="18"/>
        <w:tblW w:w="0" w:type="auto"/>
        <w:jc w:val="center"/>
        <w:tblLayout w:type="autofit"/>
        <w:tblCellMar>
          <w:top w:w="0" w:type="dxa"/>
          <w:left w:w="0" w:type="dxa"/>
          <w:bottom w:w="0" w:type="dxa"/>
          <w:right w:w="0" w:type="dxa"/>
        </w:tblCellMar>
      </w:tblPr>
      <w:tblGrid>
        <w:gridCol w:w="4074"/>
        <w:gridCol w:w="1207"/>
        <w:gridCol w:w="1420"/>
        <w:gridCol w:w="1074"/>
      </w:tblGrid>
      <w:tr w14:paraId="68A02299">
        <w:tblPrEx>
          <w:tblCellMar>
            <w:top w:w="0" w:type="dxa"/>
            <w:left w:w="0" w:type="dxa"/>
            <w:bottom w:w="0" w:type="dxa"/>
            <w:right w:w="0" w:type="dxa"/>
          </w:tblCellMar>
        </w:tblPrEx>
        <w:trPr>
          <w:jc w:val="center"/>
        </w:trPr>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48F2BD25">
            <w:pPr>
              <w:rPr>
                <w:rFonts w:cs="Times New Roman"/>
                <w:b/>
                <w:bCs/>
                <w:lang w:bidi="ar"/>
              </w:rPr>
            </w:pPr>
            <w:r>
              <w:rPr>
                <w:rFonts w:cs="Times New Roman"/>
                <w:b/>
                <w:bCs/>
                <w:lang w:bidi="ar"/>
              </w:rPr>
              <w:t>Measure</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234F0E22">
            <w:pPr>
              <w:rPr>
                <w:rFonts w:cs="Times New Roman"/>
                <w:b/>
                <w:bCs/>
                <w:lang w:bidi="ar"/>
              </w:rPr>
            </w:pPr>
            <w:r>
              <w:rPr>
                <w:rFonts w:cs="Times New Roman"/>
                <w:b/>
                <w:bCs/>
                <w:lang w:bidi="ar"/>
              </w:rPr>
              <w:t>Estimate</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2ADDF217">
            <w:pPr>
              <w:rPr>
                <w:rFonts w:cs="Times New Roman"/>
                <w:b/>
                <w:bCs/>
                <w:lang w:bidi="ar"/>
              </w:rPr>
            </w:pPr>
            <w:r>
              <w:rPr>
                <w:rFonts w:cs="Times New Roman"/>
                <w:b/>
                <w:bCs/>
                <w:lang w:bidi="ar"/>
              </w:rPr>
              <w:t>95% CI</w:t>
            </w:r>
          </w:p>
        </w:tc>
        <w:tc>
          <w:tcPr>
            <w:tcW w:w="0" w:type="auto"/>
            <w:tcBorders>
              <w:top w:val="single" w:color="auto" w:sz="12" w:space="0"/>
              <w:bottom w:val="single" w:color="auto" w:sz="6" w:space="0"/>
            </w:tcBorders>
            <w:shd w:val="clear" w:color="auto" w:fill="FFFFFF"/>
            <w:tcMar>
              <w:top w:w="150" w:type="dxa"/>
              <w:left w:w="150" w:type="dxa"/>
              <w:bottom w:w="150" w:type="dxa"/>
              <w:right w:w="150" w:type="dxa"/>
            </w:tcMar>
            <w:vAlign w:val="bottom"/>
          </w:tcPr>
          <w:p w14:paraId="1F9D17A0">
            <w:pPr>
              <w:rPr>
                <w:rFonts w:cs="Times New Roman"/>
                <w:b/>
                <w:bCs/>
                <w:lang w:bidi="ar"/>
              </w:rPr>
            </w:pPr>
            <w:r>
              <w:rPr>
                <w:rFonts w:cs="Times New Roman"/>
                <w:b/>
                <w:bCs/>
                <w:lang w:bidi="ar"/>
              </w:rPr>
              <w:t>P-value</w:t>
            </w:r>
          </w:p>
        </w:tc>
      </w:tr>
      <w:tr w14:paraId="551DB41C">
        <w:tblPrEx>
          <w:tblCellMar>
            <w:top w:w="0" w:type="dxa"/>
            <w:left w:w="0" w:type="dxa"/>
            <w:bottom w:w="0" w:type="dxa"/>
            <w:right w:w="0" w:type="dxa"/>
          </w:tblCellMar>
        </w:tblPrEx>
        <w:trPr>
          <w:jc w:val="center"/>
        </w:trPr>
        <w:tc>
          <w:tcPr>
            <w:tcW w:w="0" w:type="auto"/>
            <w:tcBorders>
              <w:top w:val="single" w:color="auto" w:sz="6" w:space="0"/>
            </w:tcBorders>
            <w:shd w:val="clear" w:color="auto" w:fill="FFFFFF"/>
            <w:tcMar>
              <w:top w:w="150" w:type="dxa"/>
              <w:left w:w="150" w:type="dxa"/>
              <w:bottom w:w="150" w:type="dxa"/>
              <w:right w:w="150" w:type="dxa"/>
            </w:tcMar>
            <w:vAlign w:val="bottom"/>
          </w:tcPr>
          <w:p w14:paraId="625C40BD">
            <w:pPr>
              <w:rPr>
                <w:rFonts w:cs="Times New Roman"/>
                <w:lang w:bidi="ar"/>
              </w:rPr>
            </w:pPr>
            <w:r>
              <w:rPr>
                <w:rFonts w:cs="Times New Roman"/>
                <w:b/>
                <w:bCs/>
                <w:lang w:bidi="ar"/>
              </w:rPr>
              <w:t>Individual Effects on C</w:t>
            </w:r>
            <w:r>
              <w:rPr>
                <w:rFonts w:hint="eastAsia" w:cs="Times New Roman"/>
                <w:b/>
                <w:bCs/>
                <w:lang w:bidi="ar"/>
              </w:rPr>
              <w:t>VD</w:t>
            </w:r>
            <w:r>
              <w:rPr>
                <w:rFonts w:cs="Times New Roman"/>
                <w:b/>
                <w:bCs/>
                <w:lang w:bidi="ar"/>
              </w:rPr>
              <w:t xml:space="preserve"> Mortality</w:t>
            </w:r>
          </w:p>
        </w:tc>
        <w:tc>
          <w:tcPr>
            <w:tcW w:w="0" w:type="auto"/>
            <w:tcBorders>
              <w:top w:val="single" w:color="auto" w:sz="6" w:space="0"/>
            </w:tcBorders>
            <w:shd w:val="clear" w:color="auto" w:fill="FFFFFF"/>
            <w:tcMar>
              <w:top w:w="150" w:type="dxa"/>
              <w:left w:w="150" w:type="dxa"/>
              <w:bottom w:w="150" w:type="dxa"/>
              <w:right w:w="150" w:type="dxa"/>
            </w:tcMar>
            <w:vAlign w:val="bottom"/>
          </w:tcPr>
          <w:p w14:paraId="082C87DA">
            <w:pPr>
              <w:rPr>
                <w:rFonts w:cs="Times New Roman"/>
                <w:lang w:bidi="ar"/>
              </w:rPr>
            </w:pPr>
          </w:p>
        </w:tc>
        <w:tc>
          <w:tcPr>
            <w:tcW w:w="0" w:type="auto"/>
            <w:tcBorders>
              <w:top w:val="single" w:color="auto" w:sz="6" w:space="0"/>
            </w:tcBorders>
            <w:shd w:val="clear" w:color="auto" w:fill="FFFFFF"/>
            <w:tcMar>
              <w:top w:w="150" w:type="dxa"/>
              <w:left w:w="150" w:type="dxa"/>
              <w:bottom w:w="150" w:type="dxa"/>
              <w:right w:w="150" w:type="dxa"/>
            </w:tcMar>
            <w:vAlign w:val="bottom"/>
          </w:tcPr>
          <w:p w14:paraId="2F646CF8">
            <w:pPr>
              <w:rPr>
                <w:rFonts w:cs="Times New Roman"/>
                <w:lang w:bidi="ar"/>
              </w:rPr>
            </w:pPr>
          </w:p>
        </w:tc>
        <w:tc>
          <w:tcPr>
            <w:tcW w:w="0" w:type="auto"/>
            <w:tcBorders>
              <w:top w:val="single" w:color="auto" w:sz="6" w:space="0"/>
            </w:tcBorders>
            <w:shd w:val="clear" w:color="auto" w:fill="FFFFFF"/>
            <w:tcMar>
              <w:top w:w="150" w:type="dxa"/>
              <w:left w:w="150" w:type="dxa"/>
              <w:bottom w:w="150" w:type="dxa"/>
              <w:right w:w="150" w:type="dxa"/>
            </w:tcMar>
            <w:vAlign w:val="bottom"/>
          </w:tcPr>
          <w:p w14:paraId="3AB53777">
            <w:pPr>
              <w:rPr>
                <w:rFonts w:cs="Times New Roman"/>
                <w:lang w:bidi="ar"/>
              </w:rPr>
            </w:pPr>
          </w:p>
        </w:tc>
      </w:tr>
      <w:tr w14:paraId="70C10F2B">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6F9374E1">
            <w:pPr>
              <w:rPr>
                <w:rFonts w:cs="Times New Roman"/>
                <w:lang w:bidi="ar"/>
              </w:rPr>
            </w:pPr>
            <w:r>
              <w:rPr>
                <w:rFonts w:cs="Times New Roman"/>
                <w:lang w:bidi="ar"/>
              </w:rPr>
              <w:t>Reference (FI Low, TyG Low)</w:t>
            </w:r>
          </w:p>
        </w:tc>
        <w:tc>
          <w:tcPr>
            <w:tcW w:w="0" w:type="auto"/>
            <w:shd w:val="clear" w:color="auto" w:fill="FFFFFF"/>
            <w:tcMar>
              <w:top w:w="150" w:type="dxa"/>
              <w:left w:w="150" w:type="dxa"/>
              <w:bottom w:w="150" w:type="dxa"/>
              <w:right w:w="150" w:type="dxa"/>
            </w:tcMar>
            <w:vAlign w:val="bottom"/>
          </w:tcPr>
          <w:p w14:paraId="06F7CC5C">
            <w:pPr>
              <w:rPr>
                <w:rFonts w:cs="Times New Roman"/>
                <w:lang w:bidi="ar"/>
              </w:rPr>
            </w:pPr>
            <w:r>
              <w:rPr>
                <w:rFonts w:cs="Times New Roman"/>
                <w:lang w:bidi="ar"/>
              </w:rPr>
              <w:t>1</w:t>
            </w:r>
          </w:p>
        </w:tc>
        <w:tc>
          <w:tcPr>
            <w:tcW w:w="0" w:type="auto"/>
            <w:shd w:val="clear" w:color="auto" w:fill="FFFFFF"/>
            <w:tcMar>
              <w:top w:w="150" w:type="dxa"/>
              <w:left w:w="150" w:type="dxa"/>
              <w:bottom w:w="150" w:type="dxa"/>
              <w:right w:w="150" w:type="dxa"/>
            </w:tcMar>
            <w:vAlign w:val="bottom"/>
          </w:tcPr>
          <w:p w14:paraId="6B679932">
            <w:pPr>
              <w:rPr>
                <w:rFonts w:cs="Times New Roman"/>
                <w:lang w:bidi="ar"/>
              </w:rPr>
            </w:pPr>
            <w:r>
              <w:rPr>
                <w:rFonts w:cs="Times New Roman"/>
                <w:lang w:bidi="ar"/>
              </w:rPr>
              <w:t>NA</w:t>
            </w:r>
          </w:p>
        </w:tc>
        <w:tc>
          <w:tcPr>
            <w:tcW w:w="0" w:type="auto"/>
            <w:shd w:val="clear" w:color="auto" w:fill="FFFFFF"/>
            <w:tcMar>
              <w:top w:w="150" w:type="dxa"/>
              <w:left w:w="150" w:type="dxa"/>
              <w:bottom w:w="150" w:type="dxa"/>
              <w:right w:w="150" w:type="dxa"/>
            </w:tcMar>
            <w:vAlign w:val="bottom"/>
          </w:tcPr>
          <w:p w14:paraId="006D00B7">
            <w:pPr>
              <w:rPr>
                <w:rFonts w:cs="Times New Roman"/>
                <w:lang w:bidi="ar"/>
              </w:rPr>
            </w:pPr>
            <w:r>
              <w:rPr>
                <w:rFonts w:cs="Times New Roman"/>
                <w:lang w:bidi="ar"/>
              </w:rPr>
              <w:t>NA</w:t>
            </w:r>
          </w:p>
        </w:tc>
      </w:tr>
      <w:tr w14:paraId="23922B02">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396FE8A6">
            <w:pPr>
              <w:rPr>
                <w:rFonts w:cs="Times New Roman"/>
                <w:lang w:bidi="ar"/>
              </w:rPr>
            </w:pPr>
            <w:r>
              <w:rPr>
                <w:rFonts w:cs="Times New Roman"/>
                <w:lang w:bidi="ar"/>
              </w:rPr>
              <w:t>FI High, TyG Low</w:t>
            </w:r>
          </w:p>
        </w:tc>
        <w:tc>
          <w:tcPr>
            <w:tcW w:w="0" w:type="auto"/>
            <w:shd w:val="clear" w:color="auto" w:fill="FFFFFF"/>
            <w:tcMar>
              <w:top w:w="150" w:type="dxa"/>
              <w:left w:w="150" w:type="dxa"/>
              <w:bottom w:w="150" w:type="dxa"/>
              <w:right w:w="150" w:type="dxa"/>
            </w:tcMar>
            <w:vAlign w:val="bottom"/>
          </w:tcPr>
          <w:p w14:paraId="153CE945">
            <w:pPr>
              <w:rPr>
                <w:rFonts w:cs="Times New Roman"/>
                <w:lang w:bidi="ar"/>
              </w:rPr>
            </w:pPr>
            <w:r>
              <w:rPr>
                <w:rFonts w:cs="Times New Roman"/>
                <w:lang w:bidi="ar"/>
              </w:rPr>
              <w:t>3.85</w:t>
            </w:r>
          </w:p>
        </w:tc>
        <w:tc>
          <w:tcPr>
            <w:tcW w:w="0" w:type="auto"/>
            <w:shd w:val="clear" w:color="auto" w:fill="FFFFFF"/>
            <w:tcMar>
              <w:top w:w="150" w:type="dxa"/>
              <w:left w:w="150" w:type="dxa"/>
              <w:bottom w:w="150" w:type="dxa"/>
              <w:right w:w="150" w:type="dxa"/>
            </w:tcMar>
            <w:vAlign w:val="bottom"/>
          </w:tcPr>
          <w:p w14:paraId="5CCDC20C">
            <w:pPr>
              <w:rPr>
                <w:rFonts w:cs="Times New Roman"/>
                <w:lang w:bidi="ar"/>
              </w:rPr>
            </w:pPr>
            <w:r>
              <w:rPr>
                <w:rFonts w:cs="Times New Roman"/>
                <w:lang w:bidi="ar"/>
              </w:rPr>
              <w:t>2.50 - 5.92</w:t>
            </w:r>
          </w:p>
        </w:tc>
        <w:tc>
          <w:tcPr>
            <w:tcW w:w="0" w:type="auto"/>
            <w:shd w:val="clear" w:color="auto" w:fill="FFFFFF"/>
            <w:tcMar>
              <w:top w:w="150" w:type="dxa"/>
              <w:left w:w="150" w:type="dxa"/>
              <w:bottom w:w="150" w:type="dxa"/>
              <w:right w:w="150" w:type="dxa"/>
            </w:tcMar>
            <w:vAlign w:val="bottom"/>
          </w:tcPr>
          <w:p w14:paraId="5C9A3939">
            <w:pPr>
              <w:rPr>
                <w:rFonts w:cs="Times New Roman"/>
                <w:lang w:bidi="ar"/>
              </w:rPr>
            </w:pPr>
            <w:r>
              <w:rPr>
                <w:rFonts w:cs="Times New Roman"/>
                <w:lang w:bidi="ar"/>
              </w:rPr>
              <w:t>&lt;0.001</w:t>
            </w:r>
          </w:p>
        </w:tc>
      </w:tr>
      <w:tr w14:paraId="649B50D0">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3988A366">
            <w:pPr>
              <w:rPr>
                <w:rFonts w:cs="Times New Roman"/>
                <w:lang w:bidi="ar"/>
              </w:rPr>
            </w:pPr>
            <w:r>
              <w:rPr>
                <w:rFonts w:cs="Times New Roman"/>
                <w:lang w:bidi="ar"/>
              </w:rPr>
              <w:t>FI Low,</w:t>
            </w:r>
            <w:r>
              <w:rPr>
                <w:rFonts w:hint="eastAsia" w:cs="Times New Roman"/>
                <w:lang w:bidi="ar"/>
              </w:rPr>
              <w:t xml:space="preserve"> </w:t>
            </w:r>
            <w:r>
              <w:rPr>
                <w:rFonts w:cs="Times New Roman"/>
                <w:lang w:bidi="ar"/>
              </w:rPr>
              <w:t>TyG High</w:t>
            </w:r>
          </w:p>
        </w:tc>
        <w:tc>
          <w:tcPr>
            <w:tcW w:w="0" w:type="auto"/>
            <w:shd w:val="clear" w:color="auto" w:fill="FFFFFF"/>
            <w:tcMar>
              <w:top w:w="150" w:type="dxa"/>
              <w:left w:w="150" w:type="dxa"/>
              <w:bottom w:w="150" w:type="dxa"/>
              <w:right w:w="150" w:type="dxa"/>
            </w:tcMar>
            <w:vAlign w:val="bottom"/>
          </w:tcPr>
          <w:p w14:paraId="49F15852">
            <w:pPr>
              <w:rPr>
                <w:rFonts w:cs="Times New Roman"/>
                <w:lang w:bidi="ar"/>
              </w:rPr>
            </w:pPr>
            <w:r>
              <w:rPr>
                <w:rFonts w:cs="Times New Roman"/>
                <w:lang w:bidi="ar"/>
              </w:rPr>
              <w:t>1.59</w:t>
            </w:r>
          </w:p>
        </w:tc>
        <w:tc>
          <w:tcPr>
            <w:tcW w:w="0" w:type="auto"/>
            <w:shd w:val="clear" w:color="auto" w:fill="FFFFFF"/>
            <w:tcMar>
              <w:top w:w="150" w:type="dxa"/>
              <w:left w:w="150" w:type="dxa"/>
              <w:bottom w:w="150" w:type="dxa"/>
              <w:right w:w="150" w:type="dxa"/>
            </w:tcMar>
            <w:vAlign w:val="bottom"/>
          </w:tcPr>
          <w:p w14:paraId="4AD61A94">
            <w:pPr>
              <w:rPr>
                <w:rFonts w:cs="Times New Roman"/>
                <w:lang w:bidi="ar"/>
              </w:rPr>
            </w:pPr>
            <w:r>
              <w:rPr>
                <w:rFonts w:cs="Times New Roman"/>
                <w:lang w:bidi="ar"/>
              </w:rPr>
              <w:t>0.98 - 2.56</w:t>
            </w:r>
          </w:p>
        </w:tc>
        <w:tc>
          <w:tcPr>
            <w:tcW w:w="0" w:type="auto"/>
            <w:shd w:val="clear" w:color="auto" w:fill="FFFFFF"/>
            <w:tcMar>
              <w:top w:w="150" w:type="dxa"/>
              <w:left w:w="150" w:type="dxa"/>
              <w:bottom w:w="150" w:type="dxa"/>
              <w:right w:w="150" w:type="dxa"/>
            </w:tcMar>
            <w:vAlign w:val="bottom"/>
          </w:tcPr>
          <w:p w14:paraId="12C682F9">
            <w:pPr>
              <w:rPr>
                <w:rFonts w:cs="Times New Roman"/>
                <w:lang w:bidi="ar"/>
              </w:rPr>
            </w:pPr>
            <w:r>
              <w:rPr>
                <w:rFonts w:cs="Times New Roman"/>
                <w:lang w:bidi="ar"/>
              </w:rPr>
              <w:t>0.06</w:t>
            </w:r>
          </w:p>
        </w:tc>
      </w:tr>
      <w:tr w14:paraId="0EABABB1">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35782AE8">
            <w:pPr>
              <w:rPr>
                <w:rFonts w:cs="Times New Roman"/>
                <w:lang w:bidi="ar"/>
              </w:rPr>
            </w:pPr>
            <w:r>
              <w:rPr>
                <w:rFonts w:cs="Times New Roman"/>
                <w:lang w:bidi="ar"/>
              </w:rPr>
              <w:t>Both High (FI High, TyG High)</w:t>
            </w:r>
          </w:p>
        </w:tc>
        <w:tc>
          <w:tcPr>
            <w:tcW w:w="0" w:type="auto"/>
            <w:shd w:val="clear" w:color="auto" w:fill="FFFFFF"/>
            <w:tcMar>
              <w:top w:w="150" w:type="dxa"/>
              <w:left w:w="150" w:type="dxa"/>
              <w:bottom w:w="150" w:type="dxa"/>
              <w:right w:w="150" w:type="dxa"/>
            </w:tcMar>
            <w:vAlign w:val="bottom"/>
          </w:tcPr>
          <w:p w14:paraId="5E12DCF9">
            <w:pPr>
              <w:rPr>
                <w:rFonts w:cs="Times New Roman"/>
                <w:lang w:bidi="ar"/>
              </w:rPr>
            </w:pPr>
            <w:r>
              <w:rPr>
                <w:rFonts w:cs="Times New Roman"/>
                <w:lang w:bidi="ar"/>
              </w:rPr>
              <w:t>3.31</w:t>
            </w:r>
          </w:p>
        </w:tc>
        <w:tc>
          <w:tcPr>
            <w:tcW w:w="0" w:type="auto"/>
            <w:shd w:val="clear" w:color="auto" w:fill="FFFFFF"/>
            <w:tcMar>
              <w:top w:w="150" w:type="dxa"/>
              <w:left w:w="150" w:type="dxa"/>
              <w:bottom w:w="150" w:type="dxa"/>
              <w:right w:w="150" w:type="dxa"/>
            </w:tcMar>
            <w:vAlign w:val="bottom"/>
          </w:tcPr>
          <w:p w14:paraId="14B41C5E">
            <w:pPr>
              <w:rPr>
                <w:rFonts w:cs="Times New Roman"/>
                <w:lang w:bidi="ar"/>
              </w:rPr>
            </w:pPr>
            <w:r>
              <w:rPr>
                <w:rFonts w:cs="Times New Roman"/>
                <w:lang w:bidi="ar"/>
              </w:rPr>
              <w:t>2.16 - 5.07</w:t>
            </w:r>
          </w:p>
        </w:tc>
        <w:tc>
          <w:tcPr>
            <w:tcW w:w="0" w:type="auto"/>
            <w:shd w:val="clear" w:color="auto" w:fill="FFFFFF"/>
            <w:tcMar>
              <w:top w:w="150" w:type="dxa"/>
              <w:left w:w="150" w:type="dxa"/>
              <w:bottom w:w="150" w:type="dxa"/>
              <w:right w:w="150" w:type="dxa"/>
            </w:tcMar>
            <w:vAlign w:val="bottom"/>
          </w:tcPr>
          <w:p w14:paraId="5CB108CE">
            <w:pPr>
              <w:rPr>
                <w:rFonts w:cs="Times New Roman"/>
                <w:lang w:bidi="ar"/>
              </w:rPr>
            </w:pPr>
            <w:r>
              <w:rPr>
                <w:rFonts w:cs="Times New Roman"/>
                <w:lang w:bidi="ar"/>
              </w:rPr>
              <w:t>&lt;0.001</w:t>
            </w:r>
          </w:p>
        </w:tc>
      </w:tr>
      <w:tr w14:paraId="318D2C6A">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6AE66B82">
            <w:pPr>
              <w:rPr>
                <w:rFonts w:cs="Times New Roman"/>
                <w:lang w:bidi="ar"/>
              </w:rPr>
            </w:pPr>
            <w:r>
              <w:rPr>
                <w:rFonts w:cs="Times New Roman"/>
                <w:b/>
                <w:bCs/>
                <w:lang w:bidi="ar"/>
              </w:rPr>
              <w:t>Multiplicative Interaction</w:t>
            </w:r>
          </w:p>
        </w:tc>
        <w:tc>
          <w:tcPr>
            <w:tcW w:w="0" w:type="auto"/>
            <w:shd w:val="clear" w:color="auto" w:fill="FFFFFF"/>
            <w:tcMar>
              <w:top w:w="150" w:type="dxa"/>
              <w:left w:w="150" w:type="dxa"/>
              <w:bottom w:w="150" w:type="dxa"/>
              <w:right w:w="150" w:type="dxa"/>
            </w:tcMar>
            <w:vAlign w:val="bottom"/>
          </w:tcPr>
          <w:p w14:paraId="24B73BA3">
            <w:pPr>
              <w:rPr>
                <w:rFonts w:cs="Times New Roman"/>
                <w:lang w:bidi="ar"/>
              </w:rPr>
            </w:pPr>
          </w:p>
        </w:tc>
        <w:tc>
          <w:tcPr>
            <w:tcW w:w="0" w:type="auto"/>
            <w:shd w:val="clear" w:color="auto" w:fill="FFFFFF"/>
            <w:tcMar>
              <w:top w:w="150" w:type="dxa"/>
              <w:left w:w="150" w:type="dxa"/>
              <w:bottom w:w="150" w:type="dxa"/>
              <w:right w:w="150" w:type="dxa"/>
            </w:tcMar>
            <w:vAlign w:val="bottom"/>
          </w:tcPr>
          <w:p w14:paraId="247794CA">
            <w:pPr>
              <w:rPr>
                <w:rFonts w:cs="Times New Roman"/>
                <w:lang w:bidi="ar"/>
              </w:rPr>
            </w:pPr>
          </w:p>
        </w:tc>
        <w:tc>
          <w:tcPr>
            <w:tcW w:w="0" w:type="auto"/>
            <w:shd w:val="clear" w:color="auto" w:fill="FFFFFF"/>
            <w:tcMar>
              <w:top w:w="150" w:type="dxa"/>
              <w:left w:w="150" w:type="dxa"/>
              <w:bottom w:w="150" w:type="dxa"/>
              <w:right w:w="150" w:type="dxa"/>
            </w:tcMar>
            <w:vAlign w:val="bottom"/>
          </w:tcPr>
          <w:p w14:paraId="1A93C22E">
            <w:pPr>
              <w:rPr>
                <w:rFonts w:cs="Times New Roman"/>
                <w:lang w:bidi="ar"/>
              </w:rPr>
            </w:pPr>
          </w:p>
        </w:tc>
      </w:tr>
      <w:tr w14:paraId="5EC084B2">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0FED9FD9">
            <w:pPr>
              <w:rPr>
                <w:rFonts w:cs="Times New Roman"/>
                <w:lang w:bidi="ar"/>
              </w:rPr>
            </w:pPr>
            <w:r>
              <w:rPr>
                <w:rFonts w:cs="Times New Roman"/>
                <w:lang w:bidi="ar"/>
              </w:rPr>
              <w:t>HR (Both High vs. Reference)</w:t>
            </w:r>
          </w:p>
        </w:tc>
        <w:tc>
          <w:tcPr>
            <w:tcW w:w="0" w:type="auto"/>
            <w:shd w:val="clear" w:color="auto" w:fill="FFFFFF"/>
            <w:tcMar>
              <w:top w:w="150" w:type="dxa"/>
              <w:left w:w="150" w:type="dxa"/>
              <w:bottom w:w="150" w:type="dxa"/>
              <w:right w:w="150" w:type="dxa"/>
            </w:tcMar>
            <w:vAlign w:val="bottom"/>
          </w:tcPr>
          <w:p w14:paraId="2A1A0A4C">
            <w:pPr>
              <w:rPr>
                <w:rFonts w:cs="Times New Roman"/>
                <w:lang w:bidi="ar"/>
              </w:rPr>
            </w:pPr>
            <w:r>
              <w:rPr>
                <w:rFonts w:cs="Times New Roman"/>
                <w:lang w:bidi="ar"/>
              </w:rPr>
              <w:t>0.54</w:t>
            </w:r>
          </w:p>
        </w:tc>
        <w:tc>
          <w:tcPr>
            <w:tcW w:w="0" w:type="auto"/>
            <w:shd w:val="clear" w:color="auto" w:fill="FFFFFF"/>
            <w:tcMar>
              <w:top w:w="150" w:type="dxa"/>
              <w:left w:w="150" w:type="dxa"/>
              <w:bottom w:w="150" w:type="dxa"/>
              <w:right w:w="150" w:type="dxa"/>
            </w:tcMar>
            <w:vAlign w:val="bottom"/>
          </w:tcPr>
          <w:p w14:paraId="4409BD82">
            <w:pPr>
              <w:rPr>
                <w:rFonts w:cs="Times New Roman"/>
                <w:lang w:bidi="ar"/>
              </w:rPr>
            </w:pPr>
            <w:r>
              <w:rPr>
                <w:rFonts w:cs="Times New Roman"/>
                <w:lang w:bidi="ar"/>
              </w:rPr>
              <w:t>0.32 - 0.91</w:t>
            </w:r>
          </w:p>
        </w:tc>
        <w:tc>
          <w:tcPr>
            <w:tcW w:w="0" w:type="auto"/>
            <w:shd w:val="clear" w:color="auto" w:fill="FFFFFF"/>
            <w:tcMar>
              <w:top w:w="150" w:type="dxa"/>
              <w:left w:w="150" w:type="dxa"/>
              <w:bottom w:w="150" w:type="dxa"/>
              <w:right w:w="150" w:type="dxa"/>
            </w:tcMar>
            <w:vAlign w:val="bottom"/>
          </w:tcPr>
          <w:p w14:paraId="44B7EB09">
            <w:pPr>
              <w:rPr>
                <w:rFonts w:cs="Times New Roman"/>
                <w:lang w:bidi="ar"/>
              </w:rPr>
            </w:pPr>
            <w:r>
              <w:rPr>
                <w:rFonts w:cs="Times New Roman"/>
                <w:b/>
                <w:bCs/>
                <w:lang w:bidi="ar"/>
              </w:rPr>
              <w:t>0.02</w:t>
            </w:r>
          </w:p>
        </w:tc>
      </w:tr>
      <w:tr w14:paraId="4C7700AC">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1AAF84FF">
            <w:pPr>
              <w:rPr>
                <w:rFonts w:cs="Times New Roman"/>
                <w:lang w:bidi="ar"/>
              </w:rPr>
            </w:pPr>
            <w:r>
              <w:rPr>
                <w:rFonts w:cs="Times New Roman"/>
                <w:b/>
                <w:bCs/>
                <w:lang w:bidi="ar"/>
              </w:rPr>
              <w:t>Additive Interaction</w:t>
            </w:r>
          </w:p>
        </w:tc>
        <w:tc>
          <w:tcPr>
            <w:tcW w:w="0" w:type="auto"/>
            <w:shd w:val="clear" w:color="auto" w:fill="FFFFFF"/>
            <w:tcMar>
              <w:top w:w="150" w:type="dxa"/>
              <w:left w:w="150" w:type="dxa"/>
              <w:bottom w:w="150" w:type="dxa"/>
              <w:right w:w="150" w:type="dxa"/>
            </w:tcMar>
            <w:vAlign w:val="bottom"/>
          </w:tcPr>
          <w:p w14:paraId="5A8DE66E">
            <w:pPr>
              <w:rPr>
                <w:rFonts w:cs="Times New Roman"/>
                <w:lang w:bidi="ar"/>
              </w:rPr>
            </w:pPr>
          </w:p>
        </w:tc>
        <w:tc>
          <w:tcPr>
            <w:tcW w:w="0" w:type="auto"/>
            <w:shd w:val="clear" w:color="auto" w:fill="FFFFFF"/>
            <w:tcMar>
              <w:top w:w="150" w:type="dxa"/>
              <w:left w:w="150" w:type="dxa"/>
              <w:bottom w:w="150" w:type="dxa"/>
              <w:right w:w="150" w:type="dxa"/>
            </w:tcMar>
            <w:vAlign w:val="bottom"/>
          </w:tcPr>
          <w:p w14:paraId="10CDE1DB">
            <w:pPr>
              <w:rPr>
                <w:rFonts w:cs="Times New Roman"/>
                <w:lang w:bidi="ar"/>
              </w:rPr>
            </w:pPr>
          </w:p>
        </w:tc>
        <w:tc>
          <w:tcPr>
            <w:tcW w:w="0" w:type="auto"/>
            <w:shd w:val="clear" w:color="auto" w:fill="FFFFFF"/>
            <w:tcMar>
              <w:top w:w="150" w:type="dxa"/>
              <w:left w:w="150" w:type="dxa"/>
              <w:bottom w:w="150" w:type="dxa"/>
              <w:right w:w="150" w:type="dxa"/>
            </w:tcMar>
            <w:vAlign w:val="bottom"/>
          </w:tcPr>
          <w:p w14:paraId="455E4482">
            <w:pPr>
              <w:rPr>
                <w:rFonts w:cs="Times New Roman"/>
                <w:lang w:bidi="ar"/>
              </w:rPr>
            </w:pPr>
          </w:p>
        </w:tc>
      </w:tr>
      <w:tr w14:paraId="60089038">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0C61B156">
            <w:pPr>
              <w:rPr>
                <w:rFonts w:cs="Times New Roman"/>
                <w:lang w:bidi="ar"/>
              </w:rPr>
            </w:pPr>
            <w:r>
              <w:rPr>
                <w:rFonts w:cs="Times New Roman"/>
                <w:lang w:bidi="ar"/>
              </w:rPr>
              <w:t>RERI</w:t>
            </w:r>
          </w:p>
        </w:tc>
        <w:tc>
          <w:tcPr>
            <w:tcW w:w="0" w:type="auto"/>
            <w:shd w:val="clear" w:color="auto" w:fill="FFFFFF"/>
            <w:tcMar>
              <w:top w:w="150" w:type="dxa"/>
              <w:left w:w="150" w:type="dxa"/>
              <w:bottom w:w="150" w:type="dxa"/>
              <w:right w:w="150" w:type="dxa"/>
            </w:tcMar>
            <w:vAlign w:val="bottom"/>
          </w:tcPr>
          <w:p w14:paraId="1ADCE478">
            <w:pPr>
              <w:rPr>
                <w:rFonts w:cs="Times New Roman"/>
                <w:lang w:bidi="ar"/>
              </w:rPr>
            </w:pPr>
            <w:bookmarkStart w:id="23" w:name="_Hlk217912000"/>
            <w:r>
              <w:rPr>
                <w:rFonts w:cs="Times New Roman"/>
                <w:lang w:bidi="ar"/>
              </w:rPr>
              <w:t>-1.12</w:t>
            </w:r>
            <w:bookmarkEnd w:id="23"/>
          </w:p>
        </w:tc>
        <w:tc>
          <w:tcPr>
            <w:tcW w:w="0" w:type="auto"/>
            <w:shd w:val="clear" w:color="auto" w:fill="FFFFFF"/>
            <w:tcMar>
              <w:top w:w="150" w:type="dxa"/>
              <w:left w:w="150" w:type="dxa"/>
              <w:bottom w:w="150" w:type="dxa"/>
              <w:right w:w="150" w:type="dxa"/>
            </w:tcMar>
            <w:vAlign w:val="bottom"/>
          </w:tcPr>
          <w:p w14:paraId="27359A39">
            <w:pPr>
              <w:rPr>
                <w:rFonts w:cs="Times New Roman"/>
                <w:lang w:bidi="ar"/>
              </w:rPr>
            </w:pPr>
            <w:r>
              <w:rPr>
                <w:rFonts w:cs="Times New Roman"/>
                <w:lang w:bidi="ar"/>
              </w:rPr>
              <w:t>-2.35 - 0.10</w:t>
            </w:r>
          </w:p>
        </w:tc>
        <w:tc>
          <w:tcPr>
            <w:tcW w:w="0" w:type="auto"/>
            <w:shd w:val="clear" w:color="auto" w:fill="FFFFFF"/>
            <w:tcMar>
              <w:top w:w="150" w:type="dxa"/>
              <w:left w:w="150" w:type="dxa"/>
              <w:bottom w:w="150" w:type="dxa"/>
              <w:right w:w="150" w:type="dxa"/>
            </w:tcMar>
            <w:vAlign w:val="bottom"/>
          </w:tcPr>
          <w:p w14:paraId="4E6A5340">
            <w:pPr>
              <w:rPr>
                <w:rFonts w:cs="Times New Roman"/>
                <w:lang w:bidi="ar"/>
              </w:rPr>
            </w:pPr>
            <w:r>
              <w:rPr>
                <w:rFonts w:cs="Times New Roman"/>
                <w:lang w:bidi="ar"/>
              </w:rPr>
              <w:t>0.96</w:t>
            </w:r>
          </w:p>
        </w:tc>
      </w:tr>
      <w:tr w14:paraId="19B23520">
        <w:tblPrEx>
          <w:tblCellMar>
            <w:top w:w="0" w:type="dxa"/>
            <w:left w:w="0" w:type="dxa"/>
            <w:bottom w:w="0" w:type="dxa"/>
            <w:right w:w="0" w:type="dxa"/>
          </w:tblCellMar>
        </w:tblPrEx>
        <w:trPr>
          <w:jc w:val="center"/>
        </w:trPr>
        <w:tc>
          <w:tcPr>
            <w:tcW w:w="0" w:type="auto"/>
            <w:shd w:val="clear" w:color="auto" w:fill="FFFFFF"/>
            <w:tcMar>
              <w:top w:w="150" w:type="dxa"/>
              <w:left w:w="150" w:type="dxa"/>
              <w:bottom w:w="150" w:type="dxa"/>
              <w:right w:w="150" w:type="dxa"/>
            </w:tcMar>
            <w:vAlign w:val="bottom"/>
          </w:tcPr>
          <w:p w14:paraId="4391A99B">
            <w:pPr>
              <w:rPr>
                <w:rFonts w:cs="Times New Roman"/>
                <w:lang w:bidi="ar"/>
              </w:rPr>
            </w:pPr>
            <w:r>
              <w:rPr>
                <w:rFonts w:cs="Times New Roman"/>
                <w:lang w:bidi="ar"/>
              </w:rPr>
              <w:t>AP</w:t>
            </w:r>
            <w:r>
              <w:rPr>
                <w:rFonts w:hint="eastAsia" w:cs="Times New Roman"/>
                <w:lang w:bidi="ar"/>
              </w:rPr>
              <w:t xml:space="preserve"> </w:t>
            </w:r>
            <w:r>
              <w:rPr>
                <w:rFonts w:cs="Times New Roman"/>
                <w:lang w:bidi="ar"/>
              </w:rPr>
              <w:t xml:space="preserve"> </w:t>
            </w:r>
          </w:p>
        </w:tc>
        <w:tc>
          <w:tcPr>
            <w:tcW w:w="0" w:type="auto"/>
            <w:shd w:val="clear" w:color="auto" w:fill="FFFFFF"/>
            <w:tcMar>
              <w:top w:w="150" w:type="dxa"/>
              <w:left w:w="150" w:type="dxa"/>
              <w:bottom w:w="150" w:type="dxa"/>
              <w:right w:w="150" w:type="dxa"/>
            </w:tcMar>
            <w:vAlign w:val="bottom"/>
          </w:tcPr>
          <w:p w14:paraId="4624836A">
            <w:pPr>
              <w:rPr>
                <w:rFonts w:cs="Times New Roman"/>
                <w:lang w:bidi="ar"/>
              </w:rPr>
            </w:pPr>
            <w:bookmarkStart w:id="24" w:name="_Hlk217912032"/>
            <w:r>
              <w:rPr>
                <w:rFonts w:cs="Times New Roman"/>
                <w:lang w:bidi="ar"/>
              </w:rPr>
              <w:t>-0.34</w:t>
            </w:r>
            <w:bookmarkEnd w:id="24"/>
          </w:p>
        </w:tc>
        <w:tc>
          <w:tcPr>
            <w:tcW w:w="0" w:type="auto"/>
            <w:shd w:val="clear" w:color="auto" w:fill="FFFFFF"/>
            <w:tcMar>
              <w:top w:w="150" w:type="dxa"/>
              <w:left w:w="150" w:type="dxa"/>
              <w:bottom w:w="150" w:type="dxa"/>
              <w:right w:w="150" w:type="dxa"/>
            </w:tcMar>
            <w:vAlign w:val="bottom"/>
          </w:tcPr>
          <w:p w14:paraId="01D246C3">
            <w:pPr>
              <w:rPr>
                <w:rFonts w:cs="Times New Roman"/>
                <w:lang w:bidi="ar"/>
              </w:rPr>
            </w:pPr>
            <w:r>
              <w:rPr>
                <w:rFonts w:cs="Times New Roman"/>
                <w:lang w:bidi="ar"/>
              </w:rPr>
              <w:t>-0.66 - 0.01</w:t>
            </w:r>
          </w:p>
        </w:tc>
        <w:tc>
          <w:tcPr>
            <w:tcW w:w="0" w:type="auto"/>
            <w:shd w:val="clear" w:color="auto" w:fill="FFFFFF"/>
            <w:tcMar>
              <w:top w:w="150" w:type="dxa"/>
              <w:left w:w="150" w:type="dxa"/>
              <w:bottom w:w="150" w:type="dxa"/>
              <w:right w:w="150" w:type="dxa"/>
            </w:tcMar>
            <w:vAlign w:val="bottom"/>
          </w:tcPr>
          <w:p w14:paraId="7AF164BA">
            <w:pPr>
              <w:rPr>
                <w:rFonts w:cs="Times New Roman"/>
                <w:lang w:bidi="ar"/>
              </w:rPr>
            </w:pPr>
            <w:r>
              <w:rPr>
                <w:rFonts w:cs="Times New Roman"/>
                <w:lang w:bidi="ar"/>
              </w:rPr>
              <w:t>0.02</w:t>
            </w:r>
          </w:p>
        </w:tc>
      </w:tr>
      <w:tr w14:paraId="060245E9">
        <w:tblPrEx>
          <w:tblCellMar>
            <w:top w:w="0" w:type="dxa"/>
            <w:left w:w="0" w:type="dxa"/>
            <w:bottom w:w="0" w:type="dxa"/>
            <w:right w:w="0" w:type="dxa"/>
          </w:tblCellMar>
        </w:tblPrEx>
        <w:trPr>
          <w:jc w:val="center"/>
        </w:trPr>
        <w:tc>
          <w:tcPr>
            <w:tcW w:w="0" w:type="auto"/>
            <w:tcBorders>
              <w:bottom w:val="single" w:color="auto" w:sz="12" w:space="0"/>
            </w:tcBorders>
            <w:shd w:val="clear" w:color="auto" w:fill="FFFFFF"/>
            <w:tcMar>
              <w:top w:w="150" w:type="dxa"/>
              <w:left w:w="150" w:type="dxa"/>
              <w:bottom w:w="150" w:type="dxa"/>
              <w:right w:w="150" w:type="dxa"/>
            </w:tcMar>
            <w:vAlign w:val="bottom"/>
          </w:tcPr>
          <w:p w14:paraId="64ACD946">
            <w:pPr>
              <w:rPr>
                <w:rFonts w:cs="Times New Roman"/>
                <w:lang w:bidi="ar"/>
              </w:rPr>
            </w:pPr>
            <w:r>
              <w:rPr>
                <w:rFonts w:cs="Times New Roman"/>
                <w:lang w:bidi="ar"/>
              </w:rPr>
              <w:t>SI</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56184BAA">
            <w:pPr>
              <w:rPr>
                <w:rFonts w:cs="Times New Roman"/>
                <w:lang w:bidi="ar"/>
              </w:rPr>
            </w:pPr>
            <w:r>
              <w:rPr>
                <w:rFonts w:cs="Times New Roman"/>
                <w:lang w:bidi="ar"/>
              </w:rPr>
              <w:t>0.67</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7D1B8E8C">
            <w:pPr>
              <w:rPr>
                <w:rFonts w:cs="Times New Roman"/>
                <w:lang w:bidi="ar"/>
              </w:rPr>
            </w:pPr>
            <w:r>
              <w:rPr>
                <w:rFonts w:cs="Times New Roman"/>
                <w:lang w:bidi="ar"/>
              </w:rPr>
              <w:t>0.49 - 0.92</w:t>
            </w:r>
          </w:p>
        </w:tc>
        <w:tc>
          <w:tcPr>
            <w:tcW w:w="0" w:type="auto"/>
            <w:tcBorders>
              <w:bottom w:val="single" w:color="auto" w:sz="12" w:space="0"/>
            </w:tcBorders>
            <w:shd w:val="clear" w:color="auto" w:fill="FFFFFF"/>
            <w:tcMar>
              <w:top w:w="150" w:type="dxa"/>
              <w:left w:w="150" w:type="dxa"/>
              <w:bottom w:w="150" w:type="dxa"/>
              <w:right w:w="150" w:type="dxa"/>
            </w:tcMar>
            <w:vAlign w:val="bottom"/>
          </w:tcPr>
          <w:p w14:paraId="2538903D">
            <w:pPr>
              <w:rPr>
                <w:rFonts w:cs="Times New Roman"/>
                <w:lang w:bidi="ar"/>
              </w:rPr>
            </w:pPr>
            <w:r>
              <w:rPr>
                <w:rFonts w:cs="Times New Roman"/>
                <w:lang w:bidi="ar"/>
              </w:rPr>
              <w:t>0.47</w:t>
            </w:r>
          </w:p>
        </w:tc>
      </w:tr>
    </w:tbl>
    <w:p w14:paraId="2040B5A4">
      <w:pPr>
        <w:rPr>
          <w:rFonts w:cs="Times New Roman"/>
          <w:lang w:bidi="ar"/>
        </w:rPr>
      </w:pPr>
      <w:r>
        <w:rPr>
          <w:rFonts w:cs="Times New Roman"/>
          <w:lang w:bidi="ar"/>
        </w:rPr>
        <w:t>Note: FI Low is defined as FI &lt; 0.13, FI High as FI ≥ 0.13; TyG Low is defined as TyG &lt; 8.62, TyG High as TyG ≥ 8.62. The terms "RERI", "AP", and "SI" refer to relative excess risk due to interaction, attributable proportion due to interaction, and synergy index, respectively.</w:t>
      </w:r>
    </w:p>
    <w:p w14:paraId="6D851EAE">
      <w:pPr>
        <w:rPr>
          <w:rFonts w:cs="Times New Roman"/>
          <w:b/>
          <w:bCs/>
          <w:color w:val="0070C0"/>
          <w:lang w:bidi="ar"/>
        </w:rPr>
      </w:pPr>
    </w:p>
    <w:p w14:paraId="26F6EBB4">
      <w:pPr>
        <w:rPr>
          <w:b/>
        </w:rPr>
      </w:pPr>
    </w:p>
    <w:p w14:paraId="69BD20D8">
      <w:pPr>
        <w:rPr>
          <w:b/>
        </w:rPr>
      </w:pPr>
    </w:p>
    <w:p w14:paraId="17A1F11D">
      <w:pPr>
        <w:rPr>
          <w:b/>
        </w:rPr>
      </w:pPr>
    </w:p>
    <w:p w14:paraId="3AAB9591">
      <w:pPr>
        <w:rPr>
          <w:b/>
        </w:rPr>
      </w:pPr>
    </w:p>
    <w:p w14:paraId="63959FB5">
      <w:pPr>
        <w:rPr>
          <w:b/>
        </w:rPr>
      </w:pPr>
    </w:p>
    <w:p w14:paraId="7E1CE041">
      <w:pPr>
        <w:rPr>
          <w:b/>
        </w:rPr>
      </w:pPr>
    </w:p>
    <w:p w14:paraId="34D42755">
      <w:pPr>
        <w:rPr>
          <w:b/>
        </w:rPr>
      </w:pPr>
    </w:p>
    <w:p w14:paraId="49F5BC53">
      <w:pPr>
        <w:rPr>
          <w:b/>
        </w:rPr>
      </w:pPr>
    </w:p>
    <w:p w14:paraId="73468AD3">
      <w:pPr>
        <w:rPr>
          <w:b/>
        </w:rPr>
      </w:pPr>
    </w:p>
    <w:p w14:paraId="7448B636">
      <w:pPr>
        <w:rPr>
          <w:b/>
        </w:rPr>
      </w:pPr>
    </w:p>
    <w:p w14:paraId="248335AC">
      <w:pPr>
        <w:rPr>
          <w:b/>
        </w:rPr>
      </w:pPr>
    </w:p>
    <w:p w14:paraId="58AECB4B">
      <w:pPr>
        <w:rPr>
          <w:b/>
        </w:rPr>
      </w:pPr>
    </w:p>
    <w:p w14:paraId="44B9E4D9">
      <w:pPr>
        <w:pStyle w:val="3"/>
        <w:rPr>
          <w:rFonts w:ascii="Times New Roman" w:hAnsi="Times New Roman" w:cs="Times New Roman"/>
          <w:b/>
          <w:bCs/>
          <w:color w:val="auto"/>
          <w:sz w:val="28"/>
          <w:szCs w:val="28"/>
        </w:rPr>
      </w:pPr>
      <w:bookmarkStart w:id="25" w:name="_Toc218184822"/>
      <w:r>
        <w:rPr>
          <w:rFonts w:ascii="Times New Roman" w:hAnsi="Times New Roman" w:cs="Times New Roman" w:eastAsiaTheme="minorEastAsia"/>
          <w:b/>
          <w:bCs/>
          <w:color w:val="auto"/>
          <w:sz w:val="28"/>
          <w:szCs w:val="28"/>
        </w:rPr>
        <w:t xml:space="preserve">V.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Subgroup </w:t>
      </w:r>
      <w:r>
        <w:rPr>
          <w:rFonts w:hint="eastAsia" w:ascii="Times New Roman" w:hAnsi="Times New Roman" w:cs="Times New Roman"/>
          <w:b/>
          <w:bCs/>
          <w:color w:val="auto"/>
          <w:sz w:val="28"/>
          <w:szCs w:val="28"/>
        </w:rPr>
        <w:t>a</w:t>
      </w:r>
      <w:r>
        <w:rPr>
          <w:rFonts w:ascii="Times New Roman" w:hAnsi="Times New Roman" w:cs="Times New Roman"/>
          <w:b/>
          <w:bCs/>
          <w:color w:val="auto"/>
          <w:sz w:val="28"/>
          <w:szCs w:val="28"/>
        </w:rPr>
        <w:t xml:space="preserve">nalyses of TyGFI and </w:t>
      </w:r>
      <w:r>
        <w:rPr>
          <w:rFonts w:hint="eastAsia" w:ascii="Times New Roman" w:hAnsi="Times New Roman" w:cs="Times New Roman"/>
          <w:b/>
          <w:bCs/>
          <w:color w:val="auto"/>
          <w:sz w:val="28"/>
          <w:szCs w:val="28"/>
        </w:rPr>
        <w:t>m</w:t>
      </w:r>
      <w:r>
        <w:rPr>
          <w:rFonts w:ascii="Times New Roman" w:hAnsi="Times New Roman" w:cs="Times New Roman"/>
          <w:b/>
          <w:bCs/>
          <w:color w:val="auto"/>
          <w:sz w:val="28"/>
          <w:szCs w:val="28"/>
        </w:rPr>
        <w:t>ortality</w:t>
      </w:r>
      <w:bookmarkEnd w:id="25"/>
      <w:r>
        <w:rPr>
          <w:rFonts w:ascii="Times New Roman" w:hAnsi="Times New Roman" w:cs="Times New Roman"/>
          <w:b/>
          <w:bCs/>
          <w:color w:val="auto"/>
          <w:spacing w:val="-1"/>
          <w:sz w:val="28"/>
          <w:szCs w:val="28"/>
        </w:rPr>
        <w:t xml:space="preserve"> </w:t>
      </w:r>
      <w:r>
        <w:rPr>
          <w:rFonts w:ascii="Times New Roman" w:hAnsi="Times New Roman" w:cs="Times New Roman"/>
          <w:b/>
          <w:bCs/>
          <w:color w:val="auto"/>
          <w:spacing w:val="-1"/>
          <w:sz w:val="28"/>
          <w:szCs w:val="28"/>
        </w:rPr>
        <w:fldChar w:fldCharType="end"/>
      </w:r>
    </w:p>
    <w:p w14:paraId="2A8D2230">
      <w:pPr>
        <w:rPr>
          <w:rFonts w:cs="Times New Roman"/>
          <w:color w:val="auto"/>
          <w:lang w:bidi="ar"/>
        </w:rPr>
      </w:pPr>
      <w:bookmarkStart w:id="26" w:name="_Hlk216810665"/>
    </w:p>
    <w:p w14:paraId="03655E9D">
      <w:pPr>
        <w:pStyle w:val="4"/>
        <w:rPr>
          <w:rFonts w:ascii="Times New Roman" w:hAnsi="Times New Roman" w:cs="Times New Roman"/>
          <w:color w:val="auto"/>
          <w:sz w:val="24"/>
          <w:szCs w:val="24"/>
          <w:lang w:bidi="ar"/>
        </w:rPr>
      </w:pPr>
      <w:bookmarkStart w:id="27" w:name="_Toc218184823"/>
      <w:r>
        <w:rPr>
          <w:rFonts w:ascii="Times New Roman" w:hAnsi="Times New Roman" w:cs="Times New Roman"/>
          <w:b/>
          <w:color w:val="auto"/>
          <w:sz w:val="24"/>
          <w:szCs w:val="24"/>
        </w:rPr>
        <w:t>Table S1</w:t>
      </w:r>
      <w:r>
        <w:rPr>
          <w:rFonts w:hint="eastAsia" w:ascii="Times New Roman" w:hAnsi="Times New Roman" w:cs="Times New Roman"/>
          <w:b/>
          <w:color w:val="auto"/>
          <w:sz w:val="24"/>
          <w:szCs w:val="24"/>
        </w:rPr>
        <w:t>0</w:t>
      </w:r>
      <w:r>
        <w:rPr>
          <w:rFonts w:ascii="Times New Roman" w:hAnsi="Times New Roman" w:cs="Times New Roman"/>
          <w:color w:val="auto"/>
          <w:sz w:val="24"/>
          <w:szCs w:val="24"/>
          <w:lang w:bidi="ar"/>
        </w:rPr>
        <w:t xml:space="preserve"> Subgroup analysis of the association between TyGFI and all-cause mortality</w:t>
      </w:r>
      <w:bookmarkEnd w:id="27"/>
      <w:r>
        <w:rPr>
          <w:rFonts w:ascii="Times New Roman" w:hAnsi="Times New Roman" w:cs="Times New Roman"/>
          <w:color w:val="auto"/>
          <w:sz w:val="24"/>
          <w:szCs w:val="24"/>
          <w:lang w:bidi="ar"/>
        </w:rPr>
        <w:t xml:space="preserve"> </w:t>
      </w:r>
    </w:p>
    <w:tbl>
      <w:tblPr>
        <w:tblStyle w:val="18"/>
        <w:tblW w:w="9154" w:type="dxa"/>
        <w:jc w:val="center"/>
        <w:tblLayout w:type="autofit"/>
        <w:tblCellMar>
          <w:top w:w="0" w:type="dxa"/>
          <w:left w:w="108" w:type="dxa"/>
          <w:bottom w:w="0" w:type="dxa"/>
          <w:right w:w="108" w:type="dxa"/>
        </w:tblCellMar>
      </w:tblPr>
      <w:tblGrid>
        <w:gridCol w:w="2035"/>
        <w:gridCol w:w="1811"/>
        <w:gridCol w:w="1224"/>
        <w:gridCol w:w="1632"/>
        <w:gridCol w:w="1088"/>
        <w:gridCol w:w="1389"/>
      </w:tblGrid>
      <w:tr w14:paraId="58DB9747">
        <w:tblPrEx>
          <w:tblCellMar>
            <w:top w:w="0" w:type="dxa"/>
            <w:left w:w="108" w:type="dxa"/>
            <w:bottom w:w="0" w:type="dxa"/>
            <w:right w:w="108" w:type="dxa"/>
          </w:tblCellMar>
        </w:tblPrEx>
        <w:trPr>
          <w:trHeight w:val="271" w:hRule="atLeast"/>
          <w:jc w:val="center"/>
        </w:trPr>
        <w:tc>
          <w:tcPr>
            <w:tcW w:w="2010" w:type="dxa"/>
            <w:tcBorders>
              <w:top w:val="single" w:color="auto" w:sz="12" w:space="0"/>
              <w:bottom w:val="single" w:color="auto" w:sz="6" w:space="0"/>
            </w:tcBorders>
            <w:noWrap/>
            <w:vAlign w:val="center"/>
          </w:tcPr>
          <w:p w14:paraId="62EB51F9">
            <w:pPr>
              <w:widowControl/>
              <w:jc w:val="left"/>
              <w:rPr>
                <w:rFonts w:cs="Times New Roman"/>
                <w:color w:val="000000"/>
                <w:kern w:val="0"/>
                <w:sz w:val="21"/>
                <w:szCs w:val="21"/>
              </w:rPr>
            </w:pPr>
            <w:r>
              <w:rPr>
                <w:rFonts w:cs="Times New Roman"/>
                <w:color w:val="000000"/>
                <w:kern w:val="0"/>
                <w:sz w:val="21"/>
                <w:szCs w:val="21"/>
              </w:rPr>
              <w:t>Subgroup</w:t>
            </w:r>
          </w:p>
        </w:tc>
        <w:tc>
          <w:tcPr>
            <w:tcW w:w="1811" w:type="dxa"/>
            <w:tcBorders>
              <w:top w:val="single" w:color="auto" w:sz="12" w:space="0"/>
              <w:bottom w:val="single" w:color="auto" w:sz="6" w:space="0"/>
            </w:tcBorders>
            <w:noWrap/>
            <w:vAlign w:val="center"/>
          </w:tcPr>
          <w:p w14:paraId="78B4AC59">
            <w:pPr>
              <w:widowControl/>
              <w:jc w:val="center"/>
              <w:rPr>
                <w:rFonts w:cs="Times New Roman"/>
                <w:color w:val="000000"/>
                <w:kern w:val="0"/>
                <w:sz w:val="21"/>
                <w:szCs w:val="21"/>
              </w:rPr>
            </w:pPr>
            <w:r>
              <w:rPr>
                <w:rFonts w:cs="Times New Roman"/>
                <w:color w:val="000000"/>
                <w:kern w:val="0"/>
                <w:sz w:val="21"/>
                <w:szCs w:val="21"/>
              </w:rPr>
              <w:t>No</w:t>
            </w:r>
            <w:r>
              <w:rPr>
                <w:rFonts w:hint="eastAsia" w:cs="Times New Roman"/>
                <w:color w:val="000000"/>
                <w:kern w:val="0"/>
                <w:sz w:val="21"/>
                <w:szCs w:val="21"/>
              </w:rPr>
              <w:t>.</w:t>
            </w:r>
            <w:r>
              <w:rPr>
                <w:rFonts w:cs="Times New Roman"/>
                <w:color w:val="000000"/>
                <w:kern w:val="0"/>
                <w:sz w:val="21"/>
                <w:szCs w:val="21"/>
              </w:rPr>
              <w:t xml:space="preserve"> of participants</w:t>
            </w:r>
          </w:p>
        </w:tc>
        <w:tc>
          <w:tcPr>
            <w:tcW w:w="1224" w:type="dxa"/>
            <w:tcBorders>
              <w:top w:val="single" w:color="auto" w:sz="12" w:space="0"/>
              <w:bottom w:val="single" w:color="auto" w:sz="6" w:space="0"/>
            </w:tcBorders>
            <w:noWrap/>
            <w:vAlign w:val="center"/>
          </w:tcPr>
          <w:p w14:paraId="4644CBF1">
            <w:pPr>
              <w:widowControl/>
              <w:jc w:val="center"/>
              <w:rPr>
                <w:rFonts w:cs="Times New Roman"/>
                <w:color w:val="000000"/>
                <w:kern w:val="0"/>
                <w:sz w:val="21"/>
                <w:szCs w:val="21"/>
              </w:rPr>
            </w:pPr>
            <w:r>
              <w:rPr>
                <w:rFonts w:cs="Times New Roman"/>
                <w:color w:val="000000"/>
                <w:kern w:val="0"/>
                <w:sz w:val="21"/>
                <w:szCs w:val="21"/>
              </w:rPr>
              <w:t>Event</w:t>
            </w:r>
            <w:r>
              <w:rPr>
                <w:rFonts w:hint="eastAsia" w:cs="Times New Roman"/>
                <w:color w:val="000000"/>
                <w:kern w:val="0"/>
                <w:sz w:val="21"/>
                <w:szCs w:val="21"/>
              </w:rPr>
              <w:t xml:space="preserve"> </w:t>
            </w:r>
            <w:r>
              <w:rPr>
                <w:rFonts w:cs="Times New Roman"/>
                <w:color w:val="000000"/>
                <w:kern w:val="0"/>
                <w:sz w:val="21"/>
                <w:szCs w:val="21"/>
              </w:rPr>
              <w:t>%</w:t>
            </w:r>
          </w:p>
        </w:tc>
        <w:tc>
          <w:tcPr>
            <w:tcW w:w="1632" w:type="dxa"/>
            <w:tcBorders>
              <w:top w:val="single" w:color="auto" w:sz="12" w:space="0"/>
              <w:bottom w:val="single" w:color="auto" w:sz="6" w:space="0"/>
            </w:tcBorders>
            <w:noWrap/>
            <w:vAlign w:val="center"/>
          </w:tcPr>
          <w:p w14:paraId="5850AEE5">
            <w:pPr>
              <w:widowControl/>
              <w:jc w:val="center"/>
              <w:rPr>
                <w:rFonts w:cs="Times New Roman"/>
                <w:color w:val="000000"/>
                <w:kern w:val="0"/>
                <w:sz w:val="21"/>
                <w:szCs w:val="21"/>
              </w:rPr>
            </w:pPr>
            <w:r>
              <w:rPr>
                <w:rFonts w:cs="Times New Roman"/>
                <w:color w:val="000000"/>
                <w:kern w:val="0"/>
                <w:sz w:val="21"/>
                <w:szCs w:val="21"/>
              </w:rPr>
              <w:t>HR</w:t>
            </w:r>
            <w:r>
              <w:rPr>
                <w:rFonts w:hint="eastAsia" w:cs="Times New Roman"/>
                <w:color w:val="000000"/>
                <w:kern w:val="0"/>
                <w:sz w:val="21"/>
                <w:szCs w:val="21"/>
              </w:rPr>
              <w:t xml:space="preserve"> (</w:t>
            </w:r>
            <w:r>
              <w:rPr>
                <w:rFonts w:cs="Times New Roman"/>
                <w:color w:val="000000"/>
                <w:kern w:val="0"/>
                <w:sz w:val="21"/>
                <w:szCs w:val="21"/>
              </w:rPr>
              <w:t>95</w:t>
            </w:r>
            <w:r>
              <w:rPr>
                <w:rFonts w:hint="eastAsia" w:cs="Times New Roman"/>
                <w:color w:val="000000"/>
                <w:kern w:val="0"/>
                <w:sz w:val="21"/>
                <w:szCs w:val="21"/>
              </w:rPr>
              <w:t>%</w:t>
            </w:r>
            <w:r>
              <w:rPr>
                <w:rFonts w:cs="Times New Roman"/>
                <w:color w:val="000000"/>
                <w:kern w:val="0"/>
                <w:sz w:val="21"/>
                <w:szCs w:val="21"/>
              </w:rPr>
              <w:t>CI</w:t>
            </w:r>
            <w:r>
              <w:rPr>
                <w:rFonts w:hint="eastAsia" w:cs="Times New Roman"/>
                <w:color w:val="000000"/>
                <w:kern w:val="0"/>
                <w:sz w:val="21"/>
                <w:szCs w:val="21"/>
              </w:rPr>
              <w:t>)</w:t>
            </w:r>
          </w:p>
        </w:tc>
        <w:tc>
          <w:tcPr>
            <w:tcW w:w="1088" w:type="dxa"/>
            <w:tcBorders>
              <w:top w:val="single" w:color="auto" w:sz="12" w:space="0"/>
              <w:bottom w:val="single" w:color="auto" w:sz="6" w:space="0"/>
            </w:tcBorders>
            <w:noWrap/>
            <w:vAlign w:val="center"/>
          </w:tcPr>
          <w:p w14:paraId="2A5278EF">
            <w:pPr>
              <w:widowControl/>
              <w:jc w:val="center"/>
              <w:rPr>
                <w:rFonts w:cs="Times New Roman"/>
                <w:color w:val="000000"/>
                <w:kern w:val="0"/>
                <w:sz w:val="21"/>
                <w:szCs w:val="21"/>
              </w:rPr>
            </w:pPr>
            <w:r>
              <w:rPr>
                <w:rFonts w:cs="Times New Roman"/>
                <w:i/>
                <w:iCs/>
                <w:color w:val="000000"/>
                <w:kern w:val="0"/>
                <w:sz w:val="21"/>
                <w:szCs w:val="21"/>
              </w:rPr>
              <w:t>P</w:t>
            </w:r>
            <w:r>
              <w:rPr>
                <w:rFonts w:hint="eastAsia" w:cs="Times New Roman"/>
                <w:i/>
                <w:iCs/>
                <w:color w:val="000000"/>
                <w:kern w:val="0"/>
                <w:sz w:val="21"/>
                <w:szCs w:val="21"/>
              </w:rPr>
              <w:t xml:space="preserve"> </w:t>
            </w:r>
            <w:r>
              <w:rPr>
                <w:rFonts w:cs="Times New Roman"/>
                <w:color w:val="000000"/>
                <w:kern w:val="0"/>
                <w:sz w:val="21"/>
                <w:szCs w:val="21"/>
              </w:rPr>
              <w:t>value</w:t>
            </w:r>
          </w:p>
        </w:tc>
        <w:tc>
          <w:tcPr>
            <w:tcW w:w="1389" w:type="dxa"/>
            <w:tcBorders>
              <w:top w:val="single" w:color="auto" w:sz="12" w:space="0"/>
              <w:bottom w:val="single" w:color="auto" w:sz="6" w:space="0"/>
            </w:tcBorders>
            <w:noWrap/>
            <w:vAlign w:val="center"/>
          </w:tcPr>
          <w:p w14:paraId="38F63853">
            <w:pPr>
              <w:widowControl/>
              <w:jc w:val="center"/>
              <w:rPr>
                <w:rFonts w:cs="Times New Roman"/>
                <w:color w:val="000000"/>
                <w:kern w:val="0"/>
                <w:sz w:val="21"/>
                <w:szCs w:val="21"/>
              </w:rPr>
            </w:pPr>
            <w:r>
              <w:rPr>
                <w:rFonts w:cs="Times New Roman"/>
                <w:i/>
                <w:iCs/>
                <w:color w:val="000000"/>
                <w:kern w:val="0"/>
                <w:sz w:val="21"/>
                <w:szCs w:val="21"/>
              </w:rPr>
              <w:t>P</w:t>
            </w:r>
            <w:r>
              <w:rPr>
                <w:rFonts w:hint="eastAsia" w:cs="Times New Roman"/>
                <w:color w:val="000000"/>
                <w:kern w:val="0"/>
                <w:sz w:val="21"/>
                <w:szCs w:val="21"/>
              </w:rPr>
              <w:t xml:space="preserve"> </w:t>
            </w:r>
            <w:r>
              <w:rPr>
                <w:rFonts w:cs="Times New Roman"/>
                <w:color w:val="000000"/>
                <w:kern w:val="0"/>
                <w:sz w:val="21"/>
                <w:szCs w:val="21"/>
              </w:rPr>
              <w:t>for</w:t>
            </w:r>
            <w:r>
              <w:rPr>
                <w:rFonts w:hint="eastAsia" w:cs="Times New Roman"/>
                <w:color w:val="000000"/>
                <w:kern w:val="0"/>
                <w:sz w:val="21"/>
                <w:szCs w:val="21"/>
              </w:rPr>
              <w:t xml:space="preserve"> </w:t>
            </w:r>
            <w:r>
              <w:rPr>
                <w:rFonts w:cs="Times New Roman"/>
                <w:color w:val="000000"/>
                <w:kern w:val="0"/>
                <w:sz w:val="21"/>
                <w:szCs w:val="21"/>
              </w:rPr>
              <w:t>interaction</w:t>
            </w:r>
          </w:p>
        </w:tc>
      </w:tr>
      <w:tr w14:paraId="3ABE4041">
        <w:tblPrEx>
          <w:tblCellMar>
            <w:top w:w="0" w:type="dxa"/>
            <w:left w:w="108" w:type="dxa"/>
            <w:bottom w:w="0" w:type="dxa"/>
            <w:right w:w="108" w:type="dxa"/>
          </w:tblCellMar>
        </w:tblPrEx>
        <w:trPr>
          <w:trHeight w:val="271" w:hRule="atLeast"/>
          <w:jc w:val="center"/>
        </w:trPr>
        <w:tc>
          <w:tcPr>
            <w:tcW w:w="2010" w:type="dxa"/>
            <w:tcBorders>
              <w:top w:val="single" w:color="auto" w:sz="6" w:space="0"/>
            </w:tcBorders>
            <w:noWrap/>
            <w:vAlign w:val="center"/>
          </w:tcPr>
          <w:p w14:paraId="7B475170">
            <w:pPr>
              <w:widowControl/>
              <w:jc w:val="left"/>
              <w:rPr>
                <w:rFonts w:cs="Times New Roman"/>
                <w:color w:val="000000"/>
                <w:kern w:val="0"/>
                <w:sz w:val="21"/>
                <w:szCs w:val="21"/>
              </w:rPr>
            </w:pPr>
            <w:r>
              <w:rPr>
                <w:rFonts w:cs="Times New Roman"/>
                <w:color w:val="000000"/>
                <w:kern w:val="0"/>
                <w:sz w:val="21"/>
                <w:szCs w:val="21"/>
              </w:rPr>
              <w:t>Age, years</w:t>
            </w:r>
          </w:p>
        </w:tc>
        <w:tc>
          <w:tcPr>
            <w:tcW w:w="1811" w:type="dxa"/>
            <w:tcBorders>
              <w:top w:val="single" w:color="auto" w:sz="6" w:space="0"/>
            </w:tcBorders>
            <w:noWrap/>
            <w:vAlign w:val="center"/>
          </w:tcPr>
          <w:p w14:paraId="7A0C1CEF">
            <w:pPr>
              <w:widowControl/>
              <w:jc w:val="center"/>
              <w:rPr>
                <w:rFonts w:cs="Times New Roman"/>
                <w:color w:val="000000"/>
                <w:kern w:val="0"/>
                <w:sz w:val="21"/>
                <w:szCs w:val="21"/>
              </w:rPr>
            </w:pPr>
          </w:p>
        </w:tc>
        <w:tc>
          <w:tcPr>
            <w:tcW w:w="1224" w:type="dxa"/>
            <w:tcBorders>
              <w:top w:val="single" w:color="auto" w:sz="6" w:space="0"/>
            </w:tcBorders>
            <w:noWrap/>
            <w:vAlign w:val="center"/>
          </w:tcPr>
          <w:p w14:paraId="3DBF08B7">
            <w:pPr>
              <w:widowControl/>
              <w:jc w:val="center"/>
              <w:rPr>
                <w:rFonts w:eastAsia="Times New Roman" w:cs="Times New Roman"/>
                <w:color w:val="auto"/>
                <w:kern w:val="0"/>
                <w:sz w:val="21"/>
                <w:szCs w:val="21"/>
              </w:rPr>
            </w:pPr>
          </w:p>
        </w:tc>
        <w:tc>
          <w:tcPr>
            <w:tcW w:w="1632" w:type="dxa"/>
            <w:tcBorders>
              <w:top w:val="single" w:color="auto" w:sz="6" w:space="0"/>
            </w:tcBorders>
            <w:noWrap/>
            <w:vAlign w:val="center"/>
          </w:tcPr>
          <w:p w14:paraId="64BE331D">
            <w:pPr>
              <w:widowControl/>
              <w:jc w:val="center"/>
              <w:rPr>
                <w:rFonts w:eastAsia="Times New Roman" w:cs="Times New Roman"/>
                <w:color w:val="auto"/>
                <w:kern w:val="0"/>
                <w:sz w:val="21"/>
                <w:szCs w:val="21"/>
              </w:rPr>
            </w:pPr>
          </w:p>
        </w:tc>
        <w:tc>
          <w:tcPr>
            <w:tcW w:w="1088" w:type="dxa"/>
            <w:tcBorders>
              <w:top w:val="single" w:color="auto" w:sz="6" w:space="0"/>
            </w:tcBorders>
            <w:noWrap/>
            <w:vAlign w:val="center"/>
          </w:tcPr>
          <w:p w14:paraId="6FBBC92E">
            <w:pPr>
              <w:widowControl/>
              <w:jc w:val="center"/>
              <w:rPr>
                <w:rFonts w:eastAsia="Times New Roman" w:cs="Times New Roman"/>
                <w:color w:val="auto"/>
                <w:kern w:val="0"/>
                <w:sz w:val="21"/>
                <w:szCs w:val="21"/>
              </w:rPr>
            </w:pPr>
          </w:p>
        </w:tc>
        <w:tc>
          <w:tcPr>
            <w:tcW w:w="1389" w:type="dxa"/>
            <w:tcBorders>
              <w:top w:val="single" w:color="auto" w:sz="6" w:space="0"/>
            </w:tcBorders>
            <w:noWrap/>
            <w:vAlign w:val="center"/>
          </w:tcPr>
          <w:p w14:paraId="1221EE43">
            <w:pPr>
              <w:widowControl/>
              <w:jc w:val="center"/>
              <w:rPr>
                <w:rFonts w:eastAsia="Times New Roman" w:cs="Times New Roman"/>
                <w:color w:val="auto"/>
                <w:kern w:val="0"/>
                <w:sz w:val="21"/>
                <w:szCs w:val="21"/>
              </w:rPr>
            </w:pPr>
          </w:p>
        </w:tc>
      </w:tr>
      <w:tr w14:paraId="6B320DC9">
        <w:tblPrEx>
          <w:tblCellMar>
            <w:top w:w="0" w:type="dxa"/>
            <w:left w:w="108" w:type="dxa"/>
            <w:bottom w:w="0" w:type="dxa"/>
            <w:right w:w="108" w:type="dxa"/>
          </w:tblCellMar>
        </w:tblPrEx>
        <w:trPr>
          <w:trHeight w:val="271" w:hRule="atLeast"/>
          <w:jc w:val="center"/>
        </w:trPr>
        <w:tc>
          <w:tcPr>
            <w:tcW w:w="2010" w:type="dxa"/>
            <w:noWrap/>
            <w:vAlign w:val="center"/>
          </w:tcPr>
          <w:p w14:paraId="2FB3D521">
            <w:pPr>
              <w:widowControl/>
              <w:jc w:val="left"/>
              <w:rPr>
                <w:rFonts w:cs="Times New Roman"/>
                <w:color w:val="000000"/>
                <w:kern w:val="0"/>
                <w:sz w:val="21"/>
                <w:szCs w:val="21"/>
              </w:rPr>
            </w:pPr>
            <w:r>
              <w:rPr>
                <w:rFonts w:cs="Times New Roman"/>
                <w:color w:val="000000"/>
                <w:kern w:val="0"/>
                <w:sz w:val="21"/>
                <w:szCs w:val="21"/>
              </w:rPr>
              <w:t xml:space="preserve">  ≤60</w:t>
            </w:r>
          </w:p>
        </w:tc>
        <w:tc>
          <w:tcPr>
            <w:tcW w:w="1811" w:type="dxa"/>
            <w:noWrap/>
            <w:vAlign w:val="center"/>
          </w:tcPr>
          <w:p w14:paraId="210432D3">
            <w:pPr>
              <w:widowControl/>
              <w:jc w:val="center"/>
              <w:rPr>
                <w:rFonts w:cs="Times New Roman"/>
                <w:color w:val="000000"/>
                <w:kern w:val="0"/>
                <w:sz w:val="21"/>
                <w:szCs w:val="21"/>
              </w:rPr>
            </w:pPr>
            <w:r>
              <w:rPr>
                <w:rFonts w:cs="Times New Roman"/>
                <w:color w:val="000000"/>
                <w:kern w:val="0"/>
                <w:sz w:val="21"/>
                <w:szCs w:val="21"/>
              </w:rPr>
              <w:t>9708</w:t>
            </w:r>
          </w:p>
        </w:tc>
        <w:tc>
          <w:tcPr>
            <w:tcW w:w="1224" w:type="dxa"/>
            <w:noWrap/>
            <w:vAlign w:val="center"/>
          </w:tcPr>
          <w:p w14:paraId="391E8858">
            <w:pPr>
              <w:widowControl/>
              <w:jc w:val="center"/>
              <w:rPr>
                <w:rFonts w:cs="Times New Roman"/>
                <w:color w:val="000000"/>
                <w:kern w:val="0"/>
                <w:sz w:val="21"/>
                <w:szCs w:val="21"/>
              </w:rPr>
            </w:pPr>
            <w:r>
              <w:rPr>
                <w:rFonts w:cs="Times New Roman"/>
                <w:color w:val="000000"/>
                <w:kern w:val="0"/>
                <w:sz w:val="21"/>
                <w:szCs w:val="21"/>
              </w:rPr>
              <w:t>293 (3)</w:t>
            </w:r>
          </w:p>
        </w:tc>
        <w:tc>
          <w:tcPr>
            <w:tcW w:w="1632" w:type="dxa"/>
            <w:noWrap/>
            <w:vAlign w:val="center"/>
          </w:tcPr>
          <w:p w14:paraId="63615A94">
            <w:pPr>
              <w:widowControl/>
              <w:jc w:val="center"/>
              <w:rPr>
                <w:rFonts w:cs="Times New Roman"/>
                <w:color w:val="000000"/>
                <w:kern w:val="0"/>
                <w:sz w:val="21"/>
                <w:szCs w:val="21"/>
              </w:rPr>
            </w:pPr>
            <w:r>
              <w:rPr>
                <w:rFonts w:cs="Times New Roman"/>
                <w:color w:val="000000"/>
                <w:kern w:val="0"/>
                <w:sz w:val="21"/>
                <w:szCs w:val="21"/>
              </w:rPr>
              <w:t>1.72 (1.51~1.97)</w:t>
            </w:r>
          </w:p>
        </w:tc>
        <w:tc>
          <w:tcPr>
            <w:tcW w:w="1088" w:type="dxa"/>
            <w:noWrap/>
            <w:vAlign w:val="center"/>
          </w:tcPr>
          <w:p w14:paraId="28DCCBF7">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3989814C">
            <w:pPr>
              <w:widowControl/>
              <w:jc w:val="center"/>
              <w:rPr>
                <w:rFonts w:cs="Times New Roman"/>
                <w:color w:val="000000"/>
                <w:kern w:val="0"/>
                <w:sz w:val="21"/>
                <w:szCs w:val="21"/>
              </w:rPr>
            </w:pPr>
            <w:r>
              <w:rPr>
                <w:rFonts w:cs="Times New Roman"/>
                <w:color w:val="000000"/>
                <w:kern w:val="0"/>
                <w:sz w:val="21"/>
                <w:szCs w:val="21"/>
              </w:rPr>
              <w:t>&lt;0.001</w:t>
            </w:r>
          </w:p>
        </w:tc>
      </w:tr>
      <w:tr w14:paraId="0163C81D">
        <w:tblPrEx>
          <w:tblCellMar>
            <w:top w:w="0" w:type="dxa"/>
            <w:left w:w="108" w:type="dxa"/>
            <w:bottom w:w="0" w:type="dxa"/>
            <w:right w:w="108" w:type="dxa"/>
          </w:tblCellMar>
        </w:tblPrEx>
        <w:trPr>
          <w:trHeight w:val="271" w:hRule="atLeast"/>
          <w:jc w:val="center"/>
        </w:trPr>
        <w:tc>
          <w:tcPr>
            <w:tcW w:w="2010" w:type="dxa"/>
            <w:noWrap/>
            <w:vAlign w:val="center"/>
          </w:tcPr>
          <w:p w14:paraId="7A47B54D">
            <w:pPr>
              <w:widowControl/>
              <w:jc w:val="left"/>
              <w:rPr>
                <w:rFonts w:cs="Times New Roman"/>
                <w:color w:val="000000"/>
                <w:kern w:val="0"/>
                <w:sz w:val="21"/>
                <w:szCs w:val="21"/>
              </w:rPr>
            </w:pPr>
            <w:r>
              <w:rPr>
                <w:rFonts w:cs="Times New Roman"/>
                <w:color w:val="000000"/>
                <w:kern w:val="0"/>
                <w:sz w:val="21"/>
                <w:szCs w:val="21"/>
              </w:rPr>
              <w:t xml:space="preserve">  ＞60</w:t>
            </w:r>
          </w:p>
        </w:tc>
        <w:tc>
          <w:tcPr>
            <w:tcW w:w="1811" w:type="dxa"/>
            <w:noWrap/>
            <w:vAlign w:val="center"/>
          </w:tcPr>
          <w:p w14:paraId="2C0350B9">
            <w:pPr>
              <w:widowControl/>
              <w:jc w:val="center"/>
              <w:rPr>
                <w:rFonts w:cs="Times New Roman"/>
                <w:color w:val="000000"/>
                <w:kern w:val="0"/>
                <w:sz w:val="21"/>
                <w:szCs w:val="21"/>
              </w:rPr>
            </w:pPr>
            <w:r>
              <w:rPr>
                <w:rFonts w:cs="Times New Roman"/>
                <w:color w:val="000000"/>
                <w:kern w:val="0"/>
                <w:sz w:val="21"/>
                <w:szCs w:val="21"/>
              </w:rPr>
              <w:t>5336</w:t>
            </w:r>
          </w:p>
        </w:tc>
        <w:tc>
          <w:tcPr>
            <w:tcW w:w="1224" w:type="dxa"/>
            <w:noWrap/>
            <w:vAlign w:val="center"/>
          </w:tcPr>
          <w:p w14:paraId="163C8587">
            <w:pPr>
              <w:widowControl/>
              <w:jc w:val="center"/>
              <w:rPr>
                <w:rFonts w:cs="Times New Roman"/>
                <w:color w:val="000000"/>
                <w:kern w:val="0"/>
                <w:sz w:val="21"/>
                <w:szCs w:val="21"/>
              </w:rPr>
            </w:pPr>
            <w:r>
              <w:rPr>
                <w:rFonts w:cs="Times New Roman"/>
                <w:color w:val="000000"/>
                <w:kern w:val="0"/>
                <w:sz w:val="21"/>
                <w:szCs w:val="21"/>
              </w:rPr>
              <w:t>1317 (24.7)</w:t>
            </w:r>
          </w:p>
        </w:tc>
        <w:tc>
          <w:tcPr>
            <w:tcW w:w="1632" w:type="dxa"/>
            <w:noWrap/>
            <w:vAlign w:val="center"/>
          </w:tcPr>
          <w:p w14:paraId="2ADB47FD">
            <w:pPr>
              <w:widowControl/>
              <w:jc w:val="center"/>
              <w:rPr>
                <w:rFonts w:cs="Times New Roman"/>
                <w:color w:val="000000"/>
                <w:kern w:val="0"/>
                <w:sz w:val="21"/>
                <w:szCs w:val="21"/>
              </w:rPr>
            </w:pPr>
            <w:r>
              <w:rPr>
                <w:rFonts w:cs="Times New Roman"/>
                <w:color w:val="000000"/>
                <w:kern w:val="0"/>
                <w:sz w:val="21"/>
                <w:szCs w:val="21"/>
              </w:rPr>
              <w:t>1.55 (1.45~1.65)</w:t>
            </w:r>
          </w:p>
        </w:tc>
        <w:tc>
          <w:tcPr>
            <w:tcW w:w="1088" w:type="dxa"/>
            <w:noWrap/>
            <w:vAlign w:val="center"/>
          </w:tcPr>
          <w:p w14:paraId="39657460">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042E5AF3">
            <w:pPr>
              <w:widowControl/>
              <w:jc w:val="center"/>
              <w:rPr>
                <w:rFonts w:cs="Times New Roman"/>
                <w:color w:val="000000"/>
                <w:kern w:val="0"/>
                <w:sz w:val="21"/>
                <w:szCs w:val="21"/>
              </w:rPr>
            </w:pPr>
          </w:p>
        </w:tc>
      </w:tr>
      <w:tr w14:paraId="2C2C977B">
        <w:tblPrEx>
          <w:tblCellMar>
            <w:top w:w="0" w:type="dxa"/>
            <w:left w:w="108" w:type="dxa"/>
            <w:bottom w:w="0" w:type="dxa"/>
            <w:right w:w="108" w:type="dxa"/>
          </w:tblCellMar>
        </w:tblPrEx>
        <w:trPr>
          <w:trHeight w:val="271" w:hRule="atLeast"/>
          <w:jc w:val="center"/>
        </w:trPr>
        <w:tc>
          <w:tcPr>
            <w:tcW w:w="2010" w:type="dxa"/>
            <w:noWrap/>
            <w:vAlign w:val="center"/>
          </w:tcPr>
          <w:p w14:paraId="6C00BDF9">
            <w:pPr>
              <w:widowControl/>
              <w:jc w:val="left"/>
              <w:rPr>
                <w:rFonts w:cs="Times New Roman"/>
                <w:color w:val="000000"/>
                <w:kern w:val="0"/>
                <w:sz w:val="21"/>
                <w:szCs w:val="21"/>
              </w:rPr>
            </w:pPr>
            <w:r>
              <w:rPr>
                <w:rFonts w:cs="Times New Roman"/>
                <w:color w:val="000000"/>
                <w:kern w:val="0"/>
                <w:sz w:val="21"/>
                <w:szCs w:val="21"/>
              </w:rPr>
              <w:t>BMI,kg/m2</w:t>
            </w:r>
          </w:p>
        </w:tc>
        <w:tc>
          <w:tcPr>
            <w:tcW w:w="1811" w:type="dxa"/>
            <w:noWrap/>
            <w:vAlign w:val="center"/>
          </w:tcPr>
          <w:p w14:paraId="7384F78F">
            <w:pPr>
              <w:widowControl/>
              <w:jc w:val="center"/>
              <w:rPr>
                <w:rFonts w:cs="Times New Roman"/>
                <w:color w:val="000000"/>
                <w:kern w:val="0"/>
                <w:sz w:val="21"/>
                <w:szCs w:val="21"/>
              </w:rPr>
            </w:pPr>
          </w:p>
        </w:tc>
        <w:tc>
          <w:tcPr>
            <w:tcW w:w="1224" w:type="dxa"/>
            <w:noWrap/>
            <w:vAlign w:val="center"/>
          </w:tcPr>
          <w:p w14:paraId="4F1A294D">
            <w:pPr>
              <w:widowControl/>
              <w:jc w:val="center"/>
              <w:rPr>
                <w:rFonts w:eastAsia="Times New Roman" w:cs="Times New Roman"/>
                <w:color w:val="auto"/>
                <w:kern w:val="0"/>
                <w:sz w:val="21"/>
                <w:szCs w:val="21"/>
              </w:rPr>
            </w:pPr>
          </w:p>
        </w:tc>
        <w:tc>
          <w:tcPr>
            <w:tcW w:w="1632" w:type="dxa"/>
            <w:noWrap/>
            <w:vAlign w:val="center"/>
          </w:tcPr>
          <w:p w14:paraId="39AF4EA8">
            <w:pPr>
              <w:widowControl/>
              <w:jc w:val="center"/>
              <w:rPr>
                <w:rFonts w:eastAsia="Times New Roman" w:cs="Times New Roman"/>
                <w:color w:val="auto"/>
                <w:kern w:val="0"/>
                <w:sz w:val="21"/>
                <w:szCs w:val="21"/>
              </w:rPr>
            </w:pPr>
          </w:p>
        </w:tc>
        <w:tc>
          <w:tcPr>
            <w:tcW w:w="1088" w:type="dxa"/>
            <w:noWrap/>
            <w:vAlign w:val="center"/>
          </w:tcPr>
          <w:p w14:paraId="15695B26">
            <w:pPr>
              <w:widowControl/>
              <w:jc w:val="center"/>
              <w:rPr>
                <w:rFonts w:eastAsia="Times New Roman" w:cs="Times New Roman"/>
                <w:color w:val="auto"/>
                <w:kern w:val="0"/>
                <w:sz w:val="21"/>
                <w:szCs w:val="21"/>
              </w:rPr>
            </w:pPr>
          </w:p>
        </w:tc>
        <w:tc>
          <w:tcPr>
            <w:tcW w:w="1389" w:type="dxa"/>
            <w:noWrap/>
            <w:vAlign w:val="center"/>
          </w:tcPr>
          <w:p w14:paraId="05DA8BA9">
            <w:pPr>
              <w:widowControl/>
              <w:jc w:val="center"/>
              <w:rPr>
                <w:rFonts w:eastAsia="Times New Roman" w:cs="Times New Roman"/>
                <w:color w:val="auto"/>
                <w:kern w:val="0"/>
                <w:sz w:val="21"/>
                <w:szCs w:val="21"/>
              </w:rPr>
            </w:pPr>
          </w:p>
        </w:tc>
      </w:tr>
      <w:tr w14:paraId="44CAB6A1">
        <w:tblPrEx>
          <w:tblCellMar>
            <w:top w:w="0" w:type="dxa"/>
            <w:left w:w="108" w:type="dxa"/>
            <w:bottom w:w="0" w:type="dxa"/>
            <w:right w:w="108" w:type="dxa"/>
          </w:tblCellMar>
        </w:tblPrEx>
        <w:trPr>
          <w:trHeight w:val="271" w:hRule="atLeast"/>
          <w:jc w:val="center"/>
        </w:trPr>
        <w:tc>
          <w:tcPr>
            <w:tcW w:w="2010" w:type="dxa"/>
            <w:noWrap/>
            <w:vAlign w:val="center"/>
          </w:tcPr>
          <w:p w14:paraId="45BC0F4B">
            <w:pPr>
              <w:widowControl/>
              <w:jc w:val="left"/>
              <w:rPr>
                <w:rFonts w:cs="Times New Roman"/>
                <w:color w:val="000000"/>
                <w:kern w:val="0"/>
                <w:sz w:val="21"/>
                <w:szCs w:val="21"/>
              </w:rPr>
            </w:pPr>
            <w:r>
              <w:rPr>
                <w:rFonts w:cs="Times New Roman"/>
                <w:color w:val="000000"/>
                <w:kern w:val="0"/>
                <w:sz w:val="21"/>
                <w:szCs w:val="21"/>
              </w:rPr>
              <w:t xml:space="preserve">  ≤25</w:t>
            </w:r>
          </w:p>
        </w:tc>
        <w:tc>
          <w:tcPr>
            <w:tcW w:w="1811" w:type="dxa"/>
            <w:noWrap/>
            <w:vAlign w:val="center"/>
          </w:tcPr>
          <w:p w14:paraId="5AA38045">
            <w:pPr>
              <w:widowControl/>
              <w:jc w:val="center"/>
              <w:rPr>
                <w:rFonts w:cs="Times New Roman"/>
                <w:color w:val="000000"/>
                <w:kern w:val="0"/>
                <w:sz w:val="21"/>
                <w:szCs w:val="21"/>
              </w:rPr>
            </w:pPr>
            <w:r>
              <w:rPr>
                <w:rFonts w:cs="Times New Roman"/>
                <w:color w:val="000000"/>
                <w:kern w:val="0"/>
                <w:sz w:val="21"/>
                <w:szCs w:val="21"/>
              </w:rPr>
              <w:t>4229</w:t>
            </w:r>
          </w:p>
        </w:tc>
        <w:tc>
          <w:tcPr>
            <w:tcW w:w="1224" w:type="dxa"/>
            <w:noWrap/>
            <w:vAlign w:val="center"/>
          </w:tcPr>
          <w:p w14:paraId="4D7CB09B">
            <w:pPr>
              <w:widowControl/>
              <w:jc w:val="center"/>
              <w:rPr>
                <w:rFonts w:cs="Times New Roman"/>
                <w:color w:val="000000"/>
                <w:kern w:val="0"/>
                <w:sz w:val="21"/>
                <w:szCs w:val="21"/>
              </w:rPr>
            </w:pPr>
            <w:r>
              <w:rPr>
                <w:rFonts w:cs="Times New Roman"/>
                <w:color w:val="000000"/>
                <w:kern w:val="0"/>
                <w:sz w:val="21"/>
                <w:szCs w:val="21"/>
              </w:rPr>
              <w:t>488 (11.5)</w:t>
            </w:r>
          </w:p>
        </w:tc>
        <w:tc>
          <w:tcPr>
            <w:tcW w:w="1632" w:type="dxa"/>
            <w:noWrap/>
            <w:vAlign w:val="center"/>
          </w:tcPr>
          <w:p w14:paraId="43900678">
            <w:pPr>
              <w:widowControl/>
              <w:jc w:val="center"/>
              <w:rPr>
                <w:rFonts w:cs="Times New Roman"/>
                <w:color w:val="000000"/>
                <w:kern w:val="0"/>
                <w:sz w:val="21"/>
                <w:szCs w:val="21"/>
              </w:rPr>
            </w:pPr>
            <w:r>
              <w:rPr>
                <w:rFonts w:cs="Times New Roman"/>
                <w:color w:val="000000"/>
                <w:kern w:val="0"/>
                <w:sz w:val="21"/>
                <w:szCs w:val="21"/>
              </w:rPr>
              <w:t>1.86 (1.68~2.11)</w:t>
            </w:r>
          </w:p>
        </w:tc>
        <w:tc>
          <w:tcPr>
            <w:tcW w:w="1088" w:type="dxa"/>
            <w:noWrap/>
            <w:vAlign w:val="center"/>
          </w:tcPr>
          <w:p w14:paraId="07551379">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65D8AF51">
            <w:pPr>
              <w:widowControl/>
              <w:jc w:val="center"/>
              <w:rPr>
                <w:rFonts w:cs="Times New Roman"/>
                <w:color w:val="000000"/>
                <w:kern w:val="0"/>
                <w:sz w:val="21"/>
                <w:szCs w:val="21"/>
              </w:rPr>
            </w:pPr>
            <w:r>
              <w:rPr>
                <w:rFonts w:cs="Times New Roman"/>
                <w:color w:val="000000"/>
                <w:kern w:val="0"/>
                <w:sz w:val="21"/>
                <w:szCs w:val="21"/>
              </w:rPr>
              <w:t>&lt;0.001</w:t>
            </w:r>
          </w:p>
        </w:tc>
      </w:tr>
      <w:tr w14:paraId="266CD7B1">
        <w:tblPrEx>
          <w:tblCellMar>
            <w:top w:w="0" w:type="dxa"/>
            <w:left w:w="108" w:type="dxa"/>
            <w:bottom w:w="0" w:type="dxa"/>
            <w:right w:w="108" w:type="dxa"/>
          </w:tblCellMar>
        </w:tblPrEx>
        <w:trPr>
          <w:trHeight w:val="271" w:hRule="atLeast"/>
          <w:jc w:val="center"/>
        </w:trPr>
        <w:tc>
          <w:tcPr>
            <w:tcW w:w="2010" w:type="dxa"/>
            <w:noWrap/>
            <w:vAlign w:val="center"/>
          </w:tcPr>
          <w:p w14:paraId="2FCD1029">
            <w:pPr>
              <w:widowControl/>
              <w:jc w:val="left"/>
              <w:rPr>
                <w:rFonts w:cs="Times New Roman"/>
                <w:color w:val="000000"/>
                <w:kern w:val="0"/>
                <w:sz w:val="21"/>
                <w:szCs w:val="21"/>
              </w:rPr>
            </w:pPr>
            <w:r>
              <w:rPr>
                <w:rFonts w:cs="Times New Roman"/>
                <w:color w:val="000000"/>
                <w:kern w:val="0"/>
                <w:sz w:val="21"/>
                <w:szCs w:val="21"/>
              </w:rPr>
              <w:t xml:space="preserve">  ＞25</w:t>
            </w:r>
          </w:p>
        </w:tc>
        <w:tc>
          <w:tcPr>
            <w:tcW w:w="1811" w:type="dxa"/>
            <w:noWrap/>
            <w:vAlign w:val="center"/>
          </w:tcPr>
          <w:p w14:paraId="68F1CE48">
            <w:pPr>
              <w:widowControl/>
              <w:jc w:val="center"/>
              <w:rPr>
                <w:rFonts w:cs="Times New Roman"/>
                <w:color w:val="000000"/>
                <w:kern w:val="0"/>
                <w:sz w:val="21"/>
                <w:szCs w:val="21"/>
              </w:rPr>
            </w:pPr>
            <w:r>
              <w:rPr>
                <w:rFonts w:cs="Times New Roman"/>
                <w:color w:val="000000"/>
                <w:kern w:val="0"/>
                <w:sz w:val="21"/>
                <w:szCs w:val="21"/>
              </w:rPr>
              <w:t>10622</w:t>
            </w:r>
          </w:p>
        </w:tc>
        <w:tc>
          <w:tcPr>
            <w:tcW w:w="1224" w:type="dxa"/>
            <w:noWrap/>
            <w:vAlign w:val="center"/>
          </w:tcPr>
          <w:p w14:paraId="1F8394BF">
            <w:pPr>
              <w:widowControl/>
              <w:jc w:val="center"/>
              <w:rPr>
                <w:rFonts w:cs="Times New Roman"/>
                <w:color w:val="000000"/>
                <w:kern w:val="0"/>
                <w:sz w:val="21"/>
                <w:szCs w:val="21"/>
              </w:rPr>
            </w:pPr>
            <w:r>
              <w:rPr>
                <w:rFonts w:cs="Times New Roman"/>
                <w:color w:val="000000"/>
                <w:kern w:val="0"/>
                <w:sz w:val="21"/>
                <w:szCs w:val="21"/>
              </w:rPr>
              <w:t>1056 (9.9)</w:t>
            </w:r>
          </w:p>
        </w:tc>
        <w:tc>
          <w:tcPr>
            <w:tcW w:w="1632" w:type="dxa"/>
            <w:noWrap/>
            <w:vAlign w:val="center"/>
          </w:tcPr>
          <w:p w14:paraId="15EE2F24">
            <w:pPr>
              <w:widowControl/>
              <w:jc w:val="center"/>
              <w:rPr>
                <w:rFonts w:cs="Times New Roman"/>
                <w:color w:val="000000"/>
                <w:kern w:val="0"/>
                <w:sz w:val="21"/>
                <w:szCs w:val="21"/>
              </w:rPr>
            </w:pPr>
            <w:r>
              <w:rPr>
                <w:rFonts w:cs="Times New Roman"/>
                <w:color w:val="000000"/>
                <w:kern w:val="0"/>
                <w:sz w:val="21"/>
                <w:szCs w:val="21"/>
              </w:rPr>
              <w:t>1.49 (1.41~1.61)</w:t>
            </w:r>
          </w:p>
        </w:tc>
        <w:tc>
          <w:tcPr>
            <w:tcW w:w="1088" w:type="dxa"/>
            <w:noWrap/>
            <w:vAlign w:val="center"/>
          </w:tcPr>
          <w:p w14:paraId="6D93440E">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45A6ADF8">
            <w:pPr>
              <w:widowControl/>
              <w:jc w:val="center"/>
              <w:rPr>
                <w:rFonts w:cs="Times New Roman"/>
                <w:color w:val="000000"/>
                <w:kern w:val="0"/>
                <w:sz w:val="21"/>
                <w:szCs w:val="21"/>
              </w:rPr>
            </w:pPr>
          </w:p>
        </w:tc>
      </w:tr>
      <w:tr w14:paraId="5142C578">
        <w:tblPrEx>
          <w:tblCellMar>
            <w:top w:w="0" w:type="dxa"/>
            <w:left w:w="108" w:type="dxa"/>
            <w:bottom w:w="0" w:type="dxa"/>
            <w:right w:w="108" w:type="dxa"/>
          </w:tblCellMar>
        </w:tblPrEx>
        <w:trPr>
          <w:trHeight w:val="271" w:hRule="atLeast"/>
          <w:jc w:val="center"/>
        </w:trPr>
        <w:tc>
          <w:tcPr>
            <w:tcW w:w="2010" w:type="dxa"/>
            <w:noWrap/>
            <w:vAlign w:val="center"/>
          </w:tcPr>
          <w:p w14:paraId="389B578D">
            <w:pPr>
              <w:widowControl/>
              <w:jc w:val="left"/>
              <w:rPr>
                <w:rFonts w:cs="Times New Roman"/>
                <w:color w:val="000000"/>
                <w:kern w:val="0"/>
                <w:sz w:val="21"/>
                <w:szCs w:val="21"/>
              </w:rPr>
            </w:pPr>
            <w:r>
              <w:rPr>
                <w:rFonts w:cs="Times New Roman"/>
                <w:color w:val="000000"/>
                <w:kern w:val="0"/>
                <w:sz w:val="21"/>
                <w:szCs w:val="21"/>
              </w:rPr>
              <w:t>PIR</w:t>
            </w:r>
          </w:p>
        </w:tc>
        <w:tc>
          <w:tcPr>
            <w:tcW w:w="1811" w:type="dxa"/>
            <w:noWrap/>
            <w:vAlign w:val="center"/>
          </w:tcPr>
          <w:p w14:paraId="3A7A832E">
            <w:pPr>
              <w:widowControl/>
              <w:jc w:val="center"/>
              <w:rPr>
                <w:rFonts w:cs="Times New Roman"/>
                <w:color w:val="000000"/>
                <w:kern w:val="0"/>
                <w:sz w:val="21"/>
                <w:szCs w:val="21"/>
              </w:rPr>
            </w:pPr>
          </w:p>
        </w:tc>
        <w:tc>
          <w:tcPr>
            <w:tcW w:w="1224" w:type="dxa"/>
            <w:noWrap/>
            <w:vAlign w:val="center"/>
          </w:tcPr>
          <w:p w14:paraId="09075614">
            <w:pPr>
              <w:widowControl/>
              <w:jc w:val="center"/>
              <w:rPr>
                <w:rFonts w:eastAsia="Times New Roman" w:cs="Times New Roman"/>
                <w:color w:val="auto"/>
                <w:kern w:val="0"/>
                <w:sz w:val="21"/>
                <w:szCs w:val="21"/>
              </w:rPr>
            </w:pPr>
          </w:p>
        </w:tc>
        <w:tc>
          <w:tcPr>
            <w:tcW w:w="1632" w:type="dxa"/>
            <w:noWrap/>
            <w:vAlign w:val="center"/>
          </w:tcPr>
          <w:p w14:paraId="797DF2FC">
            <w:pPr>
              <w:widowControl/>
              <w:jc w:val="center"/>
              <w:rPr>
                <w:rFonts w:eastAsia="Times New Roman" w:cs="Times New Roman"/>
                <w:color w:val="auto"/>
                <w:kern w:val="0"/>
                <w:sz w:val="21"/>
                <w:szCs w:val="21"/>
              </w:rPr>
            </w:pPr>
          </w:p>
        </w:tc>
        <w:tc>
          <w:tcPr>
            <w:tcW w:w="1088" w:type="dxa"/>
            <w:noWrap/>
            <w:vAlign w:val="center"/>
          </w:tcPr>
          <w:p w14:paraId="6FDFB6D0">
            <w:pPr>
              <w:widowControl/>
              <w:jc w:val="center"/>
              <w:rPr>
                <w:rFonts w:eastAsia="Times New Roman" w:cs="Times New Roman"/>
                <w:color w:val="auto"/>
                <w:kern w:val="0"/>
                <w:sz w:val="21"/>
                <w:szCs w:val="21"/>
              </w:rPr>
            </w:pPr>
          </w:p>
        </w:tc>
        <w:tc>
          <w:tcPr>
            <w:tcW w:w="1389" w:type="dxa"/>
            <w:noWrap/>
            <w:vAlign w:val="center"/>
          </w:tcPr>
          <w:p w14:paraId="747540C5">
            <w:pPr>
              <w:widowControl/>
              <w:jc w:val="center"/>
              <w:rPr>
                <w:rFonts w:eastAsia="Times New Roman" w:cs="Times New Roman"/>
                <w:color w:val="auto"/>
                <w:kern w:val="0"/>
                <w:sz w:val="21"/>
                <w:szCs w:val="21"/>
              </w:rPr>
            </w:pPr>
          </w:p>
        </w:tc>
      </w:tr>
      <w:tr w14:paraId="5DC83E2D">
        <w:tblPrEx>
          <w:tblCellMar>
            <w:top w:w="0" w:type="dxa"/>
            <w:left w:w="108" w:type="dxa"/>
            <w:bottom w:w="0" w:type="dxa"/>
            <w:right w:w="108" w:type="dxa"/>
          </w:tblCellMar>
        </w:tblPrEx>
        <w:trPr>
          <w:trHeight w:val="271" w:hRule="atLeast"/>
          <w:jc w:val="center"/>
        </w:trPr>
        <w:tc>
          <w:tcPr>
            <w:tcW w:w="2010" w:type="dxa"/>
            <w:noWrap/>
            <w:vAlign w:val="center"/>
          </w:tcPr>
          <w:p w14:paraId="099E68D6">
            <w:pPr>
              <w:widowControl/>
              <w:jc w:val="left"/>
              <w:rPr>
                <w:rFonts w:cs="Times New Roman"/>
                <w:color w:val="000000"/>
                <w:kern w:val="0"/>
                <w:sz w:val="21"/>
                <w:szCs w:val="21"/>
              </w:rPr>
            </w:pPr>
            <w:r>
              <w:rPr>
                <w:rFonts w:cs="Times New Roman"/>
                <w:color w:val="000000"/>
                <w:kern w:val="0"/>
                <w:sz w:val="21"/>
                <w:szCs w:val="21"/>
              </w:rPr>
              <w:t xml:space="preserve"> ≤2.09</w:t>
            </w:r>
          </w:p>
        </w:tc>
        <w:tc>
          <w:tcPr>
            <w:tcW w:w="1811" w:type="dxa"/>
            <w:noWrap/>
            <w:vAlign w:val="center"/>
          </w:tcPr>
          <w:p w14:paraId="1D287DDC">
            <w:pPr>
              <w:widowControl/>
              <w:jc w:val="center"/>
              <w:rPr>
                <w:rFonts w:cs="Times New Roman"/>
                <w:color w:val="000000"/>
                <w:kern w:val="0"/>
                <w:sz w:val="21"/>
                <w:szCs w:val="21"/>
              </w:rPr>
            </w:pPr>
            <w:r>
              <w:rPr>
                <w:rFonts w:cs="Times New Roman"/>
                <w:color w:val="000000"/>
                <w:kern w:val="0"/>
                <w:sz w:val="21"/>
                <w:szCs w:val="21"/>
              </w:rPr>
              <w:t>6858</w:t>
            </w:r>
          </w:p>
        </w:tc>
        <w:tc>
          <w:tcPr>
            <w:tcW w:w="1224" w:type="dxa"/>
            <w:noWrap/>
            <w:vAlign w:val="center"/>
          </w:tcPr>
          <w:p w14:paraId="35712987">
            <w:pPr>
              <w:widowControl/>
              <w:jc w:val="center"/>
              <w:rPr>
                <w:rFonts w:cs="Times New Roman"/>
                <w:color w:val="000000"/>
                <w:kern w:val="0"/>
                <w:sz w:val="21"/>
                <w:szCs w:val="21"/>
              </w:rPr>
            </w:pPr>
            <w:r>
              <w:rPr>
                <w:rFonts w:cs="Times New Roman"/>
                <w:color w:val="000000"/>
                <w:kern w:val="0"/>
                <w:sz w:val="21"/>
                <w:szCs w:val="21"/>
              </w:rPr>
              <w:t>893 (13)</w:t>
            </w:r>
          </w:p>
        </w:tc>
        <w:tc>
          <w:tcPr>
            <w:tcW w:w="1632" w:type="dxa"/>
            <w:noWrap/>
            <w:vAlign w:val="center"/>
          </w:tcPr>
          <w:p w14:paraId="5152FA42">
            <w:pPr>
              <w:widowControl/>
              <w:jc w:val="center"/>
              <w:rPr>
                <w:rFonts w:cs="Times New Roman"/>
                <w:color w:val="000000"/>
                <w:kern w:val="0"/>
                <w:sz w:val="21"/>
                <w:szCs w:val="21"/>
              </w:rPr>
            </w:pPr>
            <w:r>
              <w:rPr>
                <w:rFonts w:cs="Times New Roman"/>
                <w:color w:val="000000"/>
                <w:kern w:val="0"/>
                <w:sz w:val="21"/>
                <w:szCs w:val="21"/>
              </w:rPr>
              <w:t>1.48 (1.4~1.61)</w:t>
            </w:r>
          </w:p>
        </w:tc>
        <w:tc>
          <w:tcPr>
            <w:tcW w:w="1088" w:type="dxa"/>
            <w:noWrap/>
            <w:vAlign w:val="center"/>
          </w:tcPr>
          <w:p w14:paraId="77578420">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7374AAC5">
            <w:pPr>
              <w:widowControl/>
              <w:jc w:val="center"/>
              <w:rPr>
                <w:rFonts w:cs="Times New Roman"/>
                <w:color w:val="000000"/>
                <w:kern w:val="0"/>
                <w:sz w:val="21"/>
                <w:szCs w:val="21"/>
              </w:rPr>
            </w:pPr>
            <w:r>
              <w:rPr>
                <w:rFonts w:cs="Times New Roman"/>
                <w:color w:val="000000"/>
                <w:kern w:val="0"/>
                <w:sz w:val="21"/>
                <w:szCs w:val="21"/>
              </w:rPr>
              <w:t>0.001</w:t>
            </w:r>
          </w:p>
        </w:tc>
      </w:tr>
      <w:tr w14:paraId="3C422590">
        <w:tblPrEx>
          <w:tblCellMar>
            <w:top w:w="0" w:type="dxa"/>
            <w:left w:w="108" w:type="dxa"/>
            <w:bottom w:w="0" w:type="dxa"/>
            <w:right w:w="108" w:type="dxa"/>
          </w:tblCellMar>
        </w:tblPrEx>
        <w:trPr>
          <w:trHeight w:val="271" w:hRule="atLeast"/>
          <w:jc w:val="center"/>
        </w:trPr>
        <w:tc>
          <w:tcPr>
            <w:tcW w:w="2010" w:type="dxa"/>
            <w:noWrap/>
            <w:vAlign w:val="center"/>
          </w:tcPr>
          <w:p w14:paraId="660632DD">
            <w:pPr>
              <w:widowControl/>
              <w:jc w:val="left"/>
              <w:rPr>
                <w:rFonts w:cs="Times New Roman"/>
                <w:color w:val="000000"/>
                <w:kern w:val="0"/>
                <w:sz w:val="21"/>
                <w:szCs w:val="21"/>
              </w:rPr>
            </w:pPr>
            <w:r>
              <w:rPr>
                <w:rFonts w:cs="Times New Roman"/>
                <w:color w:val="000000"/>
                <w:kern w:val="0"/>
                <w:sz w:val="21"/>
                <w:szCs w:val="21"/>
              </w:rPr>
              <w:t xml:space="preserve"> ＞2.09</w:t>
            </w:r>
          </w:p>
        </w:tc>
        <w:tc>
          <w:tcPr>
            <w:tcW w:w="1811" w:type="dxa"/>
            <w:noWrap/>
            <w:vAlign w:val="center"/>
          </w:tcPr>
          <w:p w14:paraId="16DA456B">
            <w:pPr>
              <w:widowControl/>
              <w:jc w:val="center"/>
              <w:rPr>
                <w:rFonts w:cs="Times New Roman"/>
                <w:color w:val="000000"/>
                <w:kern w:val="0"/>
                <w:sz w:val="21"/>
                <w:szCs w:val="21"/>
              </w:rPr>
            </w:pPr>
            <w:r>
              <w:rPr>
                <w:rFonts w:cs="Times New Roman"/>
                <w:color w:val="000000"/>
                <w:kern w:val="0"/>
                <w:sz w:val="21"/>
                <w:szCs w:val="21"/>
              </w:rPr>
              <w:t>6886</w:t>
            </w:r>
          </w:p>
        </w:tc>
        <w:tc>
          <w:tcPr>
            <w:tcW w:w="1224" w:type="dxa"/>
            <w:noWrap/>
            <w:vAlign w:val="center"/>
          </w:tcPr>
          <w:p w14:paraId="4EA5DA62">
            <w:pPr>
              <w:widowControl/>
              <w:jc w:val="center"/>
              <w:rPr>
                <w:rFonts w:cs="Times New Roman"/>
                <w:color w:val="000000"/>
                <w:kern w:val="0"/>
                <w:sz w:val="21"/>
                <w:szCs w:val="21"/>
              </w:rPr>
            </w:pPr>
            <w:r>
              <w:rPr>
                <w:rFonts w:cs="Times New Roman"/>
                <w:color w:val="000000"/>
                <w:kern w:val="0"/>
                <w:sz w:val="21"/>
                <w:szCs w:val="21"/>
              </w:rPr>
              <w:t>600 (8.7)</w:t>
            </w:r>
          </w:p>
        </w:tc>
        <w:tc>
          <w:tcPr>
            <w:tcW w:w="1632" w:type="dxa"/>
            <w:noWrap/>
            <w:vAlign w:val="center"/>
          </w:tcPr>
          <w:p w14:paraId="4BB7CA80">
            <w:pPr>
              <w:widowControl/>
              <w:jc w:val="center"/>
              <w:rPr>
                <w:rFonts w:cs="Times New Roman"/>
                <w:color w:val="000000"/>
                <w:kern w:val="0"/>
                <w:sz w:val="21"/>
                <w:szCs w:val="21"/>
              </w:rPr>
            </w:pPr>
            <w:r>
              <w:rPr>
                <w:rFonts w:cs="Times New Roman"/>
                <w:color w:val="000000"/>
                <w:kern w:val="0"/>
                <w:sz w:val="21"/>
                <w:szCs w:val="21"/>
              </w:rPr>
              <w:t>1.82 (1.64~2.01)</w:t>
            </w:r>
          </w:p>
        </w:tc>
        <w:tc>
          <w:tcPr>
            <w:tcW w:w="1088" w:type="dxa"/>
            <w:noWrap/>
            <w:vAlign w:val="center"/>
          </w:tcPr>
          <w:p w14:paraId="64E075BA">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1211499F">
            <w:pPr>
              <w:widowControl/>
              <w:jc w:val="center"/>
              <w:rPr>
                <w:rFonts w:cs="Times New Roman"/>
                <w:color w:val="000000"/>
                <w:kern w:val="0"/>
                <w:sz w:val="21"/>
                <w:szCs w:val="21"/>
              </w:rPr>
            </w:pPr>
          </w:p>
        </w:tc>
      </w:tr>
      <w:tr w14:paraId="2B54516C">
        <w:tblPrEx>
          <w:tblCellMar>
            <w:top w:w="0" w:type="dxa"/>
            <w:left w:w="108" w:type="dxa"/>
            <w:bottom w:w="0" w:type="dxa"/>
            <w:right w:w="108" w:type="dxa"/>
          </w:tblCellMar>
        </w:tblPrEx>
        <w:trPr>
          <w:trHeight w:val="271" w:hRule="atLeast"/>
          <w:jc w:val="center"/>
        </w:trPr>
        <w:tc>
          <w:tcPr>
            <w:tcW w:w="2010" w:type="dxa"/>
            <w:noWrap/>
            <w:vAlign w:val="center"/>
          </w:tcPr>
          <w:p w14:paraId="50A7E61F">
            <w:pPr>
              <w:widowControl/>
              <w:jc w:val="left"/>
              <w:rPr>
                <w:rFonts w:cs="Times New Roman"/>
                <w:color w:val="000000"/>
                <w:kern w:val="0"/>
                <w:sz w:val="21"/>
                <w:szCs w:val="21"/>
              </w:rPr>
            </w:pPr>
            <w:r>
              <w:rPr>
                <w:rFonts w:cs="Times New Roman"/>
                <w:color w:val="000000"/>
                <w:kern w:val="0"/>
                <w:sz w:val="21"/>
                <w:szCs w:val="21"/>
              </w:rPr>
              <w:t>Education level</w:t>
            </w:r>
          </w:p>
        </w:tc>
        <w:tc>
          <w:tcPr>
            <w:tcW w:w="1811" w:type="dxa"/>
            <w:noWrap/>
            <w:vAlign w:val="center"/>
          </w:tcPr>
          <w:p w14:paraId="543400D0">
            <w:pPr>
              <w:widowControl/>
              <w:jc w:val="center"/>
              <w:rPr>
                <w:rFonts w:cs="Times New Roman"/>
                <w:color w:val="000000"/>
                <w:kern w:val="0"/>
                <w:sz w:val="21"/>
                <w:szCs w:val="21"/>
              </w:rPr>
            </w:pPr>
          </w:p>
        </w:tc>
        <w:tc>
          <w:tcPr>
            <w:tcW w:w="1224" w:type="dxa"/>
            <w:noWrap/>
            <w:vAlign w:val="center"/>
          </w:tcPr>
          <w:p w14:paraId="6A100553">
            <w:pPr>
              <w:widowControl/>
              <w:jc w:val="center"/>
              <w:rPr>
                <w:rFonts w:eastAsia="Times New Roman" w:cs="Times New Roman"/>
                <w:color w:val="auto"/>
                <w:kern w:val="0"/>
                <w:sz w:val="21"/>
                <w:szCs w:val="21"/>
              </w:rPr>
            </w:pPr>
          </w:p>
        </w:tc>
        <w:tc>
          <w:tcPr>
            <w:tcW w:w="1632" w:type="dxa"/>
            <w:noWrap/>
            <w:vAlign w:val="center"/>
          </w:tcPr>
          <w:p w14:paraId="03A93239">
            <w:pPr>
              <w:widowControl/>
              <w:jc w:val="center"/>
              <w:rPr>
                <w:rFonts w:eastAsia="Times New Roman" w:cs="Times New Roman"/>
                <w:color w:val="auto"/>
                <w:kern w:val="0"/>
                <w:sz w:val="21"/>
                <w:szCs w:val="21"/>
              </w:rPr>
            </w:pPr>
          </w:p>
        </w:tc>
        <w:tc>
          <w:tcPr>
            <w:tcW w:w="1088" w:type="dxa"/>
            <w:noWrap/>
            <w:vAlign w:val="center"/>
          </w:tcPr>
          <w:p w14:paraId="0CF86BDC">
            <w:pPr>
              <w:widowControl/>
              <w:jc w:val="center"/>
              <w:rPr>
                <w:rFonts w:eastAsia="Times New Roman" w:cs="Times New Roman"/>
                <w:color w:val="auto"/>
                <w:kern w:val="0"/>
                <w:sz w:val="21"/>
                <w:szCs w:val="21"/>
              </w:rPr>
            </w:pPr>
          </w:p>
        </w:tc>
        <w:tc>
          <w:tcPr>
            <w:tcW w:w="1389" w:type="dxa"/>
            <w:noWrap/>
            <w:vAlign w:val="center"/>
          </w:tcPr>
          <w:p w14:paraId="314E7E69">
            <w:pPr>
              <w:widowControl/>
              <w:jc w:val="center"/>
              <w:rPr>
                <w:rFonts w:eastAsia="Times New Roman" w:cs="Times New Roman"/>
                <w:color w:val="auto"/>
                <w:kern w:val="0"/>
                <w:sz w:val="21"/>
                <w:szCs w:val="21"/>
              </w:rPr>
            </w:pPr>
          </w:p>
        </w:tc>
      </w:tr>
      <w:tr w14:paraId="75E88F1F">
        <w:tblPrEx>
          <w:tblCellMar>
            <w:top w:w="0" w:type="dxa"/>
            <w:left w:w="108" w:type="dxa"/>
            <w:bottom w:w="0" w:type="dxa"/>
            <w:right w:w="108" w:type="dxa"/>
          </w:tblCellMar>
        </w:tblPrEx>
        <w:trPr>
          <w:trHeight w:val="271" w:hRule="atLeast"/>
          <w:jc w:val="center"/>
        </w:trPr>
        <w:tc>
          <w:tcPr>
            <w:tcW w:w="2010" w:type="dxa"/>
            <w:noWrap/>
            <w:vAlign w:val="center"/>
          </w:tcPr>
          <w:p w14:paraId="5CC45674">
            <w:pPr>
              <w:widowControl/>
              <w:jc w:val="left"/>
              <w:rPr>
                <w:rFonts w:cs="Times New Roman"/>
                <w:color w:val="000000"/>
                <w:kern w:val="0"/>
                <w:sz w:val="21"/>
                <w:szCs w:val="21"/>
              </w:rPr>
            </w:pPr>
            <w:r>
              <w:rPr>
                <w:rFonts w:cs="Times New Roman"/>
                <w:color w:val="000000"/>
                <w:kern w:val="0"/>
                <w:sz w:val="21"/>
                <w:szCs w:val="21"/>
              </w:rPr>
              <w:t xml:space="preserve"> &lt;High school</w:t>
            </w:r>
          </w:p>
        </w:tc>
        <w:tc>
          <w:tcPr>
            <w:tcW w:w="1811" w:type="dxa"/>
            <w:noWrap/>
            <w:vAlign w:val="center"/>
          </w:tcPr>
          <w:p w14:paraId="73357F26">
            <w:pPr>
              <w:widowControl/>
              <w:jc w:val="center"/>
              <w:rPr>
                <w:rFonts w:cs="Times New Roman"/>
                <w:color w:val="000000"/>
                <w:kern w:val="0"/>
                <w:sz w:val="21"/>
                <w:szCs w:val="21"/>
              </w:rPr>
            </w:pPr>
            <w:r>
              <w:rPr>
                <w:rFonts w:cs="Times New Roman"/>
                <w:color w:val="000000"/>
                <w:kern w:val="0"/>
                <w:sz w:val="21"/>
                <w:szCs w:val="21"/>
              </w:rPr>
              <w:t>3809</w:t>
            </w:r>
          </w:p>
        </w:tc>
        <w:tc>
          <w:tcPr>
            <w:tcW w:w="1224" w:type="dxa"/>
            <w:noWrap/>
            <w:vAlign w:val="center"/>
          </w:tcPr>
          <w:p w14:paraId="665BBAEE">
            <w:pPr>
              <w:widowControl/>
              <w:jc w:val="center"/>
              <w:rPr>
                <w:rFonts w:cs="Times New Roman"/>
                <w:color w:val="000000"/>
                <w:kern w:val="0"/>
                <w:sz w:val="21"/>
                <w:szCs w:val="21"/>
              </w:rPr>
            </w:pPr>
            <w:r>
              <w:rPr>
                <w:rFonts w:cs="Times New Roman"/>
                <w:color w:val="000000"/>
                <w:kern w:val="0"/>
                <w:sz w:val="21"/>
                <w:szCs w:val="21"/>
              </w:rPr>
              <w:t>586 (15.4)</w:t>
            </w:r>
          </w:p>
        </w:tc>
        <w:tc>
          <w:tcPr>
            <w:tcW w:w="1632" w:type="dxa"/>
            <w:noWrap/>
            <w:vAlign w:val="center"/>
          </w:tcPr>
          <w:p w14:paraId="681F2C7A">
            <w:pPr>
              <w:widowControl/>
              <w:jc w:val="center"/>
              <w:rPr>
                <w:rFonts w:cs="Times New Roman"/>
                <w:color w:val="000000"/>
                <w:kern w:val="0"/>
                <w:sz w:val="21"/>
                <w:szCs w:val="21"/>
              </w:rPr>
            </w:pPr>
            <w:r>
              <w:rPr>
                <w:rFonts w:cs="Times New Roman"/>
                <w:color w:val="000000"/>
                <w:kern w:val="0"/>
                <w:sz w:val="21"/>
                <w:szCs w:val="21"/>
              </w:rPr>
              <w:t>1.47 (1.34~1.61)</w:t>
            </w:r>
          </w:p>
        </w:tc>
        <w:tc>
          <w:tcPr>
            <w:tcW w:w="1088" w:type="dxa"/>
            <w:noWrap/>
            <w:vAlign w:val="center"/>
          </w:tcPr>
          <w:p w14:paraId="0EFA335E">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2F9157F8">
            <w:pPr>
              <w:widowControl/>
              <w:jc w:val="center"/>
              <w:rPr>
                <w:rFonts w:cs="Times New Roman"/>
                <w:color w:val="000000"/>
                <w:kern w:val="0"/>
                <w:sz w:val="21"/>
                <w:szCs w:val="21"/>
              </w:rPr>
            </w:pPr>
            <w:r>
              <w:rPr>
                <w:rFonts w:cs="Times New Roman"/>
                <w:color w:val="000000"/>
                <w:kern w:val="0"/>
                <w:sz w:val="21"/>
                <w:szCs w:val="21"/>
              </w:rPr>
              <w:t>0.008</w:t>
            </w:r>
          </w:p>
        </w:tc>
      </w:tr>
      <w:tr w14:paraId="3D1D87F2">
        <w:tblPrEx>
          <w:tblCellMar>
            <w:top w:w="0" w:type="dxa"/>
            <w:left w:w="108" w:type="dxa"/>
            <w:bottom w:w="0" w:type="dxa"/>
            <w:right w:w="108" w:type="dxa"/>
          </w:tblCellMar>
        </w:tblPrEx>
        <w:trPr>
          <w:trHeight w:val="271" w:hRule="atLeast"/>
          <w:jc w:val="center"/>
        </w:trPr>
        <w:tc>
          <w:tcPr>
            <w:tcW w:w="2010" w:type="dxa"/>
            <w:noWrap/>
            <w:vAlign w:val="center"/>
          </w:tcPr>
          <w:p w14:paraId="75C783C8">
            <w:pPr>
              <w:widowControl/>
              <w:jc w:val="left"/>
              <w:rPr>
                <w:rFonts w:cs="Times New Roman"/>
                <w:color w:val="000000"/>
                <w:kern w:val="0"/>
                <w:sz w:val="21"/>
                <w:szCs w:val="21"/>
              </w:rPr>
            </w:pPr>
            <w:r>
              <w:rPr>
                <w:rFonts w:cs="Times New Roman"/>
                <w:color w:val="000000"/>
                <w:kern w:val="0"/>
                <w:sz w:val="21"/>
                <w:szCs w:val="21"/>
              </w:rPr>
              <w:t xml:space="preserve"> ≥High school </w:t>
            </w:r>
          </w:p>
        </w:tc>
        <w:tc>
          <w:tcPr>
            <w:tcW w:w="1811" w:type="dxa"/>
            <w:noWrap/>
            <w:vAlign w:val="center"/>
          </w:tcPr>
          <w:p w14:paraId="021782AD">
            <w:pPr>
              <w:widowControl/>
              <w:jc w:val="center"/>
              <w:rPr>
                <w:rFonts w:cs="Times New Roman"/>
                <w:color w:val="000000"/>
                <w:kern w:val="0"/>
                <w:sz w:val="21"/>
                <w:szCs w:val="21"/>
              </w:rPr>
            </w:pPr>
            <w:r>
              <w:rPr>
                <w:rFonts w:cs="Times New Roman"/>
                <w:color w:val="000000"/>
                <w:kern w:val="0"/>
                <w:sz w:val="21"/>
                <w:szCs w:val="21"/>
              </w:rPr>
              <w:t>11219</w:t>
            </w:r>
          </w:p>
        </w:tc>
        <w:tc>
          <w:tcPr>
            <w:tcW w:w="1224" w:type="dxa"/>
            <w:noWrap/>
            <w:vAlign w:val="center"/>
          </w:tcPr>
          <w:p w14:paraId="5AFCD36E">
            <w:pPr>
              <w:widowControl/>
              <w:jc w:val="center"/>
              <w:rPr>
                <w:rFonts w:cs="Times New Roman"/>
                <w:color w:val="000000"/>
                <w:kern w:val="0"/>
                <w:sz w:val="21"/>
                <w:szCs w:val="21"/>
              </w:rPr>
            </w:pPr>
            <w:r>
              <w:rPr>
                <w:rFonts w:cs="Times New Roman"/>
                <w:color w:val="000000"/>
                <w:kern w:val="0"/>
                <w:sz w:val="21"/>
                <w:szCs w:val="21"/>
              </w:rPr>
              <w:t>1021 (9.1)</w:t>
            </w:r>
          </w:p>
        </w:tc>
        <w:tc>
          <w:tcPr>
            <w:tcW w:w="1632" w:type="dxa"/>
            <w:noWrap/>
            <w:vAlign w:val="center"/>
          </w:tcPr>
          <w:p w14:paraId="3047FFBA">
            <w:pPr>
              <w:widowControl/>
              <w:jc w:val="center"/>
              <w:rPr>
                <w:rFonts w:cs="Times New Roman"/>
                <w:color w:val="000000"/>
                <w:kern w:val="0"/>
                <w:sz w:val="21"/>
                <w:szCs w:val="21"/>
              </w:rPr>
            </w:pPr>
            <w:r>
              <w:rPr>
                <w:rFonts w:cs="Times New Roman"/>
                <w:color w:val="000000"/>
                <w:kern w:val="0"/>
                <w:sz w:val="21"/>
                <w:szCs w:val="21"/>
              </w:rPr>
              <w:t>1.7 (1.57~1.83)</w:t>
            </w:r>
          </w:p>
        </w:tc>
        <w:tc>
          <w:tcPr>
            <w:tcW w:w="1088" w:type="dxa"/>
            <w:noWrap/>
            <w:vAlign w:val="center"/>
          </w:tcPr>
          <w:p w14:paraId="552A481A">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521CFCDD">
            <w:pPr>
              <w:widowControl/>
              <w:jc w:val="center"/>
              <w:rPr>
                <w:rFonts w:cs="Times New Roman"/>
                <w:color w:val="000000"/>
                <w:kern w:val="0"/>
                <w:sz w:val="21"/>
                <w:szCs w:val="21"/>
              </w:rPr>
            </w:pPr>
          </w:p>
        </w:tc>
      </w:tr>
      <w:tr w14:paraId="1D41571D">
        <w:tblPrEx>
          <w:tblCellMar>
            <w:top w:w="0" w:type="dxa"/>
            <w:left w:w="108" w:type="dxa"/>
            <w:bottom w:w="0" w:type="dxa"/>
            <w:right w:w="108" w:type="dxa"/>
          </w:tblCellMar>
        </w:tblPrEx>
        <w:trPr>
          <w:trHeight w:val="271" w:hRule="atLeast"/>
          <w:jc w:val="center"/>
        </w:trPr>
        <w:tc>
          <w:tcPr>
            <w:tcW w:w="2010" w:type="dxa"/>
            <w:noWrap/>
            <w:vAlign w:val="center"/>
          </w:tcPr>
          <w:p w14:paraId="30F52AB4">
            <w:pPr>
              <w:widowControl/>
              <w:jc w:val="left"/>
              <w:rPr>
                <w:rFonts w:cs="Times New Roman"/>
                <w:color w:val="000000"/>
                <w:kern w:val="0"/>
                <w:sz w:val="21"/>
                <w:szCs w:val="21"/>
              </w:rPr>
            </w:pPr>
            <w:r>
              <w:rPr>
                <w:rFonts w:cs="Times New Roman"/>
                <w:color w:val="000000"/>
                <w:kern w:val="0"/>
                <w:sz w:val="21"/>
                <w:szCs w:val="21"/>
              </w:rPr>
              <w:t>Stroke</w:t>
            </w:r>
          </w:p>
        </w:tc>
        <w:tc>
          <w:tcPr>
            <w:tcW w:w="1811" w:type="dxa"/>
            <w:noWrap/>
            <w:vAlign w:val="center"/>
          </w:tcPr>
          <w:p w14:paraId="4874026C">
            <w:pPr>
              <w:widowControl/>
              <w:jc w:val="center"/>
              <w:rPr>
                <w:rFonts w:cs="Times New Roman"/>
                <w:color w:val="000000"/>
                <w:kern w:val="0"/>
                <w:sz w:val="21"/>
                <w:szCs w:val="21"/>
              </w:rPr>
            </w:pPr>
          </w:p>
        </w:tc>
        <w:tc>
          <w:tcPr>
            <w:tcW w:w="1224" w:type="dxa"/>
            <w:noWrap/>
            <w:vAlign w:val="center"/>
          </w:tcPr>
          <w:p w14:paraId="258DCA91">
            <w:pPr>
              <w:widowControl/>
              <w:jc w:val="center"/>
              <w:rPr>
                <w:rFonts w:eastAsia="Times New Roman" w:cs="Times New Roman"/>
                <w:color w:val="auto"/>
                <w:kern w:val="0"/>
                <w:sz w:val="21"/>
                <w:szCs w:val="21"/>
              </w:rPr>
            </w:pPr>
          </w:p>
        </w:tc>
        <w:tc>
          <w:tcPr>
            <w:tcW w:w="1632" w:type="dxa"/>
            <w:noWrap/>
            <w:vAlign w:val="center"/>
          </w:tcPr>
          <w:p w14:paraId="4BA0F4A4">
            <w:pPr>
              <w:widowControl/>
              <w:jc w:val="center"/>
              <w:rPr>
                <w:rFonts w:eastAsia="Times New Roman" w:cs="Times New Roman"/>
                <w:color w:val="auto"/>
                <w:kern w:val="0"/>
                <w:sz w:val="21"/>
                <w:szCs w:val="21"/>
              </w:rPr>
            </w:pPr>
          </w:p>
        </w:tc>
        <w:tc>
          <w:tcPr>
            <w:tcW w:w="1088" w:type="dxa"/>
            <w:noWrap/>
            <w:vAlign w:val="center"/>
          </w:tcPr>
          <w:p w14:paraId="78D61ADB">
            <w:pPr>
              <w:widowControl/>
              <w:jc w:val="center"/>
              <w:rPr>
                <w:rFonts w:eastAsia="Times New Roman" w:cs="Times New Roman"/>
                <w:color w:val="auto"/>
                <w:kern w:val="0"/>
                <w:sz w:val="21"/>
                <w:szCs w:val="21"/>
              </w:rPr>
            </w:pPr>
          </w:p>
        </w:tc>
        <w:tc>
          <w:tcPr>
            <w:tcW w:w="1389" w:type="dxa"/>
            <w:noWrap/>
            <w:vAlign w:val="center"/>
          </w:tcPr>
          <w:p w14:paraId="48D1373F">
            <w:pPr>
              <w:widowControl/>
              <w:jc w:val="center"/>
              <w:rPr>
                <w:rFonts w:eastAsia="Times New Roman" w:cs="Times New Roman"/>
                <w:color w:val="auto"/>
                <w:kern w:val="0"/>
                <w:sz w:val="21"/>
                <w:szCs w:val="21"/>
              </w:rPr>
            </w:pPr>
          </w:p>
        </w:tc>
      </w:tr>
      <w:tr w14:paraId="18A4D932">
        <w:tblPrEx>
          <w:tblCellMar>
            <w:top w:w="0" w:type="dxa"/>
            <w:left w:w="108" w:type="dxa"/>
            <w:bottom w:w="0" w:type="dxa"/>
            <w:right w:w="108" w:type="dxa"/>
          </w:tblCellMar>
        </w:tblPrEx>
        <w:trPr>
          <w:trHeight w:val="271" w:hRule="atLeast"/>
          <w:jc w:val="center"/>
        </w:trPr>
        <w:tc>
          <w:tcPr>
            <w:tcW w:w="2010" w:type="dxa"/>
            <w:noWrap/>
            <w:vAlign w:val="center"/>
          </w:tcPr>
          <w:p w14:paraId="6EB7A43C">
            <w:pPr>
              <w:widowControl/>
              <w:jc w:val="left"/>
              <w:rPr>
                <w:rFonts w:cs="Times New Roman"/>
                <w:color w:val="000000"/>
                <w:kern w:val="0"/>
                <w:sz w:val="21"/>
                <w:szCs w:val="21"/>
              </w:rPr>
            </w:pPr>
            <w:r>
              <w:rPr>
                <w:rFonts w:cs="Times New Roman"/>
                <w:color w:val="000000"/>
                <w:kern w:val="0"/>
                <w:sz w:val="21"/>
                <w:szCs w:val="21"/>
              </w:rPr>
              <w:t xml:space="preserve"> No</w:t>
            </w:r>
          </w:p>
        </w:tc>
        <w:tc>
          <w:tcPr>
            <w:tcW w:w="1811" w:type="dxa"/>
            <w:noWrap/>
            <w:vAlign w:val="center"/>
          </w:tcPr>
          <w:p w14:paraId="1624948D">
            <w:pPr>
              <w:widowControl/>
              <w:jc w:val="center"/>
              <w:rPr>
                <w:rFonts w:cs="Times New Roman"/>
                <w:color w:val="000000"/>
                <w:kern w:val="0"/>
                <w:sz w:val="21"/>
                <w:szCs w:val="21"/>
              </w:rPr>
            </w:pPr>
            <w:r>
              <w:rPr>
                <w:rFonts w:cs="Times New Roman"/>
                <w:color w:val="000000"/>
                <w:kern w:val="0"/>
                <w:sz w:val="21"/>
                <w:szCs w:val="21"/>
              </w:rPr>
              <w:t>14421</w:t>
            </w:r>
          </w:p>
        </w:tc>
        <w:tc>
          <w:tcPr>
            <w:tcW w:w="1224" w:type="dxa"/>
            <w:noWrap/>
            <w:vAlign w:val="center"/>
          </w:tcPr>
          <w:p w14:paraId="1463975A">
            <w:pPr>
              <w:widowControl/>
              <w:jc w:val="center"/>
              <w:rPr>
                <w:rFonts w:cs="Times New Roman"/>
                <w:color w:val="000000"/>
                <w:kern w:val="0"/>
                <w:sz w:val="21"/>
                <w:szCs w:val="21"/>
              </w:rPr>
            </w:pPr>
            <w:r>
              <w:rPr>
                <w:rFonts w:cs="Times New Roman"/>
                <w:color w:val="000000"/>
                <w:kern w:val="0"/>
                <w:sz w:val="21"/>
                <w:szCs w:val="21"/>
              </w:rPr>
              <w:t>1396 (9.7)</w:t>
            </w:r>
          </w:p>
        </w:tc>
        <w:tc>
          <w:tcPr>
            <w:tcW w:w="1632" w:type="dxa"/>
            <w:noWrap/>
            <w:vAlign w:val="center"/>
          </w:tcPr>
          <w:p w14:paraId="4BB21F07">
            <w:pPr>
              <w:widowControl/>
              <w:jc w:val="center"/>
              <w:rPr>
                <w:rFonts w:cs="Times New Roman"/>
                <w:color w:val="000000"/>
                <w:kern w:val="0"/>
                <w:sz w:val="21"/>
                <w:szCs w:val="21"/>
              </w:rPr>
            </w:pPr>
            <w:r>
              <w:rPr>
                <w:rFonts w:cs="Times New Roman"/>
                <w:color w:val="000000"/>
                <w:kern w:val="0"/>
                <w:sz w:val="21"/>
                <w:szCs w:val="21"/>
              </w:rPr>
              <w:t>1.64 (1.54~1.75)</w:t>
            </w:r>
          </w:p>
        </w:tc>
        <w:tc>
          <w:tcPr>
            <w:tcW w:w="1088" w:type="dxa"/>
            <w:noWrap/>
            <w:vAlign w:val="center"/>
          </w:tcPr>
          <w:p w14:paraId="0B5D2663">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0F966B73">
            <w:pPr>
              <w:widowControl/>
              <w:jc w:val="center"/>
              <w:rPr>
                <w:rFonts w:cs="Times New Roman"/>
                <w:color w:val="000000"/>
                <w:kern w:val="0"/>
                <w:sz w:val="21"/>
                <w:szCs w:val="21"/>
              </w:rPr>
            </w:pPr>
            <w:r>
              <w:rPr>
                <w:rFonts w:cs="Times New Roman"/>
                <w:color w:val="000000"/>
                <w:kern w:val="0"/>
                <w:sz w:val="21"/>
                <w:szCs w:val="21"/>
              </w:rPr>
              <w:t>0.001</w:t>
            </w:r>
          </w:p>
        </w:tc>
      </w:tr>
      <w:tr w14:paraId="01D23068">
        <w:tblPrEx>
          <w:tblCellMar>
            <w:top w:w="0" w:type="dxa"/>
            <w:left w:w="108" w:type="dxa"/>
            <w:bottom w:w="0" w:type="dxa"/>
            <w:right w:w="108" w:type="dxa"/>
          </w:tblCellMar>
        </w:tblPrEx>
        <w:trPr>
          <w:trHeight w:val="271" w:hRule="atLeast"/>
          <w:jc w:val="center"/>
        </w:trPr>
        <w:tc>
          <w:tcPr>
            <w:tcW w:w="2010" w:type="dxa"/>
            <w:noWrap/>
            <w:vAlign w:val="center"/>
          </w:tcPr>
          <w:p w14:paraId="072D1268">
            <w:pPr>
              <w:widowControl/>
              <w:jc w:val="left"/>
              <w:rPr>
                <w:rFonts w:cs="Times New Roman"/>
                <w:color w:val="000000"/>
                <w:kern w:val="0"/>
                <w:sz w:val="21"/>
                <w:szCs w:val="21"/>
              </w:rPr>
            </w:pPr>
            <w:r>
              <w:rPr>
                <w:rFonts w:cs="Times New Roman"/>
                <w:color w:val="000000"/>
                <w:kern w:val="0"/>
                <w:sz w:val="21"/>
                <w:szCs w:val="21"/>
              </w:rPr>
              <w:t xml:space="preserve"> Yes</w:t>
            </w:r>
          </w:p>
        </w:tc>
        <w:tc>
          <w:tcPr>
            <w:tcW w:w="1811" w:type="dxa"/>
            <w:noWrap/>
            <w:vAlign w:val="center"/>
          </w:tcPr>
          <w:p w14:paraId="6727DEF2">
            <w:pPr>
              <w:widowControl/>
              <w:jc w:val="center"/>
              <w:rPr>
                <w:rFonts w:cs="Times New Roman"/>
                <w:color w:val="000000"/>
                <w:kern w:val="0"/>
                <w:sz w:val="21"/>
                <w:szCs w:val="21"/>
              </w:rPr>
            </w:pPr>
            <w:r>
              <w:rPr>
                <w:rFonts w:cs="Times New Roman"/>
                <w:color w:val="000000"/>
                <w:kern w:val="0"/>
                <w:sz w:val="21"/>
                <w:szCs w:val="21"/>
              </w:rPr>
              <w:t>607</w:t>
            </w:r>
          </w:p>
        </w:tc>
        <w:tc>
          <w:tcPr>
            <w:tcW w:w="1224" w:type="dxa"/>
            <w:noWrap/>
            <w:vAlign w:val="center"/>
          </w:tcPr>
          <w:p w14:paraId="7FA0C878">
            <w:pPr>
              <w:widowControl/>
              <w:jc w:val="center"/>
              <w:rPr>
                <w:rFonts w:cs="Times New Roman"/>
                <w:color w:val="000000"/>
                <w:kern w:val="0"/>
                <w:sz w:val="21"/>
                <w:szCs w:val="21"/>
              </w:rPr>
            </w:pPr>
            <w:r>
              <w:rPr>
                <w:rFonts w:cs="Times New Roman"/>
                <w:color w:val="000000"/>
                <w:kern w:val="0"/>
                <w:sz w:val="21"/>
                <w:szCs w:val="21"/>
              </w:rPr>
              <w:t>211 (34.8)</w:t>
            </w:r>
          </w:p>
        </w:tc>
        <w:tc>
          <w:tcPr>
            <w:tcW w:w="1632" w:type="dxa"/>
            <w:noWrap/>
            <w:vAlign w:val="center"/>
          </w:tcPr>
          <w:p w14:paraId="5637ACA3">
            <w:pPr>
              <w:widowControl/>
              <w:jc w:val="center"/>
              <w:rPr>
                <w:rFonts w:cs="Times New Roman"/>
                <w:color w:val="000000"/>
                <w:kern w:val="0"/>
                <w:sz w:val="21"/>
                <w:szCs w:val="21"/>
              </w:rPr>
            </w:pPr>
            <w:r>
              <w:rPr>
                <w:rFonts w:cs="Times New Roman"/>
                <w:color w:val="000000"/>
                <w:kern w:val="0"/>
                <w:sz w:val="21"/>
                <w:szCs w:val="21"/>
              </w:rPr>
              <w:t>1.29 (1.1~1.52)</w:t>
            </w:r>
          </w:p>
        </w:tc>
        <w:tc>
          <w:tcPr>
            <w:tcW w:w="1088" w:type="dxa"/>
            <w:noWrap/>
            <w:vAlign w:val="center"/>
          </w:tcPr>
          <w:p w14:paraId="30E6CB99">
            <w:pPr>
              <w:widowControl/>
              <w:jc w:val="center"/>
              <w:rPr>
                <w:rFonts w:cs="Times New Roman"/>
                <w:color w:val="000000"/>
                <w:kern w:val="0"/>
                <w:sz w:val="21"/>
                <w:szCs w:val="21"/>
              </w:rPr>
            </w:pPr>
            <w:r>
              <w:rPr>
                <w:rFonts w:cs="Times New Roman"/>
                <w:color w:val="000000"/>
                <w:kern w:val="0"/>
                <w:sz w:val="21"/>
                <w:szCs w:val="21"/>
              </w:rPr>
              <w:t>0.002</w:t>
            </w:r>
          </w:p>
        </w:tc>
        <w:tc>
          <w:tcPr>
            <w:tcW w:w="1389" w:type="dxa"/>
            <w:noWrap/>
            <w:vAlign w:val="center"/>
          </w:tcPr>
          <w:p w14:paraId="211D7304">
            <w:pPr>
              <w:widowControl/>
              <w:jc w:val="center"/>
              <w:rPr>
                <w:rFonts w:cs="Times New Roman"/>
                <w:color w:val="000000"/>
                <w:kern w:val="0"/>
                <w:sz w:val="21"/>
                <w:szCs w:val="21"/>
              </w:rPr>
            </w:pPr>
          </w:p>
        </w:tc>
      </w:tr>
      <w:tr w14:paraId="24060AC6">
        <w:tblPrEx>
          <w:tblCellMar>
            <w:top w:w="0" w:type="dxa"/>
            <w:left w:w="108" w:type="dxa"/>
            <w:bottom w:w="0" w:type="dxa"/>
            <w:right w:w="108" w:type="dxa"/>
          </w:tblCellMar>
        </w:tblPrEx>
        <w:trPr>
          <w:trHeight w:val="271" w:hRule="atLeast"/>
          <w:jc w:val="center"/>
        </w:trPr>
        <w:tc>
          <w:tcPr>
            <w:tcW w:w="2010" w:type="dxa"/>
            <w:noWrap/>
            <w:vAlign w:val="center"/>
          </w:tcPr>
          <w:p w14:paraId="7797B1FC">
            <w:pPr>
              <w:widowControl/>
              <w:jc w:val="left"/>
              <w:rPr>
                <w:rFonts w:cs="Times New Roman"/>
                <w:color w:val="000000"/>
                <w:kern w:val="0"/>
                <w:sz w:val="21"/>
                <w:szCs w:val="21"/>
              </w:rPr>
            </w:pPr>
            <w:r>
              <w:rPr>
                <w:rFonts w:cs="Times New Roman"/>
                <w:color w:val="000000"/>
                <w:kern w:val="0"/>
                <w:sz w:val="21"/>
                <w:szCs w:val="21"/>
              </w:rPr>
              <w:t>Hypertension</w:t>
            </w:r>
          </w:p>
        </w:tc>
        <w:tc>
          <w:tcPr>
            <w:tcW w:w="1811" w:type="dxa"/>
            <w:noWrap/>
            <w:vAlign w:val="center"/>
          </w:tcPr>
          <w:p w14:paraId="11941733">
            <w:pPr>
              <w:widowControl/>
              <w:jc w:val="center"/>
              <w:rPr>
                <w:rFonts w:cs="Times New Roman"/>
                <w:color w:val="000000"/>
                <w:kern w:val="0"/>
                <w:sz w:val="21"/>
                <w:szCs w:val="21"/>
              </w:rPr>
            </w:pPr>
          </w:p>
        </w:tc>
        <w:tc>
          <w:tcPr>
            <w:tcW w:w="1224" w:type="dxa"/>
            <w:noWrap/>
            <w:vAlign w:val="center"/>
          </w:tcPr>
          <w:p w14:paraId="794AB34D">
            <w:pPr>
              <w:widowControl/>
              <w:jc w:val="center"/>
              <w:rPr>
                <w:rFonts w:eastAsia="Times New Roman" w:cs="Times New Roman"/>
                <w:color w:val="auto"/>
                <w:kern w:val="0"/>
                <w:sz w:val="21"/>
                <w:szCs w:val="21"/>
              </w:rPr>
            </w:pPr>
          </w:p>
        </w:tc>
        <w:tc>
          <w:tcPr>
            <w:tcW w:w="1632" w:type="dxa"/>
            <w:noWrap/>
            <w:vAlign w:val="center"/>
          </w:tcPr>
          <w:p w14:paraId="41CD7E85">
            <w:pPr>
              <w:widowControl/>
              <w:jc w:val="center"/>
              <w:rPr>
                <w:rFonts w:eastAsia="Times New Roman" w:cs="Times New Roman"/>
                <w:color w:val="auto"/>
                <w:kern w:val="0"/>
                <w:sz w:val="21"/>
                <w:szCs w:val="21"/>
              </w:rPr>
            </w:pPr>
          </w:p>
        </w:tc>
        <w:tc>
          <w:tcPr>
            <w:tcW w:w="1088" w:type="dxa"/>
            <w:noWrap/>
            <w:vAlign w:val="center"/>
          </w:tcPr>
          <w:p w14:paraId="037B7D60">
            <w:pPr>
              <w:widowControl/>
              <w:jc w:val="center"/>
              <w:rPr>
                <w:rFonts w:eastAsia="Times New Roman" w:cs="Times New Roman"/>
                <w:color w:val="auto"/>
                <w:kern w:val="0"/>
                <w:sz w:val="21"/>
                <w:szCs w:val="21"/>
              </w:rPr>
            </w:pPr>
          </w:p>
        </w:tc>
        <w:tc>
          <w:tcPr>
            <w:tcW w:w="1389" w:type="dxa"/>
            <w:noWrap/>
            <w:vAlign w:val="center"/>
          </w:tcPr>
          <w:p w14:paraId="3385832C">
            <w:pPr>
              <w:widowControl/>
              <w:jc w:val="center"/>
              <w:rPr>
                <w:rFonts w:eastAsia="Times New Roman" w:cs="Times New Roman"/>
                <w:color w:val="auto"/>
                <w:kern w:val="0"/>
                <w:sz w:val="21"/>
                <w:szCs w:val="21"/>
              </w:rPr>
            </w:pPr>
          </w:p>
        </w:tc>
      </w:tr>
      <w:tr w14:paraId="05DDF3DE">
        <w:tblPrEx>
          <w:tblCellMar>
            <w:top w:w="0" w:type="dxa"/>
            <w:left w:w="108" w:type="dxa"/>
            <w:bottom w:w="0" w:type="dxa"/>
            <w:right w:w="108" w:type="dxa"/>
          </w:tblCellMar>
        </w:tblPrEx>
        <w:trPr>
          <w:trHeight w:val="271" w:hRule="atLeast"/>
          <w:jc w:val="center"/>
        </w:trPr>
        <w:tc>
          <w:tcPr>
            <w:tcW w:w="2010" w:type="dxa"/>
            <w:noWrap/>
            <w:vAlign w:val="center"/>
          </w:tcPr>
          <w:p w14:paraId="16D814F7">
            <w:pPr>
              <w:widowControl/>
              <w:jc w:val="left"/>
              <w:rPr>
                <w:rFonts w:cs="Times New Roman"/>
                <w:color w:val="000000"/>
                <w:kern w:val="0"/>
                <w:sz w:val="21"/>
                <w:szCs w:val="21"/>
              </w:rPr>
            </w:pPr>
            <w:r>
              <w:rPr>
                <w:rFonts w:cs="Times New Roman"/>
                <w:color w:val="000000"/>
                <w:kern w:val="0"/>
                <w:sz w:val="21"/>
                <w:szCs w:val="21"/>
              </w:rPr>
              <w:t xml:space="preserve"> No</w:t>
            </w:r>
          </w:p>
        </w:tc>
        <w:tc>
          <w:tcPr>
            <w:tcW w:w="1811" w:type="dxa"/>
            <w:noWrap/>
            <w:vAlign w:val="center"/>
          </w:tcPr>
          <w:p w14:paraId="7AA902B2">
            <w:pPr>
              <w:widowControl/>
              <w:jc w:val="center"/>
              <w:rPr>
                <w:rFonts w:cs="Times New Roman"/>
                <w:color w:val="000000"/>
                <w:kern w:val="0"/>
                <w:sz w:val="21"/>
                <w:szCs w:val="21"/>
              </w:rPr>
            </w:pPr>
            <w:r>
              <w:rPr>
                <w:rFonts w:cs="Times New Roman"/>
                <w:color w:val="000000"/>
                <w:kern w:val="0"/>
                <w:sz w:val="21"/>
                <w:szCs w:val="21"/>
              </w:rPr>
              <w:t>9155</w:t>
            </w:r>
          </w:p>
        </w:tc>
        <w:tc>
          <w:tcPr>
            <w:tcW w:w="1224" w:type="dxa"/>
            <w:noWrap/>
            <w:vAlign w:val="center"/>
          </w:tcPr>
          <w:p w14:paraId="40D964FE">
            <w:pPr>
              <w:widowControl/>
              <w:jc w:val="center"/>
              <w:rPr>
                <w:rFonts w:cs="Times New Roman"/>
                <w:color w:val="000000"/>
                <w:kern w:val="0"/>
                <w:sz w:val="21"/>
                <w:szCs w:val="21"/>
              </w:rPr>
            </w:pPr>
            <w:r>
              <w:rPr>
                <w:rFonts w:cs="Times New Roman"/>
                <w:color w:val="000000"/>
                <w:kern w:val="0"/>
                <w:sz w:val="21"/>
                <w:szCs w:val="21"/>
              </w:rPr>
              <w:t>562 (6.1)</w:t>
            </w:r>
          </w:p>
        </w:tc>
        <w:tc>
          <w:tcPr>
            <w:tcW w:w="1632" w:type="dxa"/>
            <w:noWrap/>
            <w:vAlign w:val="center"/>
          </w:tcPr>
          <w:p w14:paraId="6F0447B3">
            <w:pPr>
              <w:widowControl/>
              <w:jc w:val="center"/>
              <w:rPr>
                <w:rFonts w:cs="Times New Roman"/>
                <w:color w:val="000000"/>
                <w:kern w:val="0"/>
                <w:sz w:val="21"/>
                <w:szCs w:val="21"/>
              </w:rPr>
            </w:pPr>
            <w:r>
              <w:rPr>
                <w:rFonts w:cs="Times New Roman"/>
                <w:color w:val="000000"/>
                <w:kern w:val="0"/>
                <w:sz w:val="21"/>
                <w:szCs w:val="21"/>
              </w:rPr>
              <w:t>1.6 (1.44~1.78)</w:t>
            </w:r>
          </w:p>
        </w:tc>
        <w:tc>
          <w:tcPr>
            <w:tcW w:w="1088" w:type="dxa"/>
            <w:noWrap/>
            <w:vAlign w:val="center"/>
          </w:tcPr>
          <w:p w14:paraId="123F9FA8">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2DDCACCD">
            <w:pPr>
              <w:widowControl/>
              <w:jc w:val="center"/>
              <w:rPr>
                <w:rFonts w:cs="Times New Roman"/>
                <w:color w:val="000000"/>
                <w:kern w:val="0"/>
                <w:sz w:val="21"/>
                <w:szCs w:val="21"/>
              </w:rPr>
            </w:pPr>
            <w:r>
              <w:rPr>
                <w:rFonts w:cs="Times New Roman"/>
                <w:color w:val="000000"/>
                <w:kern w:val="0"/>
                <w:sz w:val="21"/>
                <w:szCs w:val="21"/>
              </w:rPr>
              <w:t>0.558</w:t>
            </w:r>
          </w:p>
        </w:tc>
      </w:tr>
      <w:tr w14:paraId="2F816BE5">
        <w:tblPrEx>
          <w:tblCellMar>
            <w:top w:w="0" w:type="dxa"/>
            <w:left w:w="108" w:type="dxa"/>
            <w:bottom w:w="0" w:type="dxa"/>
            <w:right w:w="108" w:type="dxa"/>
          </w:tblCellMar>
        </w:tblPrEx>
        <w:trPr>
          <w:trHeight w:val="271" w:hRule="atLeast"/>
          <w:jc w:val="center"/>
        </w:trPr>
        <w:tc>
          <w:tcPr>
            <w:tcW w:w="2010" w:type="dxa"/>
            <w:noWrap/>
            <w:vAlign w:val="center"/>
          </w:tcPr>
          <w:p w14:paraId="2EE13263">
            <w:pPr>
              <w:widowControl/>
              <w:jc w:val="left"/>
              <w:rPr>
                <w:rFonts w:cs="Times New Roman"/>
                <w:color w:val="000000"/>
                <w:kern w:val="0"/>
                <w:sz w:val="21"/>
                <w:szCs w:val="21"/>
              </w:rPr>
            </w:pPr>
            <w:r>
              <w:rPr>
                <w:rFonts w:cs="Times New Roman"/>
                <w:color w:val="000000"/>
                <w:kern w:val="0"/>
                <w:sz w:val="21"/>
                <w:szCs w:val="21"/>
              </w:rPr>
              <w:t xml:space="preserve"> Yes</w:t>
            </w:r>
          </w:p>
        </w:tc>
        <w:tc>
          <w:tcPr>
            <w:tcW w:w="1811" w:type="dxa"/>
            <w:noWrap/>
            <w:vAlign w:val="center"/>
          </w:tcPr>
          <w:p w14:paraId="1056D649">
            <w:pPr>
              <w:widowControl/>
              <w:jc w:val="center"/>
              <w:rPr>
                <w:rFonts w:cs="Times New Roman"/>
                <w:color w:val="000000"/>
                <w:kern w:val="0"/>
                <w:sz w:val="21"/>
                <w:szCs w:val="21"/>
              </w:rPr>
            </w:pPr>
            <w:r>
              <w:rPr>
                <w:rFonts w:cs="Times New Roman"/>
                <w:color w:val="000000"/>
                <w:kern w:val="0"/>
                <w:sz w:val="21"/>
                <w:szCs w:val="21"/>
              </w:rPr>
              <w:t>5867</w:t>
            </w:r>
          </w:p>
        </w:tc>
        <w:tc>
          <w:tcPr>
            <w:tcW w:w="1224" w:type="dxa"/>
            <w:noWrap/>
            <w:vAlign w:val="center"/>
          </w:tcPr>
          <w:p w14:paraId="6E676B95">
            <w:pPr>
              <w:widowControl/>
              <w:jc w:val="center"/>
              <w:rPr>
                <w:rFonts w:cs="Times New Roman"/>
                <w:color w:val="000000"/>
                <w:kern w:val="0"/>
                <w:sz w:val="21"/>
                <w:szCs w:val="21"/>
              </w:rPr>
            </w:pPr>
            <w:r>
              <w:rPr>
                <w:rFonts w:cs="Times New Roman"/>
                <w:color w:val="000000"/>
                <w:kern w:val="0"/>
                <w:sz w:val="21"/>
                <w:szCs w:val="21"/>
              </w:rPr>
              <w:t>1043 (17.8)</w:t>
            </w:r>
          </w:p>
        </w:tc>
        <w:tc>
          <w:tcPr>
            <w:tcW w:w="1632" w:type="dxa"/>
            <w:noWrap/>
            <w:vAlign w:val="center"/>
          </w:tcPr>
          <w:p w14:paraId="109734C2">
            <w:pPr>
              <w:widowControl/>
              <w:jc w:val="center"/>
              <w:rPr>
                <w:rFonts w:cs="Times New Roman"/>
                <w:color w:val="000000"/>
                <w:kern w:val="0"/>
                <w:sz w:val="21"/>
                <w:szCs w:val="21"/>
              </w:rPr>
            </w:pPr>
            <w:r>
              <w:rPr>
                <w:rFonts w:cs="Times New Roman"/>
                <w:color w:val="000000"/>
                <w:kern w:val="0"/>
                <w:sz w:val="21"/>
                <w:szCs w:val="21"/>
              </w:rPr>
              <w:t>1.57 (1.46~1.68)</w:t>
            </w:r>
          </w:p>
        </w:tc>
        <w:tc>
          <w:tcPr>
            <w:tcW w:w="1088" w:type="dxa"/>
            <w:noWrap/>
            <w:vAlign w:val="center"/>
          </w:tcPr>
          <w:p w14:paraId="13CFB33F">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221C3747">
            <w:pPr>
              <w:widowControl/>
              <w:jc w:val="center"/>
              <w:rPr>
                <w:rFonts w:cs="Times New Roman"/>
                <w:color w:val="000000"/>
                <w:kern w:val="0"/>
                <w:sz w:val="21"/>
                <w:szCs w:val="21"/>
              </w:rPr>
            </w:pPr>
          </w:p>
        </w:tc>
      </w:tr>
      <w:tr w14:paraId="1E603BD8">
        <w:tblPrEx>
          <w:tblCellMar>
            <w:top w:w="0" w:type="dxa"/>
            <w:left w:w="108" w:type="dxa"/>
            <w:bottom w:w="0" w:type="dxa"/>
            <w:right w:w="108" w:type="dxa"/>
          </w:tblCellMar>
        </w:tblPrEx>
        <w:trPr>
          <w:trHeight w:val="271" w:hRule="atLeast"/>
          <w:jc w:val="center"/>
        </w:trPr>
        <w:tc>
          <w:tcPr>
            <w:tcW w:w="2010" w:type="dxa"/>
            <w:noWrap/>
            <w:vAlign w:val="center"/>
          </w:tcPr>
          <w:p w14:paraId="13150683">
            <w:pPr>
              <w:widowControl/>
              <w:jc w:val="left"/>
              <w:rPr>
                <w:rFonts w:cs="Times New Roman"/>
                <w:color w:val="000000"/>
                <w:kern w:val="0"/>
                <w:sz w:val="21"/>
                <w:szCs w:val="21"/>
              </w:rPr>
            </w:pPr>
            <w:r>
              <w:rPr>
                <w:rFonts w:cs="Times New Roman"/>
                <w:color w:val="000000"/>
                <w:kern w:val="0"/>
                <w:sz w:val="21"/>
                <w:szCs w:val="21"/>
              </w:rPr>
              <w:t>Diabetes Mellitus</w:t>
            </w:r>
          </w:p>
        </w:tc>
        <w:tc>
          <w:tcPr>
            <w:tcW w:w="1811" w:type="dxa"/>
            <w:noWrap/>
            <w:vAlign w:val="center"/>
          </w:tcPr>
          <w:p w14:paraId="28A78CA8">
            <w:pPr>
              <w:widowControl/>
              <w:jc w:val="center"/>
              <w:rPr>
                <w:rFonts w:cs="Times New Roman"/>
                <w:color w:val="000000"/>
                <w:kern w:val="0"/>
                <w:sz w:val="21"/>
                <w:szCs w:val="21"/>
              </w:rPr>
            </w:pPr>
          </w:p>
        </w:tc>
        <w:tc>
          <w:tcPr>
            <w:tcW w:w="1224" w:type="dxa"/>
            <w:noWrap/>
            <w:vAlign w:val="center"/>
          </w:tcPr>
          <w:p w14:paraId="3ECBE44B">
            <w:pPr>
              <w:widowControl/>
              <w:jc w:val="center"/>
              <w:rPr>
                <w:rFonts w:eastAsia="Times New Roman" w:cs="Times New Roman"/>
                <w:color w:val="auto"/>
                <w:kern w:val="0"/>
                <w:sz w:val="21"/>
                <w:szCs w:val="21"/>
              </w:rPr>
            </w:pPr>
          </w:p>
        </w:tc>
        <w:tc>
          <w:tcPr>
            <w:tcW w:w="1632" w:type="dxa"/>
            <w:noWrap/>
            <w:vAlign w:val="center"/>
          </w:tcPr>
          <w:p w14:paraId="2F01F43A">
            <w:pPr>
              <w:widowControl/>
              <w:jc w:val="center"/>
              <w:rPr>
                <w:rFonts w:eastAsia="Times New Roman" w:cs="Times New Roman"/>
                <w:color w:val="auto"/>
                <w:kern w:val="0"/>
                <w:sz w:val="21"/>
                <w:szCs w:val="21"/>
              </w:rPr>
            </w:pPr>
          </w:p>
        </w:tc>
        <w:tc>
          <w:tcPr>
            <w:tcW w:w="1088" w:type="dxa"/>
            <w:noWrap/>
            <w:vAlign w:val="center"/>
          </w:tcPr>
          <w:p w14:paraId="79032CE2">
            <w:pPr>
              <w:widowControl/>
              <w:jc w:val="center"/>
              <w:rPr>
                <w:rFonts w:eastAsia="Times New Roman" w:cs="Times New Roman"/>
                <w:color w:val="auto"/>
                <w:kern w:val="0"/>
                <w:sz w:val="21"/>
                <w:szCs w:val="21"/>
              </w:rPr>
            </w:pPr>
          </w:p>
        </w:tc>
        <w:tc>
          <w:tcPr>
            <w:tcW w:w="1389" w:type="dxa"/>
            <w:noWrap/>
            <w:vAlign w:val="center"/>
          </w:tcPr>
          <w:p w14:paraId="09DDD5D0">
            <w:pPr>
              <w:widowControl/>
              <w:jc w:val="center"/>
              <w:rPr>
                <w:rFonts w:eastAsia="Times New Roman" w:cs="Times New Roman"/>
                <w:color w:val="auto"/>
                <w:kern w:val="0"/>
                <w:sz w:val="21"/>
                <w:szCs w:val="21"/>
              </w:rPr>
            </w:pPr>
          </w:p>
        </w:tc>
      </w:tr>
      <w:tr w14:paraId="45CB87E7">
        <w:tblPrEx>
          <w:tblCellMar>
            <w:top w:w="0" w:type="dxa"/>
            <w:left w:w="108" w:type="dxa"/>
            <w:bottom w:w="0" w:type="dxa"/>
            <w:right w:w="108" w:type="dxa"/>
          </w:tblCellMar>
        </w:tblPrEx>
        <w:trPr>
          <w:trHeight w:val="271" w:hRule="atLeast"/>
          <w:jc w:val="center"/>
        </w:trPr>
        <w:tc>
          <w:tcPr>
            <w:tcW w:w="2010" w:type="dxa"/>
            <w:noWrap/>
            <w:vAlign w:val="center"/>
          </w:tcPr>
          <w:p w14:paraId="6CE4988B">
            <w:pPr>
              <w:widowControl/>
              <w:jc w:val="left"/>
              <w:rPr>
                <w:rFonts w:cs="Times New Roman"/>
                <w:color w:val="000000"/>
                <w:kern w:val="0"/>
                <w:sz w:val="21"/>
                <w:szCs w:val="21"/>
              </w:rPr>
            </w:pPr>
            <w:r>
              <w:rPr>
                <w:rFonts w:cs="Times New Roman"/>
                <w:color w:val="000000"/>
                <w:kern w:val="0"/>
                <w:sz w:val="21"/>
                <w:szCs w:val="21"/>
              </w:rPr>
              <w:t xml:space="preserve"> No</w:t>
            </w:r>
          </w:p>
        </w:tc>
        <w:tc>
          <w:tcPr>
            <w:tcW w:w="1811" w:type="dxa"/>
            <w:noWrap/>
            <w:vAlign w:val="center"/>
          </w:tcPr>
          <w:p w14:paraId="18BD0CDA">
            <w:pPr>
              <w:widowControl/>
              <w:jc w:val="center"/>
              <w:rPr>
                <w:rFonts w:cs="Times New Roman"/>
                <w:color w:val="000000"/>
                <w:kern w:val="0"/>
                <w:sz w:val="21"/>
                <w:szCs w:val="21"/>
              </w:rPr>
            </w:pPr>
            <w:r>
              <w:rPr>
                <w:rFonts w:cs="Times New Roman"/>
                <w:color w:val="000000"/>
                <w:kern w:val="0"/>
                <w:sz w:val="21"/>
                <w:szCs w:val="21"/>
              </w:rPr>
              <w:t>11425</w:t>
            </w:r>
          </w:p>
        </w:tc>
        <w:tc>
          <w:tcPr>
            <w:tcW w:w="1224" w:type="dxa"/>
            <w:noWrap/>
            <w:vAlign w:val="center"/>
          </w:tcPr>
          <w:p w14:paraId="27A2C084">
            <w:pPr>
              <w:widowControl/>
              <w:jc w:val="center"/>
              <w:rPr>
                <w:rFonts w:cs="Times New Roman"/>
                <w:color w:val="000000"/>
                <w:kern w:val="0"/>
                <w:sz w:val="21"/>
                <w:szCs w:val="21"/>
              </w:rPr>
            </w:pPr>
            <w:r>
              <w:rPr>
                <w:rFonts w:cs="Times New Roman"/>
                <w:color w:val="000000"/>
                <w:kern w:val="0"/>
                <w:sz w:val="21"/>
                <w:szCs w:val="21"/>
              </w:rPr>
              <w:t>888 (7.8)</w:t>
            </w:r>
          </w:p>
        </w:tc>
        <w:tc>
          <w:tcPr>
            <w:tcW w:w="1632" w:type="dxa"/>
            <w:noWrap/>
            <w:vAlign w:val="center"/>
          </w:tcPr>
          <w:p w14:paraId="29C06012">
            <w:pPr>
              <w:widowControl/>
              <w:jc w:val="center"/>
              <w:rPr>
                <w:rFonts w:cs="Times New Roman"/>
                <w:color w:val="000000"/>
                <w:kern w:val="0"/>
                <w:sz w:val="21"/>
                <w:szCs w:val="21"/>
              </w:rPr>
            </w:pPr>
            <w:r>
              <w:rPr>
                <w:rFonts w:cs="Times New Roman"/>
                <w:color w:val="000000"/>
                <w:kern w:val="0"/>
                <w:sz w:val="21"/>
                <w:szCs w:val="21"/>
              </w:rPr>
              <w:t>1.62 (1.49~1.75)</w:t>
            </w:r>
          </w:p>
        </w:tc>
        <w:tc>
          <w:tcPr>
            <w:tcW w:w="1088" w:type="dxa"/>
            <w:noWrap/>
            <w:vAlign w:val="center"/>
          </w:tcPr>
          <w:p w14:paraId="54325D64">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2B35B0C7">
            <w:pPr>
              <w:widowControl/>
              <w:jc w:val="center"/>
              <w:rPr>
                <w:rFonts w:cs="Times New Roman"/>
                <w:color w:val="000000"/>
                <w:kern w:val="0"/>
                <w:sz w:val="21"/>
                <w:szCs w:val="21"/>
              </w:rPr>
            </w:pPr>
            <w:r>
              <w:rPr>
                <w:rFonts w:cs="Times New Roman"/>
                <w:color w:val="000000"/>
                <w:kern w:val="0"/>
                <w:sz w:val="21"/>
                <w:szCs w:val="21"/>
              </w:rPr>
              <w:t>0.093</w:t>
            </w:r>
          </w:p>
        </w:tc>
      </w:tr>
      <w:tr w14:paraId="414A18F5">
        <w:tblPrEx>
          <w:tblCellMar>
            <w:top w:w="0" w:type="dxa"/>
            <w:left w:w="108" w:type="dxa"/>
            <w:bottom w:w="0" w:type="dxa"/>
            <w:right w:w="108" w:type="dxa"/>
          </w:tblCellMar>
        </w:tblPrEx>
        <w:trPr>
          <w:trHeight w:val="271" w:hRule="atLeast"/>
          <w:jc w:val="center"/>
        </w:trPr>
        <w:tc>
          <w:tcPr>
            <w:tcW w:w="2010" w:type="dxa"/>
            <w:noWrap/>
            <w:vAlign w:val="center"/>
          </w:tcPr>
          <w:p w14:paraId="2C2978F1">
            <w:pPr>
              <w:widowControl/>
              <w:jc w:val="left"/>
              <w:rPr>
                <w:rFonts w:cs="Times New Roman"/>
                <w:color w:val="000000"/>
                <w:kern w:val="0"/>
                <w:sz w:val="21"/>
                <w:szCs w:val="21"/>
              </w:rPr>
            </w:pPr>
            <w:r>
              <w:rPr>
                <w:rFonts w:cs="Times New Roman"/>
                <w:color w:val="000000"/>
                <w:kern w:val="0"/>
                <w:sz w:val="21"/>
                <w:szCs w:val="21"/>
              </w:rPr>
              <w:t xml:space="preserve"> Yes</w:t>
            </w:r>
          </w:p>
        </w:tc>
        <w:tc>
          <w:tcPr>
            <w:tcW w:w="1811" w:type="dxa"/>
            <w:noWrap/>
            <w:vAlign w:val="center"/>
          </w:tcPr>
          <w:p w14:paraId="4E118F17">
            <w:pPr>
              <w:widowControl/>
              <w:jc w:val="center"/>
              <w:rPr>
                <w:rFonts w:cs="Times New Roman"/>
                <w:color w:val="000000"/>
                <w:kern w:val="0"/>
                <w:sz w:val="21"/>
                <w:szCs w:val="21"/>
              </w:rPr>
            </w:pPr>
            <w:r>
              <w:rPr>
                <w:rFonts w:cs="Times New Roman"/>
                <w:color w:val="000000"/>
                <w:kern w:val="0"/>
                <w:sz w:val="21"/>
                <w:szCs w:val="21"/>
              </w:rPr>
              <w:t>3415</w:t>
            </w:r>
          </w:p>
        </w:tc>
        <w:tc>
          <w:tcPr>
            <w:tcW w:w="1224" w:type="dxa"/>
            <w:noWrap/>
            <w:vAlign w:val="center"/>
          </w:tcPr>
          <w:p w14:paraId="12AB4185">
            <w:pPr>
              <w:widowControl/>
              <w:jc w:val="center"/>
              <w:rPr>
                <w:rFonts w:cs="Times New Roman"/>
                <w:color w:val="000000"/>
                <w:kern w:val="0"/>
                <w:sz w:val="21"/>
                <w:szCs w:val="21"/>
              </w:rPr>
            </w:pPr>
            <w:r>
              <w:rPr>
                <w:rFonts w:cs="Times New Roman"/>
                <w:color w:val="000000"/>
                <w:kern w:val="0"/>
                <w:sz w:val="21"/>
                <w:szCs w:val="21"/>
              </w:rPr>
              <w:t>702 (20.6)</w:t>
            </w:r>
          </w:p>
        </w:tc>
        <w:tc>
          <w:tcPr>
            <w:tcW w:w="1632" w:type="dxa"/>
            <w:noWrap/>
            <w:vAlign w:val="center"/>
          </w:tcPr>
          <w:p w14:paraId="4EFD4ED4">
            <w:pPr>
              <w:widowControl/>
              <w:jc w:val="center"/>
              <w:rPr>
                <w:rFonts w:cs="Times New Roman"/>
                <w:color w:val="000000"/>
                <w:kern w:val="0"/>
                <w:sz w:val="21"/>
                <w:szCs w:val="21"/>
              </w:rPr>
            </w:pPr>
            <w:r>
              <w:rPr>
                <w:rFonts w:cs="Times New Roman"/>
                <w:color w:val="000000"/>
                <w:kern w:val="0"/>
                <w:sz w:val="21"/>
                <w:szCs w:val="21"/>
              </w:rPr>
              <w:t>1.48 (1.35~1.61)</w:t>
            </w:r>
          </w:p>
        </w:tc>
        <w:tc>
          <w:tcPr>
            <w:tcW w:w="1088" w:type="dxa"/>
            <w:noWrap/>
            <w:vAlign w:val="center"/>
          </w:tcPr>
          <w:p w14:paraId="66C5E7BD">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51583DDD">
            <w:pPr>
              <w:widowControl/>
              <w:jc w:val="center"/>
              <w:rPr>
                <w:rFonts w:cs="Times New Roman"/>
                <w:color w:val="000000"/>
                <w:kern w:val="0"/>
                <w:sz w:val="21"/>
                <w:szCs w:val="21"/>
              </w:rPr>
            </w:pPr>
          </w:p>
        </w:tc>
      </w:tr>
      <w:tr w14:paraId="2C1DF832">
        <w:tblPrEx>
          <w:tblCellMar>
            <w:top w:w="0" w:type="dxa"/>
            <w:left w:w="108" w:type="dxa"/>
            <w:bottom w:w="0" w:type="dxa"/>
            <w:right w:w="108" w:type="dxa"/>
          </w:tblCellMar>
        </w:tblPrEx>
        <w:trPr>
          <w:trHeight w:val="271" w:hRule="atLeast"/>
          <w:jc w:val="center"/>
        </w:trPr>
        <w:tc>
          <w:tcPr>
            <w:tcW w:w="2010" w:type="dxa"/>
            <w:noWrap/>
            <w:vAlign w:val="center"/>
          </w:tcPr>
          <w:p w14:paraId="52AC4864">
            <w:pPr>
              <w:widowControl/>
              <w:jc w:val="left"/>
              <w:rPr>
                <w:rFonts w:cs="Times New Roman"/>
                <w:color w:val="000000"/>
                <w:kern w:val="0"/>
                <w:sz w:val="21"/>
                <w:szCs w:val="21"/>
              </w:rPr>
            </w:pPr>
            <w:r>
              <w:rPr>
                <w:rFonts w:cs="Times New Roman"/>
                <w:color w:val="000000"/>
                <w:kern w:val="0"/>
                <w:sz w:val="21"/>
                <w:szCs w:val="21"/>
              </w:rPr>
              <w:t>FBG,mg/dL</w:t>
            </w:r>
          </w:p>
        </w:tc>
        <w:tc>
          <w:tcPr>
            <w:tcW w:w="1811" w:type="dxa"/>
            <w:noWrap/>
            <w:vAlign w:val="center"/>
          </w:tcPr>
          <w:p w14:paraId="366218EB">
            <w:pPr>
              <w:widowControl/>
              <w:jc w:val="center"/>
              <w:rPr>
                <w:rFonts w:cs="Times New Roman"/>
                <w:color w:val="000000"/>
                <w:kern w:val="0"/>
                <w:sz w:val="21"/>
                <w:szCs w:val="21"/>
              </w:rPr>
            </w:pPr>
          </w:p>
        </w:tc>
        <w:tc>
          <w:tcPr>
            <w:tcW w:w="1224" w:type="dxa"/>
            <w:noWrap/>
            <w:vAlign w:val="center"/>
          </w:tcPr>
          <w:p w14:paraId="6C62BB1F">
            <w:pPr>
              <w:widowControl/>
              <w:jc w:val="center"/>
              <w:rPr>
                <w:rFonts w:eastAsia="Times New Roman" w:cs="Times New Roman"/>
                <w:color w:val="auto"/>
                <w:kern w:val="0"/>
                <w:sz w:val="21"/>
                <w:szCs w:val="21"/>
              </w:rPr>
            </w:pPr>
          </w:p>
        </w:tc>
        <w:tc>
          <w:tcPr>
            <w:tcW w:w="1632" w:type="dxa"/>
            <w:noWrap/>
            <w:vAlign w:val="center"/>
          </w:tcPr>
          <w:p w14:paraId="22B1869B">
            <w:pPr>
              <w:widowControl/>
              <w:jc w:val="center"/>
              <w:rPr>
                <w:rFonts w:eastAsia="Times New Roman" w:cs="Times New Roman"/>
                <w:color w:val="auto"/>
                <w:kern w:val="0"/>
                <w:sz w:val="21"/>
                <w:szCs w:val="21"/>
              </w:rPr>
            </w:pPr>
          </w:p>
        </w:tc>
        <w:tc>
          <w:tcPr>
            <w:tcW w:w="1088" w:type="dxa"/>
            <w:noWrap/>
            <w:vAlign w:val="center"/>
          </w:tcPr>
          <w:p w14:paraId="0F85A2FB">
            <w:pPr>
              <w:widowControl/>
              <w:jc w:val="center"/>
              <w:rPr>
                <w:rFonts w:eastAsia="Times New Roman" w:cs="Times New Roman"/>
                <w:color w:val="auto"/>
                <w:kern w:val="0"/>
                <w:sz w:val="21"/>
                <w:szCs w:val="21"/>
              </w:rPr>
            </w:pPr>
          </w:p>
        </w:tc>
        <w:tc>
          <w:tcPr>
            <w:tcW w:w="1389" w:type="dxa"/>
            <w:noWrap/>
            <w:vAlign w:val="center"/>
          </w:tcPr>
          <w:p w14:paraId="14CA3347">
            <w:pPr>
              <w:widowControl/>
              <w:jc w:val="center"/>
              <w:rPr>
                <w:rFonts w:eastAsia="Times New Roman" w:cs="Times New Roman"/>
                <w:color w:val="auto"/>
                <w:kern w:val="0"/>
                <w:sz w:val="21"/>
                <w:szCs w:val="21"/>
              </w:rPr>
            </w:pPr>
          </w:p>
        </w:tc>
      </w:tr>
      <w:tr w14:paraId="40F0E0DA">
        <w:tblPrEx>
          <w:tblCellMar>
            <w:top w:w="0" w:type="dxa"/>
            <w:left w:w="108" w:type="dxa"/>
            <w:bottom w:w="0" w:type="dxa"/>
            <w:right w:w="108" w:type="dxa"/>
          </w:tblCellMar>
        </w:tblPrEx>
        <w:trPr>
          <w:trHeight w:val="271" w:hRule="atLeast"/>
          <w:jc w:val="center"/>
        </w:trPr>
        <w:tc>
          <w:tcPr>
            <w:tcW w:w="2010" w:type="dxa"/>
            <w:noWrap/>
            <w:vAlign w:val="center"/>
          </w:tcPr>
          <w:p w14:paraId="14C761FF">
            <w:pPr>
              <w:widowControl/>
              <w:jc w:val="left"/>
              <w:rPr>
                <w:rFonts w:cs="Times New Roman"/>
                <w:color w:val="000000"/>
                <w:kern w:val="0"/>
                <w:sz w:val="21"/>
                <w:szCs w:val="21"/>
              </w:rPr>
            </w:pPr>
            <w:r>
              <w:rPr>
                <w:rFonts w:cs="Times New Roman"/>
                <w:color w:val="000000"/>
                <w:kern w:val="0"/>
                <w:sz w:val="21"/>
                <w:szCs w:val="21"/>
              </w:rPr>
              <w:t xml:space="preserve">  ≤102</w:t>
            </w:r>
          </w:p>
        </w:tc>
        <w:tc>
          <w:tcPr>
            <w:tcW w:w="1811" w:type="dxa"/>
            <w:noWrap/>
            <w:vAlign w:val="center"/>
          </w:tcPr>
          <w:p w14:paraId="40072038">
            <w:pPr>
              <w:widowControl/>
              <w:jc w:val="center"/>
              <w:rPr>
                <w:rFonts w:cs="Times New Roman"/>
                <w:color w:val="000000"/>
                <w:kern w:val="0"/>
                <w:sz w:val="21"/>
                <w:szCs w:val="21"/>
              </w:rPr>
            </w:pPr>
            <w:r>
              <w:rPr>
                <w:rFonts w:cs="Times New Roman"/>
                <w:color w:val="000000"/>
                <w:kern w:val="0"/>
                <w:sz w:val="21"/>
                <w:szCs w:val="21"/>
              </w:rPr>
              <w:t>7495</w:t>
            </w:r>
          </w:p>
        </w:tc>
        <w:tc>
          <w:tcPr>
            <w:tcW w:w="1224" w:type="dxa"/>
            <w:noWrap/>
            <w:vAlign w:val="center"/>
          </w:tcPr>
          <w:p w14:paraId="6C6BE11A">
            <w:pPr>
              <w:widowControl/>
              <w:jc w:val="center"/>
              <w:rPr>
                <w:rFonts w:cs="Times New Roman"/>
                <w:color w:val="000000"/>
                <w:kern w:val="0"/>
                <w:sz w:val="21"/>
                <w:szCs w:val="21"/>
              </w:rPr>
            </w:pPr>
            <w:r>
              <w:rPr>
                <w:rFonts w:cs="Times New Roman"/>
                <w:color w:val="000000"/>
                <w:kern w:val="0"/>
                <w:sz w:val="21"/>
                <w:szCs w:val="21"/>
              </w:rPr>
              <w:t>567 (7.6)</w:t>
            </w:r>
          </w:p>
        </w:tc>
        <w:tc>
          <w:tcPr>
            <w:tcW w:w="1632" w:type="dxa"/>
            <w:noWrap/>
            <w:vAlign w:val="center"/>
          </w:tcPr>
          <w:p w14:paraId="01A79DB5">
            <w:pPr>
              <w:widowControl/>
              <w:jc w:val="center"/>
              <w:rPr>
                <w:rFonts w:cs="Times New Roman"/>
                <w:color w:val="000000"/>
                <w:kern w:val="0"/>
                <w:sz w:val="21"/>
                <w:szCs w:val="21"/>
              </w:rPr>
            </w:pPr>
            <w:r>
              <w:rPr>
                <w:rFonts w:cs="Times New Roman"/>
                <w:color w:val="000000"/>
                <w:kern w:val="0"/>
                <w:sz w:val="21"/>
                <w:szCs w:val="21"/>
              </w:rPr>
              <w:t>1.67 (1.5~1.86)</w:t>
            </w:r>
          </w:p>
        </w:tc>
        <w:tc>
          <w:tcPr>
            <w:tcW w:w="1088" w:type="dxa"/>
            <w:noWrap/>
            <w:vAlign w:val="center"/>
          </w:tcPr>
          <w:p w14:paraId="1659D497">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0F3D624D">
            <w:pPr>
              <w:widowControl/>
              <w:jc w:val="center"/>
              <w:rPr>
                <w:rFonts w:cs="Times New Roman"/>
                <w:color w:val="000000"/>
                <w:kern w:val="0"/>
                <w:sz w:val="21"/>
                <w:szCs w:val="21"/>
              </w:rPr>
            </w:pPr>
            <w:r>
              <w:rPr>
                <w:rFonts w:cs="Times New Roman"/>
                <w:color w:val="000000"/>
                <w:kern w:val="0"/>
                <w:sz w:val="21"/>
                <w:szCs w:val="21"/>
              </w:rPr>
              <w:t>0.132</w:t>
            </w:r>
          </w:p>
        </w:tc>
      </w:tr>
      <w:tr w14:paraId="19EC29FA">
        <w:tblPrEx>
          <w:tblCellMar>
            <w:top w:w="0" w:type="dxa"/>
            <w:left w:w="108" w:type="dxa"/>
            <w:bottom w:w="0" w:type="dxa"/>
            <w:right w:w="108" w:type="dxa"/>
          </w:tblCellMar>
        </w:tblPrEx>
        <w:trPr>
          <w:trHeight w:val="271" w:hRule="atLeast"/>
          <w:jc w:val="center"/>
        </w:trPr>
        <w:tc>
          <w:tcPr>
            <w:tcW w:w="2010" w:type="dxa"/>
            <w:noWrap/>
            <w:vAlign w:val="center"/>
          </w:tcPr>
          <w:p w14:paraId="73EEE837">
            <w:pPr>
              <w:widowControl/>
              <w:jc w:val="left"/>
              <w:rPr>
                <w:rFonts w:cs="Times New Roman"/>
                <w:color w:val="000000"/>
                <w:kern w:val="0"/>
                <w:sz w:val="21"/>
                <w:szCs w:val="21"/>
              </w:rPr>
            </w:pPr>
            <w:r>
              <w:rPr>
                <w:rFonts w:cs="Times New Roman"/>
                <w:color w:val="000000"/>
                <w:kern w:val="0"/>
                <w:sz w:val="21"/>
                <w:szCs w:val="21"/>
              </w:rPr>
              <w:t xml:space="preserve">  ＞102</w:t>
            </w:r>
          </w:p>
        </w:tc>
        <w:tc>
          <w:tcPr>
            <w:tcW w:w="1811" w:type="dxa"/>
            <w:noWrap/>
            <w:vAlign w:val="center"/>
          </w:tcPr>
          <w:p w14:paraId="2F4F8669">
            <w:pPr>
              <w:widowControl/>
              <w:jc w:val="center"/>
              <w:rPr>
                <w:rFonts w:cs="Times New Roman"/>
                <w:color w:val="000000"/>
                <w:kern w:val="0"/>
                <w:sz w:val="21"/>
                <w:szCs w:val="21"/>
              </w:rPr>
            </w:pPr>
            <w:r>
              <w:rPr>
                <w:rFonts w:cs="Times New Roman"/>
                <w:color w:val="000000"/>
                <w:kern w:val="0"/>
                <w:sz w:val="21"/>
                <w:szCs w:val="21"/>
              </w:rPr>
              <w:t>7549</w:t>
            </w:r>
          </w:p>
        </w:tc>
        <w:tc>
          <w:tcPr>
            <w:tcW w:w="1224" w:type="dxa"/>
            <w:noWrap/>
            <w:vAlign w:val="center"/>
          </w:tcPr>
          <w:p w14:paraId="18E42A83">
            <w:pPr>
              <w:widowControl/>
              <w:jc w:val="center"/>
              <w:rPr>
                <w:rFonts w:cs="Times New Roman"/>
                <w:color w:val="000000"/>
                <w:kern w:val="0"/>
                <w:sz w:val="21"/>
                <w:szCs w:val="21"/>
              </w:rPr>
            </w:pPr>
            <w:r>
              <w:rPr>
                <w:rFonts w:cs="Times New Roman"/>
                <w:color w:val="000000"/>
                <w:kern w:val="0"/>
                <w:sz w:val="21"/>
                <w:szCs w:val="21"/>
              </w:rPr>
              <w:t>1043 (13.8)</w:t>
            </w:r>
          </w:p>
        </w:tc>
        <w:tc>
          <w:tcPr>
            <w:tcW w:w="1632" w:type="dxa"/>
            <w:noWrap/>
            <w:vAlign w:val="center"/>
          </w:tcPr>
          <w:p w14:paraId="043F9832">
            <w:pPr>
              <w:widowControl/>
              <w:jc w:val="center"/>
              <w:rPr>
                <w:rFonts w:cs="Times New Roman"/>
                <w:color w:val="000000"/>
                <w:kern w:val="0"/>
                <w:sz w:val="21"/>
                <w:szCs w:val="21"/>
              </w:rPr>
            </w:pPr>
            <w:r>
              <w:rPr>
                <w:rFonts w:cs="Times New Roman"/>
                <w:color w:val="000000"/>
                <w:kern w:val="0"/>
                <w:sz w:val="21"/>
                <w:szCs w:val="21"/>
              </w:rPr>
              <w:t>1.55 (1.44~1.66)</w:t>
            </w:r>
          </w:p>
        </w:tc>
        <w:tc>
          <w:tcPr>
            <w:tcW w:w="1088" w:type="dxa"/>
            <w:noWrap/>
            <w:vAlign w:val="center"/>
          </w:tcPr>
          <w:p w14:paraId="16BE56E9">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1F18EA95">
            <w:pPr>
              <w:widowControl/>
              <w:jc w:val="center"/>
              <w:rPr>
                <w:rFonts w:cs="Times New Roman"/>
                <w:color w:val="000000"/>
                <w:kern w:val="0"/>
                <w:sz w:val="21"/>
                <w:szCs w:val="21"/>
              </w:rPr>
            </w:pPr>
          </w:p>
        </w:tc>
      </w:tr>
      <w:tr w14:paraId="0A80E4AB">
        <w:tblPrEx>
          <w:tblCellMar>
            <w:top w:w="0" w:type="dxa"/>
            <w:left w:w="108" w:type="dxa"/>
            <w:bottom w:w="0" w:type="dxa"/>
            <w:right w:w="108" w:type="dxa"/>
          </w:tblCellMar>
        </w:tblPrEx>
        <w:trPr>
          <w:trHeight w:val="271" w:hRule="atLeast"/>
          <w:jc w:val="center"/>
        </w:trPr>
        <w:tc>
          <w:tcPr>
            <w:tcW w:w="2010" w:type="dxa"/>
            <w:noWrap/>
            <w:vAlign w:val="center"/>
          </w:tcPr>
          <w:p w14:paraId="1413191D">
            <w:pPr>
              <w:widowControl/>
              <w:jc w:val="left"/>
              <w:rPr>
                <w:rFonts w:cs="Times New Roman"/>
                <w:color w:val="000000"/>
                <w:kern w:val="0"/>
                <w:sz w:val="21"/>
                <w:szCs w:val="21"/>
              </w:rPr>
            </w:pPr>
            <w:r>
              <w:rPr>
                <w:rFonts w:cs="Times New Roman"/>
                <w:color w:val="000000"/>
                <w:kern w:val="0"/>
                <w:sz w:val="21"/>
                <w:szCs w:val="21"/>
              </w:rPr>
              <w:t>HbA1c,%</w:t>
            </w:r>
          </w:p>
        </w:tc>
        <w:tc>
          <w:tcPr>
            <w:tcW w:w="1811" w:type="dxa"/>
            <w:noWrap/>
            <w:vAlign w:val="center"/>
          </w:tcPr>
          <w:p w14:paraId="3BB73757">
            <w:pPr>
              <w:widowControl/>
              <w:jc w:val="center"/>
              <w:rPr>
                <w:rFonts w:cs="Times New Roman"/>
                <w:color w:val="000000"/>
                <w:kern w:val="0"/>
                <w:sz w:val="21"/>
                <w:szCs w:val="21"/>
              </w:rPr>
            </w:pPr>
          </w:p>
        </w:tc>
        <w:tc>
          <w:tcPr>
            <w:tcW w:w="1224" w:type="dxa"/>
            <w:noWrap/>
            <w:vAlign w:val="center"/>
          </w:tcPr>
          <w:p w14:paraId="7ED2DB38">
            <w:pPr>
              <w:widowControl/>
              <w:jc w:val="center"/>
              <w:rPr>
                <w:rFonts w:eastAsia="Times New Roman" w:cs="Times New Roman"/>
                <w:color w:val="auto"/>
                <w:kern w:val="0"/>
                <w:sz w:val="21"/>
                <w:szCs w:val="21"/>
              </w:rPr>
            </w:pPr>
          </w:p>
        </w:tc>
        <w:tc>
          <w:tcPr>
            <w:tcW w:w="1632" w:type="dxa"/>
            <w:noWrap/>
            <w:vAlign w:val="center"/>
          </w:tcPr>
          <w:p w14:paraId="7A30F2A5">
            <w:pPr>
              <w:widowControl/>
              <w:jc w:val="center"/>
              <w:rPr>
                <w:rFonts w:eastAsia="Times New Roman" w:cs="Times New Roman"/>
                <w:color w:val="auto"/>
                <w:kern w:val="0"/>
                <w:sz w:val="21"/>
                <w:szCs w:val="21"/>
              </w:rPr>
            </w:pPr>
          </w:p>
        </w:tc>
        <w:tc>
          <w:tcPr>
            <w:tcW w:w="1088" w:type="dxa"/>
            <w:noWrap/>
            <w:vAlign w:val="center"/>
          </w:tcPr>
          <w:p w14:paraId="42D99529">
            <w:pPr>
              <w:widowControl/>
              <w:jc w:val="center"/>
              <w:rPr>
                <w:rFonts w:eastAsia="Times New Roman" w:cs="Times New Roman"/>
                <w:color w:val="auto"/>
                <w:kern w:val="0"/>
                <w:sz w:val="21"/>
                <w:szCs w:val="21"/>
              </w:rPr>
            </w:pPr>
          </w:p>
        </w:tc>
        <w:tc>
          <w:tcPr>
            <w:tcW w:w="1389" w:type="dxa"/>
            <w:noWrap/>
            <w:vAlign w:val="center"/>
          </w:tcPr>
          <w:p w14:paraId="303C0B0E">
            <w:pPr>
              <w:widowControl/>
              <w:jc w:val="center"/>
              <w:rPr>
                <w:rFonts w:eastAsia="Times New Roman" w:cs="Times New Roman"/>
                <w:color w:val="auto"/>
                <w:kern w:val="0"/>
                <w:sz w:val="21"/>
                <w:szCs w:val="21"/>
              </w:rPr>
            </w:pPr>
          </w:p>
        </w:tc>
      </w:tr>
      <w:tr w14:paraId="0A4811C2">
        <w:tblPrEx>
          <w:tblCellMar>
            <w:top w:w="0" w:type="dxa"/>
            <w:left w:w="108" w:type="dxa"/>
            <w:bottom w:w="0" w:type="dxa"/>
            <w:right w:w="108" w:type="dxa"/>
          </w:tblCellMar>
        </w:tblPrEx>
        <w:trPr>
          <w:trHeight w:val="271" w:hRule="atLeast"/>
          <w:jc w:val="center"/>
        </w:trPr>
        <w:tc>
          <w:tcPr>
            <w:tcW w:w="2010" w:type="dxa"/>
            <w:noWrap/>
            <w:vAlign w:val="center"/>
          </w:tcPr>
          <w:p w14:paraId="0DD119AA">
            <w:pPr>
              <w:widowControl/>
              <w:jc w:val="left"/>
              <w:rPr>
                <w:rFonts w:cs="Times New Roman"/>
                <w:color w:val="000000"/>
                <w:kern w:val="0"/>
                <w:sz w:val="21"/>
                <w:szCs w:val="21"/>
              </w:rPr>
            </w:pPr>
            <w:r>
              <w:rPr>
                <w:rFonts w:cs="Times New Roman"/>
                <w:color w:val="000000"/>
                <w:kern w:val="0"/>
                <w:sz w:val="21"/>
                <w:szCs w:val="21"/>
              </w:rPr>
              <w:t xml:space="preserve">  ≤5.6</w:t>
            </w:r>
          </w:p>
        </w:tc>
        <w:tc>
          <w:tcPr>
            <w:tcW w:w="1811" w:type="dxa"/>
            <w:noWrap/>
            <w:vAlign w:val="center"/>
          </w:tcPr>
          <w:p w14:paraId="29D2424F">
            <w:pPr>
              <w:widowControl/>
              <w:jc w:val="center"/>
              <w:rPr>
                <w:rFonts w:cs="Times New Roman"/>
                <w:color w:val="000000"/>
                <w:kern w:val="0"/>
                <w:sz w:val="21"/>
                <w:szCs w:val="21"/>
              </w:rPr>
            </w:pPr>
            <w:r>
              <w:rPr>
                <w:rFonts w:cs="Times New Roman"/>
                <w:color w:val="000000"/>
                <w:kern w:val="0"/>
                <w:sz w:val="21"/>
                <w:szCs w:val="21"/>
              </w:rPr>
              <w:t>7479</w:t>
            </w:r>
          </w:p>
        </w:tc>
        <w:tc>
          <w:tcPr>
            <w:tcW w:w="1224" w:type="dxa"/>
            <w:noWrap/>
            <w:vAlign w:val="center"/>
          </w:tcPr>
          <w:p w14:paraId="0246A958">
            <w:pPr>
              <w:widowControl/>
              <w:jc w:val="center"/>
              <w:rPr>
                <w:rFonts w:cs="Times New Roman"/>
                <w:color w:val="000000"/>
                <w:kern w:val="0"/>
                <w:sz w:val="21"/>
                <w:szCs w:val="21"/>
              </w:rPr>
            </w:pPr>
            <w:r>
              <w:rPr>
                <w:rFonts w:cs="Times New Roman"/>
                <w:color w:val="000000"/>
                <w:kern w:val="0"/>
                <w:sz w:val="21"/>
                <w:szCs w:val="21"/>
              </w:rPr>
              <w:t>526 (7)</w:t>
            </w:r>
          </w:p>
        </w:tc>
        <w:tc>
          <w:tcPr>
            <w:tcW w:w="1632" w:type="dxa"/>
            <w:noWrap/>
            <w:vAlign w:val="center"/>
          </w:tcPr>
          <w:p w14:paraId="6BDB43DF">
            <w:pPr>
              <w:widowControl/>
              <w:jc w:val="center"/>
              <w:rPr>
                <w:rFonts w:cs="Times New Roman"/>
                <w:color w:val="000000"/>
                <w:kern w:val="0"/>
                <w:sz w:val="21"/>
                <w:szCs w:val="21"/>
              </w:rPr>
            </w:pPr>
            <w:r>
              <w:rPr>
                <w:rFonts w:cs="Times New Roman"/>
                <w:color w:val="000000"/>
                <w:kern w:val="0"/>
                <w:sz w:val="21"/>
                <w:szCs w:val="21"/>
              </w:rPr>
              <w:t>1.51 (1.37~1.68)</w:t>
            </w:r>
          </w:p>
        </w:tc>
        <w:tc>
          <w:tcPr>
            <w:tcW w:w="1088" w:type="dxa"/>
            <w:noWrap/>
            <w:vAlign w:val="center"/>
          </w:tcPr>
          <w:p w14:paraId="55C7B6FA">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69C3740D">
            <w:pPr>
              <w:widowControl/>
              <w:jc w:val="center"/>
              <w:rPr>
                <w:rFonts w:cs="Times New Roman"/>
                <w:color w:val="000000"/>
                <w:kern w:val="0"/>
                <w:sz w:val="21"/>
                <w:szCs w:val="21"/>
              </w:rPr>
            </w:pPr>
            <w:r>
              <w:rPr>
                <w:rFonts w:cs="Times New Roman"/>
                <w:color w:val="000000"/>
                <w:kern w:val="0"/>
                <w:sz w:val="21"/>
                <w:szCs w:val="21"/>
              </w:rPr>
              <w:t>0.675</w:t>
            </w:r>
          </w:p>
        </w:tc>
      </w:tr>
      <w:tr w14:paraId="7DC069EE">
        <w:tblPrEx>
          <w:tblCellMar>
            <w:top w:w="0" w:type="dxa"/>
            <w:left w:w="108" w:type="dxa"/>
            <w:bottom w:w="0" w:type="dxa"/>
            <w:right w:w="108" w:type="dxa"/>
          </w:tblCellMar>
        </w:tblPrEx>
        <w:trPr>
          <w:trHeight w:val="271" w:hRule="atLeast"/>
          <w:jc w:val="center"/>
        </w:trPr>
        <w:tc>
          <w:tcPr>
            <w:tcW w:w="2010" w:type="dxa"/>
            <w:noWrap/>
            <w:vAlign w:val="center"/>
          </w:tcPr>
          <w:p w14:paraId="09DDFCB2">
            <w:pPr>
              <w:widowControl/>
              <w:jc w:val="left"/>
              <w:rPr>
                <w:rFonts w:cs="Times New Roman"/>
                <w:color w:val="000000"/>
                <w:kern w:val="0"/>
                <w:sz w:val="21"/>
                <w:szCs w:val="21"/>
              </w:rPr>
            </w:pPr>
            <w:r>
              <w:rPr>
                <w:rFonts w:cs="Times New Roman"/>
                <w:color w:val="000000"/>
                <w:kern w:val="0"/>
                <w:sz w:val="21"/>
                <w:szCs w:val="21"/>
              </w:rPr>
              <w:t xml:space="preserve">  ＞5.6</w:t>
            </w:r>
          </w:p>
        </w:tc>
        <w:tc>
          <w:tcPr>
            <w:tcW w:w="1811" w:type="dxa"/>
            <w:noWrap/>
            <w:vAlign w:val="center"/>
          </w:tcPr>
          <w:p w14:paraId="2433FB81">
            <w:pPr>
              <w:widowControl/>
              <w:jc w:val="center"/>
              <w:rPr>
                <w:rFonts w:cs="Times New Roman"/>
                <w:color w:val="000000"/>
                <w:kern w:val="0"/>
                <w:sz w:val="21"/>
                <w:szCs w:val="21"/>
              </w:rPr>
            </w:pPr>
            <w:r>
              <w:rPr>
                <w:rFonts w:cs="Times New Roman"/>
                <w:color w:val="000000"/>
                <w:kern w:val="0"/>
                <w:sz w:val="21"/>
                <w:szCs w:val="21"/>
              </w:rPr>
              <w:t>7538</w:t>
            </w:r>
          </w:p>
        </w:tc>
        <w:tc>
          <w:tcPr>
            <w:tcW w:w="1224" w:type="dxa"/>
            <w:noWrap/>
            <w:vAlign w:val="center"/>
          </w:tcPr>
          <w:p w14:paraId="7944383C">
            <w:pPr>
              <w:widowControl/>
              <w:jc w:val="center"/>
              <w:rPr>
                <w:rFonts w:cs="Times New Roman"/>
                <w:color w:val="000000"/>
                <w:kern w:val="0"/>
                <w:sz w:val="21"/>
                <w:szCs w:val="21"/>
              </w:rPr>
            </w:pPr>
            <w:r>
              <w:rPr>
                <w:rFonts w:cs="Times New Roman"/>
                <w:color w:val="000000"/>
                <w:kern w:val="0"/>
                <w:sz w:val="21"/>
                <w:szCs w:val="21"/>
              </w:rPr>
              <w:t>1082 (14.4)</w:t>
            </w:r>
          </w:p>
        </w:tc>
        <w:tc>
          <w:tcPr>
            <w:tcW w:w="1632" w:type="dxa"/>
            <w:noWrap/>
            <w:vAlign w:val="center"/>
          </w:tcPr>
          <w:p w14:paraId="492E54BA">
            <w:pPr>
              <w:widowControl/>
              <w:jc w:val="center"/>
              <w:rPr>
                <w:rFonts w:cs="Times New Roman"/>
                <w:color w:val="000000"/>
                <w:kern w:val="0"/>
                <w:sz w:val="21"/>
                <w:szCs w:val="21"/>
              </w:rPr>
            </w:pPr>
            <w:r>
              <w:rPr>
                <w:rFonts w:cs="Times New Roman"/>
                <w:color w:val="000000"/>
                <w:kern w:val="0"/>
                <w:sz w:val="21"/>
                <w:szCs w:val="21"/>
              </w:rPr>
              <w:t>1.6 (1.49~1.72)</w:t>
            </w:r>
          </w:p>
        </w:tc>
        <w:tc>
          <w:tcPr>
            <w:tcW w:w="1088" w:type="dxa"/>
            <w:noWrap/>
            <w:vAlign w:val="center"/>
          </w:tcPr>
          <w:p w14:paraId="11753206">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580CCA79">
            <w:pPr>
              <w:widowControl/>
              <w:jc w:val="center"/>
              <w:rPr>
                <w:rFonts w:cs="Times New Roman"/>
                <w:color w:val="000000"/>
                <w:kern w:val="0"/>
                <w:sz w:val="21"/>
                <w:szCs w:val="21"/>
              </w:rPr>
            </w:pPr>
          </w:p>
        </w:tc>
      </w:tr>
      <w:tr w14:paraId="199540B0">
        <w:tblPrEx>
          <w:tblCellMar>
            <w:top w:w="0" w:type="dxa"/>
            <w:left w:w="108" w:type="dxa"/>
            <w:bottom w:w="0" w:type="dxa"/>
            <w:right w:w="108" w:type="dxa"/>
          </w:tblCellMar>
        </w:tblPrEx>
        <w:trPr>
          <w:trHeight w:val="271" w:hRule="atLeast"/>
          <w:jc w:val="center"/>
        </w:trPr>
        <w:tc>
          <w:tcPr>
            <w:tcW w:w="2010" w:type="dxa"/>
            <w:noWrap/>
            <w:vAlign w:val="center"/>
          </w:tcPr>
          <w:p w14:paraId="59ACD7D4">
            <w:pPr>
              <w:widowControl/>
              <w:jc w:val="left"/>
              <w:rPr>
                <w:rFonts w:cs="Times New Roman"/>
                <w:color w:val="000000"/>
                <w:kern w:val="0"/>
                <w:sz w:val="21"/>
                <w:szCs w:val="21"/>
              </w:rPr>
            </w:pPr>
            <w:r>
              <w:rPr>
                <w:rFonts w:cs="Times New Roman"/>
                <w:color w:val="000000"/>
                <w:kern w:val="0"/>
                <w:sz w:val="21"/>
                <w:szCs w:val="21"/>
              </w:rPr>
              <w:t>BUN,mg/dL</w:t>
            </w:r>
          </w:p>
        </w:tc>
        <w:tc>
          <w:tcPr>
            <w:tcW w:w="1811" w:type="dxa"/>
            <w:noWrap/>
            <w:vAlign w:val="center"/>
          </w:tcPr>
          <w:p w14:paraId="56E0D055">
            <w:pPr>
              <w:widowControl/>
              <w:jc w:val="center"/>
              <w:rPr>
                <w:rFonts w:cs="Times New Roman"/>
                <w:color w:val="000000"/>
                <w:kern w:val="0"/>
                <w:sz w:val="21"/>
                <w:szCs w:val="21"/>
              </w:rPr>
            </w:pPr>
          </w:p>
        </w:tc>
        <w:tc>
          <w:tcPr>
            <w:tcW w:w="1224" w:type="dxa"/>
            <w:noWrap/>
            <w:vAlign w:val="center"/>
          </w:tcPr>
          <w:p w14:paraId="09A53170">
            <w:pPr>
              <w:widowControl/>
              <w:jc w:val="center"/>
              <w:rPr>
                <w:rFonts w:eastAsia="Times New Roman" w:cs="Times New Roman"/>
                <w:color w:val="auto"/>
                <w:kern w:val="0"/>
                <w:sz w:val="21"/>
                <w:szCs w:val="21"/>
              </w:rPr>
            </w:pPr>
          </w:p>
        </w:tc>
        <w:tc>
          <w:tcPr>
            <w:tcW w:w="1632" w:type="dxa"/>
            <w:noWrap/>
            <w:vAlign w:val="center"/>
          </w:tcPr>
          <w:p w14:paraId="21664006">
            <w:pPr>
              <w:widowControl/>
              <w:jc w:val="center"/>
              <w:rPr>
                <w:rFonts w:eastAsia="Times New Roman" w:cs="Times New Roman"/>
                <w:color w:val="auto"/>
                <w:kern w:val="0"/>
                <w:sz w:val="21"/>
                <w:szCs w:val="21"/>
              </w:rPr>
            </w:pPr>
          </w:p>
        </w:tc>
        <w:tc>
          <w:tcPr>
            <w:tcW w:w="1088" w:type="dxa"/>
            <w:noWrap/>
            <w:vAlign w:val="center"/>
          </w:tcPr>
          <w:p w14:paraId="6AB2F1B5">
            <w:pPr>
              <w:widowControl/>
              <w:jc w:val="center"/>
              <w:rPr>
                <w:rFonts w:eastAsia="Times New Roman" w:cs="Times New Roman"/>
                <w:color w:val="auto"/>
                <w:kern w:val="0"/>
                <w:sz w:val="21"/>
                <w:szCs w:val="21"/>
              </w:rPr>
            </w:pPr>
          </w:p>
        </w:tc>
        <w:tc>
          <w:tcPr>
            <w:tcW w:w="1389" w:type="dxa"/>
            <w:noWrap/>
            <w:vAlign w:val="center"/>
          </w:tcPr>
          <w:p w14:paraId="6DEF8A30">
            <w:pPr>
              <w:widowControl/>
              <w:jc w:val="center"/>
              <w:rPr>
                <w:rFonts w:eastAsia="Times New Roman" w:cs="Times New Roman"/>
                <w:color w:val="auto"/>
                <w:kern w:val="0"/>
                <w:sz w:val="21"/>
                <w:szCs w:val="21"/>
              </w:rPr>
            </w:pPr>
          </w:p>
        </w:tc>
      </w:tr>
      <w:tr w14:paraId="65AB409F">
        <w:tblPrEx>
          <w:tblCellMar>
            <w:top w:w="0" w:type="dxa"/>
            <w:left w:w="108" w:type="dxa"/>
            <w:bottom w:w="0" w:type="dxa"/>
            <w:right w:w="108" w:type="dxa"/>
          </w:tblCellMar>
        </w:tblPrEx>
        <w:trPr>
          <w:trHeight w:val="271" w:hRule="atLeast"/>
          <w:jc w:val="center"/>
        </w:trPr>
        <w:tc>
          <w:tcPr>
            <w:tcW w:w="2010" w:type="dxa"/>
            <w:noWrap/>
            <w:vAlign w:val="center"/>
          </w:tcPr>
          <w:p w14:paraId="0DDF4D1F">
            <w:pPr>
              <w:widowControl/>
              <w:jc w:val="left"/>
              <w:rPr>
                <w:rFonts w:cs="Times New Roman"/>
                <w:color w:val="000000"/>
                <w:kern w:val="0"/>
                <w:sz w:val="21"/>
                <w:szCs w:val="21"/>
              </w:rPr>
            </w:pPr>
            <w:r>
              <w:rPr>
                <w:rFonts w:cs="Times New Roman"/>
                <w:color w:val="000000"/>
                <w:kern w:val="0"/>
                <w:sz w:val="21"/>
                <w:szCs w:val="21"/>
              </w:rPr>
              <w:t xml:space="preserve">  ≤13.0</w:t>
            </w:r>
          </w:p>
        </w:tc>
        <w:tc>
          <w:tcPr>
            <w:tcW w:w="1811" w:type="dxa"/>
            <w:noWrap/>
            <w:vAlign w:val="center"/>
          </w:tcPr>
          <w:p w14:paraId="4A9E660B">
            <w:pPr>
              <w:widowControl/>
              <w:jc w:val="center"/>
              <w:rPr>
                <w:rFonts w:cs="Times New Roman"/>
                <w:color w:val="000000"/>
                <w:kern w:val="0"/>
                <w:sz w:val="21"/>
                <w:szCs w:val="21"/>
              </w:rPr>
            </w:pPr>
            <w:r>
              <w:rPr>
                <w:rFonts w:cs="Times New Roman"/>
                <w:color w:val="000000"/>
                <w:kern w:val="0"/>
                <w:sz w:val="21"/>
                <w:szCs w:val="21"/>
              </w:rPr>
              <w:t>7178</w:t>
            </w:r>
          </w:p>
        </w:tc>
        <w:tc>
          <w:tcPr>
            <w:tcW w:w="1224" w:type="dxa"/>
            <w:noWrap/>
            <w:vAlign w:val="center"/>
          </w:tcPr>
          <w:p w14:paraId="39BD8E49">
            <w:pPr>
              <w:widowControl/>
              <w:jc w:val="center"/>
              <w:rPr>
                <w:rFonts w:cs="Times New Roman"/>
                <w:color w:val="000000"/>
                <w:kern w:val="0"/>
                <w:sz w:val="21"/>
                <w:szCs w:val="21"/>
              </w:rPr>
            </w:pPr>
            <w:r>
              <w:rPr>
                <w:rFonts w:cs="Times New Roman"/>
                <w:color w:val="000000"/>
                <w:kern w:val="0"/>
                <w:sz w:val="21"/>
                <w:szCs w:val="21"/>
              </w:rPr>
              <w:t>509 (7.1)</w:t>
            </w:r>
          </w:p>
        </w:tc>
        <w:tc>
          <w:tcPr>
            <w:tcW w:w="1632" w:type="dxa"/>
            <w:noWrap/>
            <w:vAlign w:val="center"/>
          </w:tcPr>
          <w:p w14:paraId="38085BA4">
            <w:pPr>
              <w:widowControl/>
              <w:jc w:val="center"/>
              <w:rPr>
                <w:rFonts w:cs="Times New Roman"/>
                <w:color w:val="000000"/>
                <w:kern w:val="0"/>
                <w:sz w:val="21"/>
                <w:szCs w:val="21"/>
              </w:rPr>
            </w:pPr>
            <w:r>
              <w:rPr>
                <w:rFonts w:cs="Times New Roman"/>
                <w:color w:val="000000"/>
                <w:kern w:val="0"/>
                <w:sz w:val="21"/>
                <w:szCs w:val="21"/>
              </w:rPr>
              <w:t>1.57 (1.42~1.75)</w:t>
            </w:r>
          </w:p>
        </w:tc>
        <w:tc>
          <w:tcPr>
            <w:tcW w:w="1088" w:type="dxa"/>
            <w:noWrap/>
            <w:vAlign w:val="center"/>
          </w:tcPr>
          <w:p w14:paraId="33B0633E">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10DC1200">
            <w:pPr>
              <w:widowControl/>
              <w:jc w:val="center"/>
              <w:rPr>
                <w:rFonts w:cs="Times New Roman"/>
                <w:color w:val="000000"/>
                <w:kern w:val="0"/>
                <w:sz w:val="21"/>
                <w:szCs w:val="21"/>
              </w:rPr>
            </w:pPr>
            <w:r>
              <w:rPr>
                <w:rFonts w:cs="Times New Roman"/>
                <w:color w:val="000000"/>
                <w:kern w:val="0"/>
                <w:sz w:val="21"/>
                <w:szCs w:val="21"/>
              </w:rPr>
              <w:t>0.135</w:t>
            </w:r>
          </w:p>
        </w:tc>
      </w:tr>
      <w:tr w14:paraId="2A7A2480">
        <w:tblPrEx>
          <w:tblCellMar>
            <w:top w:w="0" w:type="dxa"/>
            <w:left w:w="108" w:type="dxa"/>
            <w:bottom w:w="0" w:type="dxa"/>
            <w:right w:w="108" w:type="dxa"/>
          </w:tblCellMar>
        </w:tblPrEx>
        <w:trPr>
          <w:trHeight w:val="271" w:hRule="atLeast"/>
          <w:jc w:val="center"/>
        </w:trPr>
        <w:tc>
          <w:tcPr>
            <w:tcW w:w="2010" w:type="dxa"/>
            <w:noWrap/>
            <w:vAlign w:val="center"/>
          </w:tcPr>
          <w:p w14:paraId="75DAFD8F">
            <w:pPr>
              <w:widowControl/>
              <w:jc w:val="left"/>
              <w:rPr>
                <w:rFonts w:cs="Times New Roman"/>
                <w:color w:val="000000"/>
                <w:kern w:val="0"/>
                <w:sz w:val="21"/>
                <w:szCs w:val="21"/>
              </w:rPr>
            </w:pPr>
            <w:r>
              <w:rPr>
                <w:rFonts w:cs="Times New Roman"/>
                <w:color w:val="000000"/>
                <w:kern w:val="0"/>
                <w:sz w:val="21"/>
                <w:szCs w:val="21"/>
              </w:rPr>
              <w:t xml:space="preserve">  ＞13.0</w:t>
            </w:r>
          </w:p>
        </w:tc>
        <w:tc>
          <w:tcPr>
            <w:tcW w:w="1811" w:type="dxa"/>
            <w:noWrap/>
            <w:vAlign w:val="center"/>
          </w:tcPr>
          <w:p w14:paraId="6D3E4311">
            <w:pPr>
              <w:widowControl/>
              <w:jc w:val="center"/>
              <w:rPr>
                <w:rFonts w:cs="Times New Roman"/>
                <w:color w:val="000000"/>
                <w:kern w:val="0"/>
                <w:sz w:val="21"/>
                <w:szCs w:val="21"/>
              </w:rPr>
            </w:pPr>
            <w:r>
              <w:rPr>
                <w:rFonts w:cs="Times New Roman"/>
                <w:color w:val="000000"/>
                <w:kern w:val="0"/>
                <w:sz w:val="21"/>
                <w:szCs w:val="21"/>
              </w:rPr>
              <w:t>7812</w:t>
            </w:r>
          </w:p>
        </w:tc>
        <w:tc>
          <w:tcPr>
            <w:tcW w:w="1224" w:type="dxa"/>
            <w:noWrap/>
            <w:vAlign w:val="center"/>
          </w:tcPr>
          <w:p w14:paraId="089FE794">
            <w:pPr>
              <w:widowControl/>
              <w:jc w:val="center"/>
              <w:rPr>
                <w:rFonts w:cs="Times New Roman"/>
                <w:color w:val="000000"/>
                <w:kern w:val="0"/>
                <w:sz w:val="21"/>
                <w:szCs w:val="21"/>
              </w:rPr>
            </w:pPr>
            <w:r>
              <w:rPr>
                <w:rFonts w:cs="Times New Roman"/>
                <w:color w:val="000000"/>
                <w:kern w:val="0"/>
                <w:sz w:val="21"/>
                <w:szCs w:val="21"/>
              </w:rPr>
              <w:t>1096 (14)</w:t>
            </w:r>
          </w:p>
        </w:tc>
        <w:tc>
          <w:tcPr>
            <w:tcW w:w="1632" w:type="dxa"/>
            <w:noWrap/>
            <w:vAlign w:val="center"/>
          </w:tcPr>
          <w:p w14:paraId="7983CABD">
            <w:pPr>
              <w:widowControl/>
              <w:jc w:val="center"/>
              <w:rPr>
                <w:rFonts w:cs="Times New Roman"/>
                <w:color w:val="000000"/>
                <w:kern w:val="0"/>
                <w:sz w:val="21"/>
                <w:szCs w:val="21"/>
              </w:rPr>
            </w:pPr>
            <w:r>
              <w:rPr>
                <w:rFonts w:cs="Times New Roman"/>
                <w:color w:val="000000"/>
                <w:kern w:val="0"/>
                <w:sz w:val="21"/>
                <w:szCs w:val="21"/>
              </w:rPr>
              <w:t>1.54 (1.44~1.66)</w:t>
            </w:r>
          </w:p>
        </w:tc>
        <w:tc>
          <w:tcPr>
            <w:tcW w:w="1088" w:type="dxa"/>
            <w:noWrap/>
            <w:vAlign w:val="center"/>
          </w:tcPr>
          <w:p w14:paraId="5005BAC8">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06DB69E5">
            <w:pPr>
              <w:widowControl/>
              <w:jc w:val="center"/>
              <w:rPr>
                <w:rFonts w:cs="Times New Roman"/>
                <w:color w:val="000000"/>
                <w:kern w:val="0"/>
                <w:sz w:val="21"/>
                <w:szCs w:val="21"/>
              </w:rPr>
            </w:pPr>
          </w:p>
        </w:tc>
      </w:tr>
      <w:tr w14:paraId="0617C1BE">
        <w:tblPrEx>
          <w:tblCellMar>
            <w:top w:w="0" w:type="dxa"/>
            <w:left w:w="108" w:type="dxa"/>
            <w:bottom w:w="0" w:type="dxa"/>
            <w:right w:w="108" w:type="dxa"/>
          </w:tblCellMar>
        </w:tblPrEx>
        <w:trPr>
          <w:trHeight w:val="271" w:hRule="atLeast"/>
          <w:jc w:val="center"/>
        </w:trPr>
        <w:tc>
          <w:tcPr>
            <w:tcW w:w="2010" w:type="dxa"/>
            <w:noWrap/>
            <w:vAlign w:val="center"/>
          </w:tcPr>
          <w:p w14:paraId="2AD6FFB8">
            <w:pPr>
              <w:widowControl/>
              <w:jc w:val="left"/>
              <w:rPr>
                <w:rFonts w:cs="Times New Roman"/>
                <w:color w:val="000000"/>
                <w:kern w:val="0"/>
                <w:sz w:val="21"/>
                <w:szCs w:val="21"/>
              </w:rPr>
            </w:pPr>
            <w:r>
              <w:rPr>
                <w:rFonts w:cs="Times New Roman"/>
                <w:color w:val="000000"/>
                <w:kern w:val="0"/>
                <w:sz w:val="21"/>
                <w:szCs w:val="21"/>
              </w:rPr>
              <w:t>Scr,mg/dL</w:t>
            </w:r>
          </w:p>
        </w:tc>
        <w:tc>
          <w:tcPr>
            <w:tcW w:w="1811" w:type="dxa"/>
            <w:noWrap/>
            <w:vAlign w:val="center"/>
          </w:tcPr>
          <w:p w14:paraId="151CF8AF">
            <w:pPr>
              <w:widowControl/>
              <w:jc w:val="center"/>
              <w:rPr>
                <w:rFonts w:cs="Times New Roman"/>
                <w:color w:val="000000"/>
                <w:kern w:val="0"/>
                <w:sz w:val="21"/>
                <w:szCs w:val="21"/>
              </w:rPr>
            </w:pPr>
          </w:p>
        </w:tc>
        <w:tc>
          <w:tcPr>
            <w:tcW w:w="1224" w:type="dxa"/>
            <w:noWrap/>
            <w:vAlign w:val="center"/>
          </w:tcPr>
          <w:p w14:paraId="137D05F4">
            <w:pPr>
              <w:widowControl/>
              <w:jc w:val="center"/>
              <w:rPr>
                <w:rFonts w:eastAsia="Times New Roman" w:cs="Times New Roman"/>
                <w:color w:val="auto"/>
                <w:kern w:val="0"/>
                <w:sz w:val="21"/>
                <w:szCs w:val="21"/>
              </w:rPr>
            </w:pPr>
          </w:p>
        </w:tc>
        <w:tc>
          <w:tcPr>
            <w:tcW w:w="1632" w:type="dxa"/>
            <w:noWrap/>
            <w:vAlign w:val="center"/>
          </w:tcPr>
          <w:p w14:paraId="3E5A13D8">
            <w:pPr>
              <w:widowControl/>
              <w:jc w:val="center"/>
              <w:rPr>
                <w:rFonts w:eastAsia="Times New Roman" w:cs="Times New Roman"/>
                <w:color w:val="auto"/>
                <w:kern w:val="0"/>
                <w:sz w:val="21"/>
                <w:szCs w:val="21"/>
              </w:rPr>
            </w:pPr>
          </w:p>
        </w:tc>
        <w:tc>
          <w:tcPr>
            <w:tcW w:w="1088" w:type="dxa"/>
            <w:noWrap/>
            <w:vAlign w:val="center"/>
          </w:tcPr>
          <w:p w14:paraId="20B813C5">
            <w:pPr>
              <w:widowControl/>
              <w:jc w:val="center"/>
              <w:rPr>
                <w:rFonts w:eastAsia="Times New Roman" w:cs="Times New Roman"/>
                <w:color w:val="auto"/>
                <w:kern w:val="0"/>
                <w:sz w:val="21"/>
                <w:szCs w:val="21"/>
              </w:rPr>
            </w:pPr>
          </w:p>
        </w:tc>
        <w:tc>
          <w:tcPr>
            <w:tcW w:w="1389" w:type="dxa"/>
            <w:noWrap/>
            <w:vAlign w:val="center"/>
          </w:tcPr>
          <w:p w14:paraId="50DB3F49">
            <w:pPr>
              <w:widowControl/>
              <w:jc w:val="center"/>
              <w:rPr>
                <w:rFonts w:eastAsia="Times New Roman" w:cs="Times New Roman"/>
                <w:color w:val="auto"/>
                <w:kern w:val="0"/>
                <w:sz w:val="21"/>
                <w:szCs w:val="21"/>
              </w:rPr>
            </w:pPr>
          </w:p>
        </w:tc>
      </w:tr>
      <w:tr w14:paraId="5308850A">
        <w:tblPrEx>
          <w:tblCellMar>
            <w:top w:w="0" w:type="dxa"/>
            <w:left w:w="108" w:type="dxa"/>
            <w:bottom w:w="0" w:type="dxa"/>
            <w:right w:w="108" w:type="dxa"/>
          </w:tblCellMar>
        </w:tblPrEx>
        <w:trPr>
          <w:trHeight w:val="271" w:hRule="atLeast"/>
          <w:jc w:val="center"/>
        </w:trPr>
        <w:tc>
          <w:tcPr>
            <w:tcW w:w="2010" w:type="dxa"/>
            <w:noWrap/>
            <w:vAlign w:val="center"/>
          </w:tcPr>
          <w:p w14:paraId="587050EA">
            <w:pPr>
              <w:widowControl/>
              <w:jc w:val="left"/>
              <w:rPr>
                <w:rFonts w:cs="Times New Roman"/>
                <w:color w:val="000000"/>
                <w:kern w:val="0"/>
                <w:sz w:val="21"/>
                <w:szCs w:val="21"/>
              </w:rPr>
            </w:pPr>
            <w:r>
              <w:rPr>
                <w:rFonts w:cs="Times New Roman"/>
                <w:color w:val="000000"/>
                <w:kern w:val="0"/>
                <w:sz w:val="21"/>
                <w:szCs w:val="21"/>
              </w:rPr>
              <w:t xml:space="preserve">  ≤0.84</w:t>
            </w:r>
          </w:p>
        </w:tc>
        <w:tc>
          <w:tcPr>
            <w:tcW w:w="1811" w:type="dxa"/>
            <w:noWrap/>
            <w:vAlign w:val="center"/>
          </w:tcPr>
          <w:p w14:paraId="67DD185E">
            <w:pPr>
              <w:widowControl/>
              <w:jc w:val="center"/>
              <w:rPr>
                <w:rFonts w:cs="Times New Roman"/>
                <w:color w:val="000000"/>
                <w:kern w:val="0"/>
                <w:sz w:val="21"/>
                <w:szCs w:val="21"/>
              </w:rPr>
            </w:pPr>
            <w:r>
              <w:rPr>
                <w:rFonts w:cs="Times New Roman"/>
                <w:color w:val="000000"/>
                <w:kern w:val="0"/>
                <w:sz w:val="21"/>
                <w:szCs w:val="21"/>
              </w:rPr>
              <w:t>7342</w:t>
            </w:r>
          </w:p>
        </w:tc>
        <w:tc>
          <w:tcPr>
            <w:tcW w:w="1224" w:type="dxa"/>
            <w:noWrap/>
            <w:vAlign w:val="center"/>
          </w:tcPr>
          <w:p w14:paraId="27FCB58D">
            <w:pPr>
              <w:widowControl/>
              <w:jc w:val="center"/>
              <w:rPr>
                <w:rFonts w:cs="Times New Roman"/>
                <w:color w:val="000000"/>
                <w:kern w:val="0"/>
                <w:sz w:val="21"/>
                <w:szCs w:val="21"/>
              </w:rPr>
            </w:pPr>
            <w:r>
              <w:rPr>
                <w:rFonts w:cs="Times New Roman"/>
                <w:color w:val="000000"/>
                <w:kern w:val="0"/>
                <w:sz w:val="21"/>
                <w:szCs w:val="21"/>
              </w:rPr>
              <w:t>455 (6.2)</w:t>
            </w:r>
          </w:p>
        </w:tc>
        <w:tc>
          <w:tcPr>
            <w:tcW w:w="1632" w:type="dxa"/>
            <w:noWrap/>
            <w:vAlign w:val="center"/>
          </w:tcPr>
          <w:p w14:paraId="24CDAF2D">
            <w:pPr>
              <w:widowControl/>
              <w:jc w:val="center"/>
              <w:rPr>
                <w:rFonts w:cs="Times New Roman"/>
                <w:color w:val="000000"/>
                <w:kern w:val="0"/>
                <w:sz w:val="21"/>
                <w:szCs w:val="21"/>
              </w:rPr>
            </w:pPr>
            <w:r>
              <w:rPr>
                <w:rFonts w:cs="Times New Roman"/>
                <w:color w:val="000000"/>
                <w:kern w:val="0"/>
                <w:sz w:val="21"/>
                <w:szCs w:val="21"/>
              </w:rPr>
              <w:t>1.47 (1.31~1.65)</w:t>
            </w:r>
          </w:p>
        </w:tc>
        <w:tc>
          <w:tcPr>
            <w:tcW w:w="1088" w:type="dxa"/>
            <w:noWrap/>
            <w:vAlign w:val="center"/>
          </w:tcPr>
          <w:p w14:paraId="01C619BC">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27D5E03E">
            <w:pPr>
              <w:widowControl/>
              <w:jc w:val="center"/>
              <w:rPr>
                <w:rFonts w:cs="Times New Roman"/>
                <w:color w:val="000000"/>
                <w:kern w:val="0"/>
                <w:sz w:val="21"/>
                <w:szCs w:val="21"/>
              </w:rPr>
            </w:pPr>
            <w:r>
              <w:rPr>
                <w:rFonts w:cs="Times New Roman"/>
                <w:color w:val="000000"/>
                <w:kern w:val="0"/>
                <w:sz w:val="21"/>
                <w:szCs w:val="21"/>
              </w:rPr>
              <w:t>0.375</w:t>
            </w:r>
          </w:p>
        </w:tc>
      </w:tr>
      <w:tr w14:paraId="09B48987">
        <w:tblPrEx>
          <w:tblCellMar>
            <w:top w:w="0" w:type="dxa"/>
            <w:left w:w="108" w:type="dxa"/>
            <w:bottom w:w="0" w:type="dxa"/>
            <w:right w:w="108" w:type="dxa"/>
          </w:tblCellMar>
        </w:tblPrEx>
        <w:trPr>
          <w:trHeight w:val="271" w:hRule="atLeast"/>
          <w:jc w:val="center"/>
        </w:trPr>
        <w:tc>
          <w:tcPr>
            <w:tcW w:w="2010" w:type="dxa"/>
            <w:noWrap/>
            <w:vAlign w:val="center"/>
          </w:tcPr>
          <w:p w14:paraId="08E4AB4D">
            <w:pPr>
              <w:widowControl/>
              <w:jc w:val="left"/>
              <w:rPr>
                <w:rFonts w:cs="Times New Roman"/>
                <w:color w:val="000000"/>
                <w:kern w:val="0"/>
                <w:sz w:val="21"/>
                <w:szCs w:val="21"/>
              </w:rPr>
            </w:pPr>
            <w:r>
              <w:rPr>
                <w:rFonts w:cs="Times New Roman"/>
                <w:color w:val="000000"/>
                <w:kern w:val="0"/>
                <w:sz w:val="21"/>
                <w:szCs w:val="21"/>
              </w:rPr>
              <w:t xml:space="preserve">  ＞0.84</w:t>
            </w:r>
          </w:p>
        </w:tc>
        <w:tc>
          <w:tcPr>
            <w:tcW w:w="1811" w:type="dxa"/>
            <w:noWrap/>
            <w:vAlign w:val="center"/>
          </w:tcPr>
          <w:p w14:paraId="478C5435">
            <w:pPr>
              <w:widowControl/>
              <w:jc w:val="center"/>
              <w:rPr>
                <w:rFonts w:cs="Times New Roman"/>
                <w:color w:val="000000"/>
                <w:kern w:val="0"/>
                <w:sz w:val="21"/>
                <w:szCs w:val="21"/>
              </w:rPr>
            </w:pPr>
            <w:r>
              <w:rPr>
                <w:rFonts w:cs="Times New Roman"/>
                <w:color w:val="000000"/>
                <w:kern w:val="0"/>
                <w:sz w:val="21"/>
                <w:szCs w:val="21"/>
              </w:rPr>
              <w:t>7649</w:t>
            </w:r>
          </w:p>
        </w:tc>
        <w:tc>
          <w:tcPr>
            <w:tcW w:w="1224" w:type="dxa"/>
            <w:noWrap/>
            <w:vAlign w:val="center"/>
          </w:tcPr>
          <w:p w14:paraId="6D8747AC">
            <w:pPr>
              <w:widowControl/>
              <w:jc w:val="center"/>
              <w:rPr>
                <w:rFonts w:cs="Times New Roman"/>
                <w:color w:val="000000"/>
                <w:kern w:val="0"/>
                <w:sz w:val="21"/>
                <w:szCs w:val="21"/>
              </w:rPr>
            </w:pPr>
            <w:r>
              <w:rPr>
                <w:rFonts w:cs="Times New Roman"/>
                <w:color w:val="000000"/>
                <w:kern w:val="0"/>
                <w:sz w:val="21"/>
                <w:szCs w:val="21"/>
              </w:rPr>
              <w:t>1150 (15)</w:t>
            </w:r>
          </w:p>
        </w:tc>
        <w:tc>
          <w:tcPr>
            <w:tcW w:w="1632" w:type="dxa"/>
            <w:noWrap/>
            <w:vAlign w:val="center"/>
          </w:tcPr>
          <w:p w14:paraId="79D58A31">
            <w:pPr>
              <w:widowControl/>
              <w:jc w:val="center"/>
              <w:rPr>
                <w:rFonts w:cs="Times New Roman"/>
                <w:color w:val="000000"/>
                <w:kern w:val="0"/>
                <w:sz w:val="21"/>
                <w:szCs w:val="21"/>
              </w:rPr>
            </w:pPr>
            <w:r>
              <w:rPr>
                <w:rFonts w:cs="Times New Roman"/>
                <w:color w:val="000000"/>
                <w:kern w:val="0"/>
                <w:sz w:val="21"/>
                <w:szCs w:val="21"/>
              </w:rPr>
              <w:t>1.61 (1.5~1.72)</w:t>
            </w:r>
          </w:p>
        </w:tc>
        <w:tc>
          <w:tcPr>
            <w:tcW w:w="1088" w:type="dxa"/>
            <w:noWrap/>
            <w:vAlign w:val="center"/>
          </w:tcPr>
          <w:p w14:paraId="10236B9F">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39E462F1">
            <w:pPr>
              <w:widowControl/>
              <w:jc w:val="center"/>
              <w:rPr>
                <w:rFonts w:cs="Times New Roman"/>
                <w:color w:val="000000"/>
                <w:kern w:val="0"/>
                <w:sz w:val="21"/>
                <w:szCs w:val="21"/>
              </w:rPr>
            </w:pPr>
          </w:p>
        </w:tc>
      </w:tr>
      <w:tr w14:paraId="4E7C59F6">
        <w:tblPrEx>
          <w:tblCellMar>
            <w:top w:w="0" w:type="dxa"/>
            <w:left w:w="108" w:type="dxa"/>
            <w:bottom w:w="0" w:type="dxa"/>
            <w:right w:w="108" w:type="dxa"/>
          </w:tblCellMar>
        </w:tblPrEx>
        <w:trPr>
          <w:trHeight w:val="271" w:hRule="atLeast"/>
          <w:jc w:val="center"/>
        </w:trPr>
        <w:tc>
          <w:tcPr>
            <w:tcW w:w="2010" w:type="dxa"/>
            <w:noWrap/>
            <w:vAlign w:val="center"/>
          </w:tcPr>
          <w:p w14:paraId="6E0CA894">
            <w:pPr>
              <w:widowControl/>
              <w:jc w:val="left"/>
              <w:rPr>
                <w:rFonts w:cs="Times New Roman"/>
                <w:color w:val="000000"/>
                <w:kern w:val="0"/>
                <w:sz w:val="21"/>
                <w:szCs w:val="21"/>
              </w:rPr>
            </w:pPr>
            <w:r>
              <w:rPr>
                <w:rFonts w:cs="Times New Roman"/>
                <w:color w:val="000000"/>
                <w:kern w:val="0"/>
                <w:sz w:val="21"/>
                <w:szCs w:val="21"/>
              </w:rPr>
              <w:t>eGFR,ml/min/1.73m</w:t>
            </w:r>
            <w:r>
              <w:rPr>
                <w:rFonts w:cs="Times New Roman"/>
                <w:color w:val="000000"/>
                <w:kern w:val="0"/>
                <w:sz w:val="21"/>
                <w:szCs w:val="21"/>
                <w:vertAlign w:val="superscript"/>
              </w:rPr>
              <w:t>2</w:t>
            </w:r>
          </w:p>
        </w:tc>
        <w:tc>
          <w:tcPr>
            <w:tcW w:w="1811" w:type="dxa"/>
            <w:noWrap/>
            <w:vAlign w:val="center"/>
          </w:tcPr>
          <w:p w14:paraId="76AC19DE">
            <w:pPr>
              <w:widowControl/>
              <w:jc w:val="center"/>
              <w:rPr>
                <w:rFonts w:cs="Times New Roman"/>
                <w:color w:val="000000"/>
                <w:kern w:val="0"/>
                <w:sz w:val="21"/>
                <w:szCs w:val="21"/>
              </w:rPr>
            </w:pPr>
          </w:p>
        </w:tc>
        <w:tc>
          <w:tcPr>
            <w:tcW w:w="1224" w:type="dxa"/>
            <w:noWrap/>
            <w:vAlign w:val="center"/>
          </w:tcPr>
          <w:p w14:paraId="43694D43">
            <w:pPr>
              <w:widowControl/>
              <w:jc w:val="center"/>
              <w:rPr>
                <w:rFonts w:eastAsia="Times New Roman" w:cs="Times New Roman"/>
                <w:color w:val="auto"/>
                <w:kern w:val="0"/>
                <w:sz w:val="21"/>
                <w:szCs w:val="21"/>
              </w:rPr>
            </w:pPr>
          </w:p>
        </w:tc>
        <w:tc>
          <w:tcPr>
            <w:tcW w:w="1632" w:type="dxa"/>
            <w:noWrap/>
            <w:vAlign w:val="center"/>
          </w:tcPr>
          <w:p w14:paraId="39C5E7AB">
            <w:pPr>
              <w:widowControl/>
              <w:jc w:val="center"/>
              <w:rPr>
                <w:rFonts w:eastAsia="Times New Roman" w:cs="Times New Roman"/>
                <w:color w:val="auto"/>
                <w:kern w:val="0"/>
                <w:sz w:val="21"/>
                <w:szCs w:val="21"/>
              </w:rPr>
            </w:pPr>
          </w:p>
        </w:tc>
        <w:tc>
          <w:tcPr>
            <w:tcW w:w="1088" w:type="dxa"/>
            <w:noWrap/>
            <w:vAlign w:val="center"/>
          </w:tcPr>
          <w:p w14:paraId="78556D46">
            <w:pPr>
              <w:widowControl/>
              <w:jc w:val="center"/>
              <w:rPr>
                <w:rFonts w:eastAsia="Times New Roman" w:cs="Times New Roman"/>
                <w:color w:val="auto"/>
                <w:kern w:val="0"/>
                <w:sz w:val="21"/>
                <w:szCs w:val="21"/>
              </w:rPr>
            </w:pPr>
          </w:p>
        </w:tc>
        <w:tc>
          <w:tcPr>
            <w:tcW w:w="1389" w:type="dxa"/>
            <w:noWrap/>
            <w:vAlign w:val="center"/>
          </w:tcPr>
          <w:p w14:paraId="004E14B0">
            <w:pPr>
              <w:widowControl/>
              <w:jc w:val="center"/>
              <w:rPr>
                <w:rFonts w:eastAsia="Times New Roman" w:cs="Times New Roman"/>
                <w:color w:val="auto"/>
                <w:kern w:val="0"/>
                <w:sz w:val="21"/>
                <w:szCs w:val="21"/>
              </w:rPr>
            </w:pPr>
          </w:p>
        </w:tc>
      </w:tr>
      <w:tr w14:paraId="0B2A9E6B">
        <w:tblPrEx>
          <w:tblCellMar>
            <w:top w:w="0" w:type="dxa"/>
            <w:left w:w="108" w:type="dxa"/>
            <w:bottom w:w="0" w:type="dxa"/>
            <w:right w:w="108" w:type="dxa"/>
          </w:tblCellMar>
        </w:tblPrEx>
        <w:trPr>
          <w:trHeight w:val="271" w:hRule="atLeast"/>
          <w:jc w:val="center"/>
        </w:trPr>
        <w:tc>
          <w:tcPr>
            <w:tcW w:w="2010" w:type="dxa"/>
            <w:noWrap/>
            <w:vAlign w:val="center"/>
          </w:tcPr>
          <w:p w14:paraId="13940AC9">
            <w:pPr>
              <w:widowControl/>
              <w:jc w:val="left"/>
              <w:rPr>
                <w:rFonts w:cs="Times New Roman"/>
                <w:color w:val="000000"/>
                <w:kern w:val="0"/>
                <w:sz w:val="21"/>
                <w:szCs w:val="21"/>
              </w:rPr>
            </w:pPr>
            <w:r>
              <w:rPr>
                <w:rFonts w:cs="Times New Roman"/>
                <w:color w:val="000000"/>
                <w:kern w:val="0"/>
                <w:sz w:val="21"/>
                <w:szCs w:val="21"/>
              </w:rPr>
              <w:t xml:space="preserve"> ≤97.59</w:t>
            </w:r>
          </w:p>
        </w:tc>
        <w:tc>
          <w:tcPr>
            <w:tcW w:w="1811" w:type="dxa"/>
            <w:noWrap/>
            <w:vAlign w:val="center"/>
          </w:tcPr>
          <w:p w14:paraId="316E8FC5">
            <w:pPr>
              <w:widowControl/>
              <w:jc w:val="center"/>
              <w:rPr>
                <w:rFonts w:cs="Times New Roman"/>
                <w:color w:val="000000"/>
                <w:kern w:val="0"/>
                <w:sz w:val="21"/>
                <w:szCs w:val="21"/>
              </w:rPr>
            </w:pPr>
            <w:r>
              <w:rPr>
                <w:rFonts w:cs="Times New Roman"/>
                <w:color w:val="000000"/>
                <w:kern w:val="0"/>
                <w:sz w:val="21"/>
                <w:szCs w:val="21"/>
              </w:rPr>
              <w:t>7495</w:t>
            </w:r>
          </w:p>
        </w:tc>
        <w:tc>
          <w:tcPr>
            <w:tcW w:w="1224" w:type="dxa"/>
            <w:noWrap/>
            <w:vAlign w:val="center"/>
          </w:tcPr>
          <w:p w14:paraId="798E4EBB">
            <w:pPr>
              <w:widowControl/>
              <w:jc w:val="center"/>
              <w:rPr>
                <w:rFonts w:cs="Times New Roman"/>
                <w:color w:val="000000"/>
                <w:kern w:val="0"/>
                <w:sz w:val="21"/>
                <w:szCs w:val="21"/>
              </w:rPr>
            </w:pPr>
            <w:r>
              <w:rPr>
                <w:rFonts w:cs="Times New Roman"/>
                <w:color w:val="000000"/>
                <w:kern w:val="0"/>
                <w:sz w:val="21"/>
                <w:szCs w:val="21"/>
              </w:rPr>
              <w:t>1359 (18.1)</w:t>
            </w:r>
          </w:p>
        </w:tc>
        <w:tc>
          <w:tcPr>
            <w:tcW w:w="1632" w:type="dxa"/>
            <w:noWrap/>
            <w:vAlign w:val="center"/>
          </w:tcPr>
          <w:p w14:paraId="636F57CA">
            <w:pPr>
              <w:widowControl/>
              <w:jc w:val="center"/>
              <w:rPr>
                <w:rFonts w:cs="Times New Roman"/>
                <w:color w:val="000000"/>
                <w:kern w:val="0"/>
                <w:sz w:val="21"/>
                <w:szCs w:val="21"/>
              </w:rPr>
            </w:pPr>
            <w:r>
              <w:rPr>
                <w:rFonts w:cs="Times New Roman"/>
                <w:color w:val="000000"/>
                <w:kern w:val="0"/>
                <w:sz w:val="21"/>
                <w:szCs w:val="21"/>
              </w:rPr>
              <w:t>1.62 (1.53~1.73)</w:t>
            </w:r>
          </w:p>
        </w:tc>
        <w:tc>
          <w:tcPr>
            <w:tcW w:w="1088" w:type="dxa"/>
            <w:noWrap/>
            <w:vAlign w:val="center"/>
          </w:tcPr>
          <w:p w14:paraId="4187C3F6">
            <w:pPr>
              <w:widowControl/>
              <w:jc w:val="center"/>
              <w:rPr>
                <w:rFonts w:cs="Times New Roman"/>
                <w:color w:val="000000"/>
                <w:kern w:val="0"/>
                <w:sz w:val="21"/>
                <w:szCs w:val="21"/>
              </w:rPr>
            </w:pPr>
            <w:r>
              <w:rPr>
                <w:rFonts w:cs="Times New Roman"/>
                <w:color w:val="000000"/>
                <w:kern w:val="0"/>
                <w:sz w:val="21"/>
                <w:szCs w:val="21"/>
              </w:rPr>
              <w:t>&lt;0.001</w:t>
            </w:r>
          </w:p>
        </w:tc>
        <w:tc>
          <w:tcPr>
            <w:tcW w:w="1389" w:type="dxa"/>
            <w:noWrap/>
            <w:vAlign w:val="center"/>
          </w:tcPr>
          <w:p w14:paraId="10759D92">
            <w:pPr>
              <w:widowControl/>
              <w:jc w:val="center"/>
              <w:rPr>
                <w:rFonts w:cs="Times New Roman"/>
                <w:color w:val="000000"/>
                <w:kern w:val="0"/>
                <w:sz w:val="21"/>
                <w:szCs w:val="21"/>
              </w:rPr>
            </w:pPr>
            <w:r>
              <w:rPr>
                <w:rFonts w:cs="Times New Roman"/>
                <w:color w:val="000000"/>
                <w:kern w:val="0"/>
                <w:sz w:val="21"/>
                <w:szCs w:val="21"/>
              </w:rPr>
              <w:t>0.619</w:t>
            </w:r>
          </w:p>
        </w:tc>
      </w:tr>
      <w:tr w14:paraId="5C67C7AE">
        <w:tblPrEx>
          <w:tblCellMar>
            <w:top w:w="0" w:type="dxa"/>
            <w:left w:w="108" w:type="dxa"/>
            <w:bottom w:w="0" w:type="dxa"/>
            <w:right w:w="108" w:type="dxa"/>
          </w:tblCellMar>
        </w:tblPrEx>
        <w:trPr>
          <w:trHeight w:val="271" w:hRule="atLeast"/>
          <w:jc w:val="center"/>
        </w:trPr>
        <w:tc>
          <w:tcPr>
            <w:tcW w:w="2010" w:type="dxa"/>
            <w:tcBorders>
              <w:bottom w:val="single" w:color="auto" w:sz="12" w:space="0"/>
            </w:tcBorders>
            <w:noWrap/>
            <w:vAlign w:val="center"/>
          </w:tcPr>
          <w:p w14:paraId="7D0C2112">
            <w:pPr>
              <w:widowControl/>
              <w:jc w:val="left"/>
              <w:rPr>
                <w:rFonts w:cs="Times New Roman"/>
                <w:color w:val="000000"/>
                <w:kern w:val="0"/>
                <w:sz w:val="21"/>
                <w:szCs w:val="21"/>
              </w:rPr>
            </w:pPr>
            <w:r>
              <w:rPr>
                <w:rFonts w:cs="Times New Roman"/>
                <w:color w:val="000000"/>
                <w:kern w:val="0"/>
                <w:sz w:val="21"/>
                <w:szCs w:val="21"/>
              </w:rPr>
              <w:t xml:space="preserve"> ＞97.59</w:t>
            </w:r>
          </w:p>
        </w:tc>
        <w:tc>
          <w:tcPr>
            <w:tcW w:w="1811" w:type="dxa"/>
            <w:tcBorders>
              <w:bottom w:val="single" w:color="auto" w:sz="12" w:space="0"/>
            </w:tcBorders>
            <w:noWrap/>
            <w:vAlign w:val="center"/>
          </w:tcPr>
          <w:p w14:paraId="555DA434">
            <w:pPr>
              <w:widowControl/>
              <w:jc w:val="center"/>
              <w:rPr>
                <w:rFonts w:cs="Times New Roman"/>
                <w:color w:val="000000"/>
                <w:kern w:val="0"/>
                <w:sz w:val="21"/>
                <w:szCs w:val="21"/>
              </w:rPr>
            </w:pPr>
            <w:r>
              <w:rPr>
                <w:rFonts w:cs="Times New Roman"/>
                <w:color w:val="000000"/>
                <w:kern w:val="0"/>
                <w:sz w:val="21"/>
                <w:szCs w:val="21"/>
              </w:rPr>
              <w:t>7496</w:t>
            </w:r>
          </w:p>
        </w:tc>
        <w:tc>
          <w:tcPr>
            <w:tcW w:w="1224" w:type="dxa"/>
            <w:tcBorders>
              <w:bottom w:val="single" w:color="auto" w:sz="12" w:space="0"/>
            </w:tcBorders>
            <w:noWrap/>
            <w:vAlign w:val="center"/>
          </w:tcPr>
          <w:p w14:paraId="047131B1">
            <w:pPr>
              <w:widowControl/>
              <w:jc w:val="center"/>
              <w:rPr>
                <w:rFonts w:cs="Times New Roman"/>
                <w:color w:val="000000"/>
                <w:kern w:val="0"/>
                <w:sz w:val="21"/>
                <w:szCs w:val="21"/>
              </w:rPr>
            </w:pPr>
            <w:r>
              <w:rPr>
                <w:rFonts w:cs="Times New Roman"/>
                <w:color w:val="000000"/>
                <w:kern w:val="0"/>
                <w:sz w:val="21"/>
                <w:szCs w:val="21"/>
              </w:rPr>
              <w:t>246 (3.3)</w:t>
            </w:r>
          </w:p>
        </w:tc>
        <w:tc>
          <w:tcPr>
            <w:tcW w:w="1632" w:type="dxa"/>
            <w:tcBorders>
              <w:bottom w:val="single" w:color="auto" w:sz="12" w:space="0"/>
            </w:tcBorders>
            <w:noWrap/>
            <w:vAlign w:val="center"/>
          </w:tcPr>
          <w:p w14:paraId="058BFBC4">
            <w:pPr>
              <w:widowControl/>
              <w:jc w:val="center"/>
              <w:rPr>
                <w:rFonts w:cs="Times New Roman"/>
                <w:color w:val="000000"/>
                <w:kern w:val="0"/>
                <w:sz w:val="21"/>
                <w:szCs w:val="21"/>
              </w:rPr>
            </w:pPr>
            <w:r>
              <w:rPr>
                <w:rFonts w:cs="Times New Roman"/>
                <w:color w:val="000000"/>
                <w:kern w:val="0"/>
                <w:sz w:val="21"/>
                <w:szCs w:val="21"/>
              </w:rPr>
              <w:t>1.44 (1.24~1.68)</w:t>
            </w:r>
          </w:p>
        </w:tc>
        <w:tc>
          <w:tcPr>
            <w:tcW w:w="1088" w:type="dxa"/>
            <w:tcBorders>
              <w:bottom w:val="single" w:color="auto" w:sz="12" w:space="0"/>
            </w:tcBorders>
            <w:noWrap/>
            <w:vAlign w:val="center"/>
          </w:tcPr>
          <w:p w14:paraId="664644F9">
            <w:pPr>
              <w:widowControl/>
              <w:jc w:val="center"/>
              <w:rPr>
                <w:rFonts w:cs="Times New Roman"/>
                <w:color w:val="000000"/>
                <w:kern w:val="0"/>
                <w:sz w:val="21"/>
                <w:szCs w:val="21"/>
              </w:rPr>
            </w:pPr>
            <w:r>
              <w:rPr>
                <w:rFonts w:cs="Times New Roman"/>
                <w:color w:val="000000"/>
                <w:kern w:val="0"/>
                <w:sz w:val="21"/>
                <w:szCs w:val="21"/>
              </w:rPr>
              <w:t>&lt;0.001</w:t>
            </w:r>
          </w:p>
        </w:tc>
        <w:tc>
          <w:tcPr>
            <w:tcW w:w="1389" w:type="dxa"/>
            <w:tcBorders>
              <w:bottom w:val="single" w:color="auto" w:sz="12" w:space="0"/>
            </w:tcBorders>
            <w:noWrap/>
            <w:vAlign w:val="center"/>
          </w:tcPr>
          <w:p w14:paraId="30D0FC32">
            <w:pPr>
              <w:widowControl/>
              <w:jc w:val="center"/>
              <w:rPr>
                <w:rFonts w:cs="Times New Roman"/>
                <w:color w:val="000000"/>
                <w:kern w:val="0"/>
                <w:sz w:val="21"/>
                <w:szCs w:val="21"/>
              </w:rPr>
            </w:pPr>
          </w:p>
        </w:tc>
      </w:tr>
    </w:tbl>
    <w:p w14:paraId="14643CEC">
      <w:pPr>
        <w:rPr>
          <w:rFonts w:cs="Times New Roman"/>
          <w:color w:val="auto"/>
          <w:lang w:bidi="ar"/>
        </w:rPr>
      </w:pPr>
      <w:r>
        <w:rPr>
          <w:rFonts w:cs="Times New Roman"/>
          <w:color w:val="auto"/>
          <w:lang w:bidi="ar"/>
        </w:rPr>
        <w:t>Adjusted for age, sex, race, body mass index (BMI), marital status, poverty-income ratio (PIR), educational level, smoking status, alcohol consumption status, estimated glomerular filtration rate (eGFR), hypertension, and stroke, with the exception of variables specific to this subgroup. Age and BMI were categorized according to international standard criteria, while all other continuous variables were stratified by median values.</w:t>
      </w:r>
    </w:p>
    <w:p w14:paraId="6481F3FD">
      <w:pPr>
        <w:pStyle w:val="4"/>
        <w:rPr>
          <w:rFonts w:ascii="Times New Roman" w:hAnsi="Times New Roman" w:cs="Times New Roman"/>
          <w:b/>
          <w:color w:val="auto"/>
          <w:sz w:val="24"/>
          <w:szCs w:val="24"/>
        </w:rPr>
      </w:pPr>
    </w:p>
    <w:p w14:paraId="7C64BC7A">
      <w:pPr>
        <w:pStyle w:val="4"/>
        <w:rPr>
          <w:rFonts w:ascii="Times New Roman" w:hAnsi="Times New Roman" w:cs="Times New Roman"/>
          <w:b/>
          <w:color w:val="auto"/>
          <w:sz w:val="24"/>
          <w:szCs w:val="24"/>
        </w:rPr>
      </w:pPr>
      <w:bookmarkStart w:id="28" w:name="_Toc218184824"/>
    </w:p>
    <w:p w14:paraId="65CD048C">
      <w:pPr>
        <w:pStyle w:val="4"/>
        <w:rPr>
          <w:rFonts w:ascii="Times New Roman" w:hAnsi="Times New Roman" w:cs="Times New Roman"/>
          <w:b/>
          <w:color w:val="auto"/>
          <w:sz w:val="24"/>
          <w:szCs w:val="24"/>
        </w:rPr>
      </w:pPr>
    </w:p>
    <w:p w14:paraId="46D4F326">
      <w:pPr>
        <w:pStyle w:val="4"/>
        <w:rPr>
          <w:rFonts w:ascii="Times New Roman" w:hAnsi="Times New Roman" w:cs="Times New Roman"/>
          <w:b/>
          <w:color w:val="auto"/>
          <w:sz w:val="24"/>
          <w:szCs w:val="24"/>
        </w:rPr>
      </w:pPr>
    </w:p>
    <w:p w14:paraId="542EE954">
      <w:pPr>
        <w:pStyle w:val="4"/>
        <w:rPr>
          <w:rFonts w:ascii="Times New Roman" w:hAnsi="Times New Roman" w:cs="Times New Roman"/>
          <w:b/>
          <w:color w:val="auto"/>
          <w:sz w:val="24"/>
          <w:szCs w:val="24"/>
        </w:rPr>
      </w:pPr>
    </w:p>
    <w:p w14:paraId="4A95E3F5">
      <w:pPr>
        <w:pStyle w:val="4"/>
        <w:rPr>
          <w:rFonts w:ascii="Times New Roman" w:hAnsi="Times New Roman" w:cs="Times New Roman"/>
          <w:b/>
          <w:color w:val="auto"/>
          <w:sz w:val="24"/>
          <w:szCs w:val="24"/>
        </w:rPr>
      </w:pPr>
    </w:p>
    <w:p w14:paraId="6BB54812">
      <w:pPr>
        <w:pStyle w:val="4"/>
        <w:rPr>
          <w:rFonts w:ascii="Times New Roman" w:hAnsi="Times New Roman" w:cs="Times New Roman"/>
          <w:b/>
          <w:color w:val="auto"/>
          <w:sz w:val="24"/>
          <w:szCs w:val="24"/>
        </w:rPr>
      </w:pPr>
    </w:p>
    <w:p w14:paraId="623F8E5B">
      <w:pPr>
        <w:pStyle w:val="4"/>
        <w:rPr>
          <w:rFonts w:ascii="Times New Roman" w:hAnsi="Times New Roman" w:cs="Times New Roman"/>
          <w:b/>
          <w:color w:val="auto"/>
          <w:sz w:val="24"/>
          <w:szCs w:val="24"/>
        </w:rPr>
      </w:pPr>
    </w:p>
    <w:p w14:paraId="686DBFA0">
      <w:pPr>
        <w:pStyle w:val="4"/>
        <w:rPr>
          <w:rFonts w:ascii="Times New Roman" w:hAnsi="Times New Roman" w:cs="Times New Roman"/>
          <w:b/>
          <w:color w:val="auto"/>
          <w:sz w:val="24"/>
          <w:szCs w:val="24"/>
        </w:rPr>
      </w:pPr>
    </w:p>
    <w:p w14:paraId="74CD4AFE">
      <w:pPr>
        <w:pStyle w:val="4"/>
        <w:rPr>
          <w:rFonts w:ascii="Times New Roman" w:hAnsi="Times New Roman" w:cs="Times New Roman"/>
          <w:b/>
          <w:color w:val="auto"/>
          <w:sz w:val="24"/>
          <w:szCs w:val="24"/>
        </w:rPr>
      </w:pPr>
    </w:p>
    <w:p w14:paraId="0BE5A3C2">
      <w:pPr>
        <w:pStyle w:val="4"/>
        <w:rPr>
          <w:rFonts w:ascii="Times New Roman" w:hAnsi="Times New Roman" w:cs="Times New Roman"/>
          <w:b/>
          <w:color w:val="auto"/>
          <w:sz w:val="24"/>
          <w:szCs w:val="24"/>
        </w:rPr>
      </w:pPr>
    </w:p>
    <w:p w14:paraId="2A6B235E">
      <w:pPr>
        <w:pStyle w:val="4"/>
        <w:rPr>
          <w:rFonts w:ascii="Times New Roman" w:hAnsi="Times New Roman" w:cs="Times New Roman"/>
          <w:b/>
          <w:color w:val="auto"/>
          <w:sz w:val="24"/>
          <w:szCs w:val="24"/>
        </w:rPr>
      </w:pPr>
    </w:p>
    <w:p w14:paraId="75F0AE9C">
      <w:pPr>
        <w:pStyle w:val="4"/>
        <w:rPr>
          <w:rFonts w:ascii="Times New Roman" w:hAnsi="Times New Roman" w:cs="Times New Roman"/>
          <w:b/>
          <w:color w:val="auto"/>
          <w:sz w:val="24"/>
          <w:szCs w:val="24"/>
        </w:rPr>
      </w:pPr>
    </w:p>
    <w:p w14:paraId="7AF41708">
      <w:pPr>
        <w:pStyle w:val="4"/>
        <w:rPr>
          <w:rFonts w:ascii="Times New Roman" w:hAnsi="Times New Roman" w:cs="Times New Roman"/>
          <w:b/>
          <w:color w:val="auto"/>
          <w:sz w:val="24"/>
          <w:szCs w:val="24"/>
        </w:rPr>
      </w:pPr>
    </w:p>
    <w:p w14:paraId="713907AE">
      <w:pPr>
        <w:pStyle w:val="4"/>
        <w:rPr>
          <w:rFonts w:ascii="Times New Roman" w:hAnsi="Times New Roman" w:cs="Times New Roman"/>
          <w:b/>
          <w:color w:val="auto"/>
          <w:sz w:val="24"/>
          <w:szCs w:val="24"/>
        </w:rPr>
      </w:pPr>
    </w:p>
    <w:p w14:paraId="7B1867FD">
      <w:pPr>
        <w:pStyle w:val="4"/>
        <w:rPr>
          <w:rFonts w:ascii="Times New Roman" w:hAnsi="Times New Roman" w:cs="Times New Roman"/>
          <w:b/>
          <w:color w:val="auto"/>
          <w:sz w:val="24"/>
          <w:szCs w:val="24"/>
        </w:rPr>
      </w:pPr>
    </w:p>
    <w:p w14:paraId="0B35D141">
      <w:pPr>
        <w:pStyle w:val="4"/>
        <w:rPr>
          <w:rFonts w:ascii="Times New Roman" w:hAnsi="Times New Roman" w:cs="Times New Roman"/>
          <w:b/>
          <w:color w:val="auto"/>
          <w:sz w:val="24"/>
          <w:szCs w:val="24"/>
        </w:rPr>
      </w:pPr>
    </w:p>
    <w:p w14:paraId="3D8E7569">
      <w:pPr>
        <w:pStyle w:val="4"/>
        <w:rPr>
          <w:rFonts w:ascii="Times New Roman" w:hAnsi="Times New Roman" w:cs="Times New Roman"/>
          <w:b/>
          <w:color w:val="auto"/>
          <w:sz w:val="24"/>
          <w:szCs w:val="24"/>
        </w:rPr>
      </w:pPr>
    </w:p>
    <w:p w14:paraId="7BB77834">
      <w:pPr>
        <w:pStyle w:val="4"/>
        <w:rPr>
          <w:rFonts w:ascii="Times New Roman" w:hAnsi="Times New Roman" w:cs="Times New Roman"/>
          <w:b/>
          <w:color w:val="auto"/>
          <w:sz w:val="24"/>
          <w:szCs w:val="24"/>
        </w:rPr>
      </w:pPr>
    </w:p>
    <w:p w14:paraId="24BBF49C">
      <w:pPr>
        <w:pStyle w:val="4"/>
        <w:rPr>
          <w:rFonts w:ascii="Times New Roman" w:hAnsi="Times New Roman" w:cs="Times New Roman"/>
          <w:b/>
          <w:color w:val="auto"/>
          <w:sz w:val="24"/>
          <w:szCs w:val="24"/>
        </w:rPr>
      </w:pPr>
    </w:p>
    <w:p w14:paraId="7940F6F2">
      <w:pPr>
        <w:pStyle w:val="4"/>
        <w:rPr>
          <w:rFonts w:ascii="Times New Roman" w:hAnsi="Times New Roman" w:cs="Times New Roman"/>
          <w:b/>
          <w:color w:val="auto"/>
          <w:sz w:val="24"/>
          <w:szCs w:val="24"/>
        </w:rPr>
      </w:pPr>
    </w:p>
    <w:p w14:paraId="00FE7B71">
      <w:pPr>
        <w:pStyle w:val="4"/>
        <w:rPr>
          <w:rFonts w:ascii="Times New Roman" w:hAnsi="Times New Roman" w:cs="Times New Roman"/>
          <w:b/>
          <w:color w:val="auto"/>
          <w:sz w:val="24"/>
          <w:szCs w:val="24"/>
        </w:rPr>
      </w:pPr>
    </w:p>
    <w:p w14:paraId="4AF87DE9">
      <w:pPr>
        <w:pStyle w:val="4"/>
        <w:rPr>
          <w:rFonts w:ascii="Times New Roman" w:hAnsi="Times New Roman" w:cs="Times New Roman"/>
          <w:b/>
          <w:color w:val="auto"/>
          <w:sz w:val="24"/>
          <w:szCs w:val="24"/>
        </w:rPr>
      </w:pPr>
    </w:p>
    <w:p w14:paraId="4C2B30A1">
      <w:pPr>
        <w:pStyle w:val="4"/>
        <w:keepNext w:val="0"/>
        <w:keepLines w:val="0"/>
        <w:rPr>
          <w:rFonts w:ascii="Times New Roman" w:hAnsi="Times New Roman" w:cs="Times New Roman"/>
          <w:b/>
          <w:color w:val="auto"/>
          <w:sz w:val="24"/>
          <w:szCs w:val="24"/>
        </w:rPr>
      </w:pPr>
    </w:p>
    <w:p w14:paraId="687A0AF9">
      <w:pPr>
        <w:pStyle w:val="4"/>
        <w:keepNext w:val="0"/>
        <w:keepLines w:val="0"/>
        <w:rPr>
          <w:rFonts w:cs="Times New Roman"/>
          <w:b/>
          <w:bCs/>
          <w:color w:val="0070C0"/>
          <w:lang w:bidi="ar"/>
        </w:rPr>
      </w:pPr>
      <w:r>
        <w:rPr>
          <w:rFonts w:ascii="Times New Roman" w:hAnsi="Times New Roman" w:cs="Times New Roman"/>
          <w:b/>
          <w:color w:val="auto"/>
          <w:sz w:val="24"/>
          <w:szCs w:val="24"/>
        </w:rPr>
        <w:t>Table S1</w:t>
      </w:r>
      <w:r>
        <w:rPr>
          <w:rFonts w:hint="eastAsia" w:ascii="Times New Roman" w:hAnsi="Times New Roman" w:cs="Times New Roman"/>
          <w:b/>
          <w:color w:val="auto"/>
          <w:sz w:val="24"/>
          <w:szCs w:val="24"/>
        </w:rPr>
        <w:t>1</w:t>
      </w:r>
      <w:r>
        <w:rPr>
          <w:rFonts w:ascii="Times New Roman" w:hAnsi="Times New Roman" w:cs="Times New Roman"/>
          <w:color w:val="auto"/>
          <w:sz w:val="24"/>
          <w:szCs w:val="24"/>
          <w:lang w:bidi="ar"/>
        </w:rPr>
        <w:t xml:space="preserve"> Subgroup analysis of the association between TyGFI and CVD mortality</w:t>
      </w:r>
      <w:bookmarkEnd w:id="28"/>
      <w:r>
        <w:rPr>
          <w:rFonts w:ascii="Times New Roman" w:hAnsi="Times New Roman" w:cs="Times New Roman"/>
          <w:sz w:val="24"/>
          <w:szCs w:val="24"/>
          <w:lang w:bidi="ar"/>
        </w:rPr>
        <w:t xml:space="preserve"> </w:t>
      </w:r>
    </w:p>
    <w:tbl>
      <w:tblPr>
        <w:tblStyle w:val="18"/>
        <w:tblW w:w="9139" w:type="dxa"/>
        <w:jc w:val="center"/>
        <w:tblLayout w:type="fixed"/>
        <w:tblCellMar>
          <w:top w:w="0" w:type="dxa"/>
          <w:left w:w="108" w:type="dxa"/>
          <w:bottom w:w="0" w:type="dxa"/>
          <w:right w:w="108" w:type="dxa"/>
        </w:tblCellMar>
      </w:tblPr>
      <w:tblGrid>
        <w:gridCol w:w="1810"/>
        <w:gridCol w:w="1895"/>
        <w:gridCol w:w="1284"/>
        <w:gridCol w:w="1719"/>
        <w:gridCol w:w="1093"/>
        <w:gridCol w:w="1338"/>
      </w:tblGrid>
      <w:tr w14:paraId="167355EE">
        <w:tblPrEx>
          <w:tblCellMar>
            <w:top w:w="0" w:type="dxa"/>
            <w:left w:w="108" w:type="dxa"/>
            <w:bottom w:w="0" w:type="dxa"/>
            <w:right w:w="108" w:type="dxa"/>
          </w:tblCellMar>
        </w:tblPrEx>
        <w:trPr>
          <w:trHeight w:val="280" w:hRule="atLeast"/>
          <w:jc w:val="center"/>
        </w:trPr>
        <w:tc>
          <w:tcPr>
            <w:tcW w:w="1810" w:type="dxa"/>
            <w:tcBorders>
              <w:top w:val="single" w:color="auto" w:sz="12" w:space="0"/>
              <w:bottom w:val="single" w:color="auto" w:sz="6" w:space="0"/>
            </w:tcBorders>
            <w:noWrap/>
            <w:vAlign w:val="center"/>
          </w:tcPr>
          <w:p w14:paraId="2D03D909">
            <w:pPr>
              <w:widowControl/>
              <w:jc w:val="left"/>
              <w:rPr>
                <w:rFonts w:cs="Times New Roman"/>
                <w:color w:val="000000"/>
                <w:kern w:val="0"/>
                <w:sz w:val="21"/>
                <w:szCs w:val="21"/>
              </w:rPr>
            </w:pPr>
            <w:r>
              <w:rPr>
                <w:rFonts w:cs="Times New Roman"/>
                <w:color w:val="000000"/>
                <w:kern w:val="0"/>
                <w:sz w:val="21"/>
                <w:szCs w:val="21"/>
              </w:rPr>
              <w:t>Subgroup</w:t>
            </w:r>
          </w:p>
        </w:tc>
        <w:tc>
          <w:tcPr>
            <w:tcW w:w="1895" w:type="dxa"/>
            <w:tcBorders>
              <w:top w:val="single" w:color="auto" w:sz="12" w:space="0"/>
              <w:bottom w:val="single" w:color="auto" w:sz="6" w:space="0"/>
            </w:tcBorders>
            <w:noWrap/>
            <w:vAlign w:val="center"/>
          </w:tcPr>
          <w:p w14:paraId="07A9FB4D">
            <w:pPr>
              <w:widowControl/>
              <w:jc w:val="center"/>
              <w:rPr>
                <w:rFonts w:cs="Times New Roman"/>
                <w:color w:val="000000"/>
                <w:kern w:val="0"/>
                <w:sz w:val="21"/>
                <w:szCs w:val="21"/>
              </w:rPr>
            </w:pPr>
            <w:r>
              <w:rPr>
                <w:rFonts w:cs="Times New Roman"/>
                <w:color w:val="000000"/>
                <w:kern w:val="0"/>
                <w:sz w:val="21"/>
                <w:szCs w:val="21"/>
              </w:rPr>
              <w:t>No</w:t>
            </w:r>
            <w:r>
              <w:rPr>
                <w:rFonts w:hint="eastAsia" w:cs="Times New Roman"/>
                <w:color w:val="000000"/>
                <w:kern w:val="0"/>
                <w:sz w:val="21"/>
                <w:szCs w:val="21"/>
              </w:rPr>
              <w:t>.</w:t>
            </w:r>
            <w:r>
              <w:rPr>
                <w:rFonts w:cs="Times New Roman"/>
                <w:color w:val="000000"/>
                <w:kern w:val="0"/>
                <w:sz w:val="21"/>
                <w:szCs w:val="21"/>
              </w:rPr>
              <w:t xml:space="preserve"> of participants</w:t>
            </w:r>
          </w:p>
        </w:tc>
        <w:tc>
          <w:tcPr>
            <w:tcW w:w="1284" w:type="dxa"/>
            <w:tcBorders>
              <w:top w:val="single" w:color="auto" w:sz="12" w:space="0"/>
              <w:bottom w:val="single" w:color="auto" w:sz="6" w:space="0"/>
            </w:tcBorders>
            <w:noWrap/>
            <w:vAlign w:val="center"/>
          </w:tcPr>
          <w:p w14:paraId="1F1A61F6">
            <w:pPr>
              <w:widowControl/>
              <w:ind w:firstLine="105" w:firstLineChars="50"/>
              <w:jc w:val="center"/>
              <w:rPr>
                <w:rFonts w:cs="Times New Roman"/>
                <w:color w:val="000000"/>
                <w:kern w:val="0"/>
                <w:sz w:val="21"/>
                <w:szCs w:val="21"/>
              </w:rPr>
            </w:pPr>
            <w:r>
              <w:rPr>
                <w:rFonts w:cs="Times New Roman"/>
                <w:color w:val="000000"/>
                <w:kern w:val="0"/>
                <w:sz w:val="21"/>
                <w:szCs w:val="21"/>
              </w:rPr>
              <w:t>Event</w:t>
            </w:r>
            <w:r>
              <w:rPr>
                <w:rFonts w:hint="eastAsia" w:cs="Times New Roman"/>
                <w:color w:val="000000"/>
                <w:kern w:val="0"/>
                <w:sz w:val="21"/>
                <w:szCs w:val="21"/>
              </w:rPr>
              <w:t xml:space="preserve"> </w:t>
            </w:r>
            <w:r>
              <w:rPr>
                <w:rFonts w:cs="Times New Roman"/>
                <w:color w:val="000000"/>
                <w:kern w:val="0"/>
                <w:sz w:val="21"/>
                <w:szCs w:val="21"/>
              </w:rPr>
              <w:t>%</w:t>
            </w:r>
          </w:p>
        </w:tc>
        <w:tc>
          <w:tcPr>
            <w:tcW w:w="1719" w:type="dxa"/>
            <w:tcBorders>
              <w:top w:val="single" w:color="auto" w:sz="12" w:space="0"/>
              <w:bottom w:val="single" w:color="auto" w:sz="6" w:space="0"/>
            </w:tcBorders>
            <w:noWrap/>
            <w:vAlign w:val="center"/>
          </w:tcPr>
          <w:p w14:paraId="522CDB8E">
            <w:pPr>
              <w:widowControl/>
              <w:ind w:firstLine="210" w:firstLineChars="100"/>
              <w:jc w:val="center"/>
              <w:rPr>
                <w:rFonts w:cs="Times New Roman"/>
                <w:i/>
                <w:iCs/>
                <w:color w:val="000000"/>
                <w:kern w:val="0"/>
                <w:sz w:val="21"/>
                <w:szCs w:val="21"/>
              </w:rPr>
            </w:pPr>
            <w:r>
              <w:rPr>
                <w:rFonts w:cs="Times New Roman"/>
                <w:color w:val="000000"/>
                <w:kern w:val="0"/>
                <w:sz w:val="21"/>
                <w:szCs w:val="21"/>
              </w:rPr>
              <w:t>HR</w:t>
            </w:r>
            <w:r>
              <w:rPr>
                <w:rFonts w:hint="eastAsia" w:cs="Times New Roman"/>
                <w:color w:val="000000"/>
                <w:kern w:val="0"/>
                <w:sz w:val="21"/>
                <w:szCs w:val="21"/>
              </w:rPr>
              <w:t xml:space="preserve"> (</w:t>
            </w:r>
            <w:r>
              <w:rPr>
                <w:rFonts w:cs="Times New Roman"/>
                <w:color w:val="000000"/>
                <w:kern w:val="0"/>
                <w:sz w:val="21"/>
                <w:szCs w:val="21"/>
              </w:rPr>
              <w:t>95</w:t>
            </w:r>
            <w:r>
              <w:rPr>
                <w:rFonts w:hint="eastAsia" w:cs="Times New Roman"/>
                <w:color w:val="000000"/>
                <w:kern w:val="0"/>
                <w:sz w:val="21"/>
                <w:szCs w:val="21"/>
              </w:rPr>
              <w:t>%</w:t>
            </w:r>
            <w:r>
              <w:rPr>
                <w:rFonts w:cs="Times New Roman"/>
                <w:color w:val="000000"/>
                <w:kern w:val="0"/>
                <w:sz w:val="21"/>
                <w:szCs w:val="21"/>
              </w:rPr>
              <w:t>CI</w:t>
            </w:r>
            <w:r>
              <w:rPr>
                <w:rFonts w:hint="eastAsia" w:cs="Times New Roman"/>
                <w:color w:val="000000"/>
                <w:kern w:val="0"/>
                <w:sz w:val="21"/>
                <w:szCs w:val="21"/>
              </w:rPr>
              <w:t>)</w:t>
            </w:r>
          </w:p>
        </w:tc>
        <w:tc>
          <w:tcPr>
            <w:tcW w:w="1093" w:type="dxa"/>
            <w:tcBorders>
              <w:top w:val="single" w:color="auto" w:sz="12" w:space="0"/>
              <w:bottom w:val="single" w:color="auto" w:sz="6" w:space="0"/>
            </w:tcBorders>
            <w:noWrap/>
            <w:vAlign w:val="center"/>
          </w:tcPr>
          <w:p w14:paraId="1DEFB17A">
            <w:pPr>
              <w:widowControl/>
              <w:jc w:val="center"/>
              <w:rPr>
                <w:rFonts w:cs="Times New Roman"/>
                <w:color w:val="000000"/>
                <w:kern w:val="0"/>
                <w:sz w:val="21"/>
                <w:szCs w:val="21"/>
              </w:rPr>
            </w:pPr>
            <w:r>
              <w:rPr>
                <w:rFonts w:cs="Times New Roman"/>
                <w:i/>
                <w:iCs/>
                <w:color w:val="000000"/>
                <w:kern w:val="0"/>
                <w:sz w:val="21"/>
                <w:szCs w:val="21"/>
              </w:rPr>
              <w:t>P</w:t>
            </w:r>
            <w:r>
              <w:rPr>
                <w:rFonts w:hint="eastAsia" w:cs="Times New Roman"/>
                <w:i/>
                <w:iCs/>
                <w:color w:val="000000"/>
                <w:kern w:val="0"/>
                <w:sz w:val="21"/>
                <w:szCs w:val="21"/>
              </w:rPr>
              <w:t xml:space="preserve"> </w:t>
            </w:r>
            <w:r>
              <w:rPr>
                <w:rFonts w:cs="Times New Roman"/>
                <w:color w:val="000000"/>
                <w:kern w:val="0"/>
                <w:sz w:val="21"/>
                <w:szCs w:val="21"/>
              </w:rPr>
              <w:t>value</w:t>
            </w:r>
          </w:p>
        </w:tc>
        <w:tc>
          <w:tcPr>
            <w:tcW w:w="1338" w:type="dxa"/>
            <w:tcBorders>
              <w:top w:val="single" w:color="auto" w:sz="12" w:space="0"/>
              <w:bottom w:val="single" w:color="auto" w:sz="6" w:space="0"/>
            </w:tcBorders>
            <w:noWrap/>
            <w:vAlign w:val="center"/>
          </w:tcPr>
          <w:p w14:paraId="0F785576">
            <w:pPr>
              <w:widowControl/>
              <w:jc w:val="center"/>
              <w:rPr>
                <w:rFonts w:cs="Times New Roman"/>
                <w:color w:val="000000"/>
                <w:kern w:val="0"/>
                <w:sz w:val="21"/>
                <w:szCs w:val="21"/>
              </w:rPr>
            </w:pPr>
            <w:r>
              <w:rPr>
                <w:rFonts w:cs="Times New Roman"/>
                <w:i/>
                <w:iCs/>
                <w:color w:val="000000"/>
                <w:kern w:val="0"/>
                <w:sz w:val="21"/>
                <w:szCs w:val="21"/>
              </w:rPr>
              <w:t>P</w:t>
            </w:r>
            <w:r>
              <w:rPr>
                <w:rFonts w:hint="eastAsia" w:cs="Times New Roman"/>
                <w:color w:val="000000"/>
                <w:kern w:val="0"/>
                <w:sz w:val="21"/>
                <w:szCs w:val="21"/>
              </w:rPr>
              <w:t xml:space="preserve"> </w:t>
            </w:r>
            <w:r>
              <w:rPr>
                <w:rFonts w:cs="Times New Roman"/>
                <w:color w:val="000000"/>
                <w:kern w:val="0"/>
                <w:sz w:val="21"/>
                <w:szCs w:val="21"/>
              </w:rPr>
              <w:t>for</w:t>
            </w:r>
            <w:r>
              <w:rPr>
                <w:rFonts w:hint="eastAsia" w:cs="Times New Roman"/>
                <w:color w:val="000000"/>
                <w:kern w:val="0"/>
                <w:sz w:val="21"/>
                <w:szCs w:val="21"/>
              </w:rPr>
              <w:t xml:space="preserve"> </w:t>
            </w:r>
            <w:r>
              <w:rPr>
                <w:rFonts w:cs="Times New Roman"/>
                <w:color w:val="000000"/>
                <w:kern w:val="0"/>
                <w:sz w:val="21"/>
                <w:szCs w:val="21"/>
              </w:rPr>
              <w:t>interaction</w:t>
            </w:r>
          </w:p>
        </w:tc>
      </w:tr>
      <w:tr w14:paraId="3E5C608E">
        <w:tblPrEx>
          <w:tblCellMar>
            <w:top w:w="0" w:type="dxa"/>
            <w:left w:w="108" w:type="dxa"/>
            <w:bottom w:w="0" w:type="dxa"/>
            <w:right w:w="108" w:type="dxa"/>
          </w:tblCellMar>
        </w:tblPrEx>
        <w:trPr>
          <w:trHeight w:val="280" w:hRule="atLeast"/>
          <w:jc w:val="center"/>
        </w:trPr>
        <w:tc>
          <w:tcPr>
            <w:tcW w:w="1810" w:type="dxa"/>
            <w:tcBorders>
              <w:top w:val="single" w:color="auto" w:sz="6" w:space="0"/>
            </w:tcBorders>
            <w:noWrap/>
            <w:vAlign w:val="center"/>
          </w:tcPr>
          <w:p w14:paraId="61B43891">
            <w:pPr>
              <w:widowControl/>
              <w:jc w:val="left"/>
              <w:rPr>
                <w:rFonts w:cs="Times New Roman"/>
                <w:color w:val="000000"/>
                <w:kern w:val="0"/>
                <w:sz w:val="21"/>
                <w:szCs w:val="21"/>
              </w:rPr>
            </w:pPr>
            <w:r>
              <w:rPr>
                <w:rFonts w:cs="Times New Roman"/>
                <w:color w:val="000000"/>
                <w:kern w:val="0"/>
                <w:sz w:val="21"/>
                <w:szCs w:val="21"/>
              </w:rPr>
              <w:t>Age, years</w:t>
            </w:r>
          </w:p>
        </w:tc>
        <w:tc>
          <w:tcPr>
            <w:tcW w:w="1895" w:type="dxa"/>
            <w:tcBorders>
              <w:top w:val="single" w:color="auto" w:sz="6" w:space="0"/>
            </w:tcBorders>
            <w:noWrap/>
            <w:vAlign w:val="center"/>
          </w:tcPr>
          <w:p w14:paraId="59EAF9DA">
            <w:pPr>
              <w:widowControl/>
              <w:jc w:val="center"/>
              <w:rPr>
                <w:rFonts w:cs="Times New Roman"/>
                <w:color w:val="000000"/>
                <w:kern w:val="0"/>
                <w:sz w:val="21"/>
                <w:szCs w:val="21"/>
              </w:rPr>
            </w:pPr>
          </w:p>
        </w:tc>
        <w:tc>
          <w:tcPr>
            <w:tcW w:w="1284" w:type="dxa"/>
            <w:tcBorders>
              <w:top w:val="single" w:color="auto" w:sz="6" w:space="0"/>
            </w:tcBorders>
            <w:noWrap/>
            <w:vAlign w:val="center"/>
          </w:tcPr>
          <w:p w14:paraId="267FFE9B">
            <w:pPr>
              <w:widowControl/>
              <w:jc w:val="center"/>
              <w:rPr>
                <w:rFonts w:eastAsia="Times New Roman" w:cs="Times New Roman"/>
                <w:color w:val="auto"/>
                <w:kern w:val="0"/>
                <w:sz w:val="21"/>
                <w:szCs w:val="21"/>
              </w:rPr>
            </w:pPr>
          </w:p>
        </w:tc>
        <w:tc>
          <w:tcPr>
            <w:tcW w:w="1719" w:type="dxa"/>
            <w:tcBorders>
              <w:top w:val="single" w:color="auto" w:sz="6" w:space="0"/>
            </w:tcBorders>
            <w:noWrap/>
            <w:vAlign w:val="center"/>
          </w:tcPr>
          <w:p w14:paraId="1757550E">
            <w:pPr>
              <w:widowControl/>
              <w:jc w:val="center"/>
              <w:rPr>
                <w:rFonts w:eastAsia="Times New Roman" w:cs="Times New Roman"/>
                <w:color w:val="auto"/>
                <w:kern w:val="0"/>
                <w:sz w:val="21"/>
                <w:szCs w:val="21"/>
              </w:rPr>
            </w:pPr>
          </w:p>
        </w:tc>
        <w:tc>
          <w:tcPr>
            <w:tcW w:w="1093" w:type="dxa"/>
            <w:tcBorders>
              <w:top w:val="single" w:color="auto" w:sz="6" w:space="0"/>
            </w:tcBorders>
            <w:noWrap/>
            <w:vAlign w:val="center"/>
          </w:tcPr>
          <w:p w14:paraId="0C66BE46">
            <w:pPr>
              <w:widowControl/>
              <w:jc w:val="center"/>
              <w:rPr>
                <w:rFonts w:eastAsia="Times New Roman" w:cs="Times New Roman"/>
                <w:color w:val="auto"/>
                <w:kern w:val="0"/>
                <w:sz w:val="21"/>
                <w:szCs w:val="21"/>
              </w:rPr>
            </w:pPr>
          </w:p>
        </w:tc>
        <w:tc>
          <w:tcPr>
            <w:tcW w:w="1338" w:type="dxa"/>
            <w:tcBorders>
              <w:top w:val="single" w:color="auto" w:sz="6" w:space="0"/>
            </w:tcBorders>
            <w:noWrap/>
            <w:vAlign w:val="center"/>
          </w:tcPr>
          <w:p w14:paraId="5C9E4225">
            <w:pPr>
              <w:widowControl/>
              <w:jc w:val="center"/>
              <w:rPr>
                <w:rFonts w:eastAsia="Times New Roman" w:cs="Times New Roman"/>
                <w:color w:val="auto"/>
                <w:kern w:val="0"/>
                <w:sz w:val="21"/>
                <w:szCs w:val="21"/>
              </w:rPr>
            </w:pPr>
          </w:p>
        </w:tc>
      </w:tr>
      <w:tr w14:paraId="2E3A409D">
        <w:tblPrEx>
          <w:tblCellMar>
            <w:top w:w="0" w:type="dxa"/>
            <w:left w:w="108" w:type="dxa"/>
            <w:bottom w:w="0" w:type="dxa"/>
            <w:right w:w="108" w:type="dxa"/>
          </w:tblCellMar>
        </w:tblPrEx>
        <w:trPr>
          <w:trHeight w:val="280" w:hRule="atLeast"/>
          <w:jc w:val="center"/>
        </w:trPr>
        <w:tc>
          <w:tcPr>
            <w:tcW w:w="1810" w:type="dxa"/>
            <w:noWrap/>
            <w:vAlign w:val="center"/>
          </w:tcPr>
          <w:p w14:paraId="78F0FCA0">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≤60</w:t>
            </w:r>
          </w:p>
        </w:tc>
        <w:tc>
          <w:tcPr>
            <w:tcW w:w="1895" w:type="dxa"/>
            <w:noWrap/>
            <w:vAlign w:val="center"/>
          </w:tcPr>
          <w:p w14:paraId="50188C8C">
            <w:pPr>
              <w:widowControl/>
              <w:jc w:val="center"/>
              <w:rPr>
                <w:rFonts w:cs="Times New Roman"/>
                <w:color w:val="000000"/>
                <w:kern w:val="0"/>
                <w:sz w:val="21"/>
                <w:szCs w:val="21"/>
              </w:rPr>
            </w:pPr>
            <w:r>
              <w:rPr>
                <w:rFonts w:cs="Times New Roman"/>
                <w:color w:val="000000"/>
                <w:kern w:val="0"/>
                <w:sz w:val="21"/>
                <w:szCs w:val="21"/>
              </w:rPr>
              <w:t>9708</w:t>
            </w:r>
          </w:p>
        </w:tc>
        <w:tc>
          <w:tcPr>
            <w:tcW w:w="1284" w:type="dxa"/>
            <w:noWrap/>
            <w:vAlign w:val="center"/>
          </w:tcPr>
          <w:p w14:paraId="58D4AB9A">
            <w:pPr>
              <w:widowControl/>
              <w:jc w:val="center"/>
              <w:rPr>
                <w:rFonts w:cs="Times New Roman"/>
                <w:color w:val="000000"/>
                <w:kern w:val="0"/>
                <w:sz w:val="21"/>
                <w:szCs w:val="21"/>
              </w:rPr>
            </w:pPr>
            <w:r>
              <w:rPr>
                <w:rFonts w:cs="Times New Roman"/>
                <w:color w:val="000000"/>
                <w:kern w:val="0"/>
                <w:sz w:val="21"/>
                <w:szCs w:val="21"/>
              </w:rPr>
              <w:t>65 (0.7)</w:t>
            </w:r>
          </w:p>
        </w:tc>
        <w:tc>
          <w:tcPr>
            <w:tcW w:w="1719" w:type="dxa"/>
            <w:noWrap/>
            <w:vAlign w:val="center"/>
          </w:tcPr>
          <w:p w14:paraId="71C81D7E">
            <w:pPr>
              <w:widowControl/>
              <w:jc w:val="center"/>
              <w:rPr>
                <w:rFonts w:cs="Times New Roman"/>
                <w:color w:val="000000"/>
                <w:kern w:val="0"/>
                <w:sz w:val="21"/>
                <w:szCs w:val="21"/>
              </w:rPr>
            </w:pPr>
            <w:r>
              <w:rPr>
                <w:rFonts w:cs="Times New Roman"/>
                <w:color w:val="000000"/>
                <w:kern w:val="0"/>
                <w:sz w:val="21"/>
                <w:szCs w:val="21"/>
              </w:rPr>
              <w:t>1.71 (1.29~2.28)</w:t>
            </w:r>
          </w:p>
        </w:tc>
        <w:tc>
          <w:tcPr>
            <w:tcW w:w="1093" w:type="dxa"/>
            <w:noWrap/>
            <w:vAlign w:val="center"/>
          </w:tcPr>
          <w:p w14:paraId="25204FDB">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63A43962">
            <w:pPr>
              <w:widowControl/>
              <w:jc w:val="center"/>
              <w:rPr>
                <w:rFonts w:cs="Times New Roman"/>
                <w:color w:val="000000"/>
                <w:kern w:val="0"/>
                <w:sz w:val="21"/>
                <w:szCs w:val="21"/>
              </w:rPr>
            </w:pPr>
            <w:r>
              <w:rPr>
                <w:rFonts w:cs="Times New Roman"/>
                <w:color w:val="000000"/>
                <w:kern w:val="0"/>
                <w:sz w:val="21"/>
                <w:szCs w:val="21"/>
              </w:rPr>
              <w:t>0.003</w:t>
            </w:r>
          </w:p>
        </w:tc>
      </w:tr>
      <w:tr w14:paraId="738F12A5">
        <w:tblPrEx>
          <w:tblCellMar>
            <w:top w:w="0" w:type="dxa"/>
            <w:left w:w="108" w:type="dxa"/>
            <w:bottom w:w="0" w:type="dxa"/>
            <w:right w:w="108" w:type="dxa"/>
          </w:tblCellMar>
        </w:tblPrEx>
        <w:trPr>
          <w:trHeight w:val="280" w:hRule="atLeast"/>
          <w:jc w:val="center"/>
        </w:trPr>
        <w:tc>
          <w:tcPr>
            <w:tcW w:w="1810" w:type="dxa"/>
            <w:noWrap/>
            <w:vAlign w:val="center"/>
          </w:tcPr>
          <w:p w14:paraId="0BCDA2FA">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＞60</w:t>
            </w:r>
          </w:p>
        </w:tc>
        <w:tc>
          <w:tcPr>
            <w:tcW w:w="1895" w:type="dxa"/>
            <w:noWrap/>
            <w:vAlign w:val="center"/>
          </w:tcPr>
          <w:p w14:paraId="6AF1FF6C">
            <w:pPr>
              <w:widowControl/>
              <w:jc w:val="center"/>
              <w:rPr>
                <w:rFonts w:cs="Times New Roman"/>
                <w:color w:val="000000"/>
                <w:kern w:val="0"/>
                <w:sz w:val="21"/>
                <w:szCs w:val="21"/>
              </w:rPr>
            </w:pPr>
            <w:r>
              <w:rPr>
                <w:rFonts w:cs="Times New Roman"/>
                <w:color w:val="000000"/>
                <w:kern w:val="0"/>
                <w:sz w:val="21"/>
                <w:szCs w:val="21"/>
              </w:rPr>
              <w:t>5336</w:t>
            </w:r>
          </w:p>
        </w:tc>
        <w:tc>
          <w:tcPr>
            <w:tcW w:w="1284" w:type="dxa"/>
            <w:noWrap/>
            <w:vAlign w:val="center"/>
          </w:tcPr>
          <w:p w14:paraId="60E0D1B0">
            <w:pPr>
              <w:widowControl/>
              <w:jc w:val="center"/>
              <w:rPr>
                <w:rFonts w:cs="Times New Roman"/>
                <w:color w:val="000000"/>
                <w:kern w:val="0"/>
                <w:sz w:val="21"/>
                <w:szCs w:val="21"/>
              </w:rPr>
            </w:pPr>
            <w:r>
              <w:rPr>
                <w:rFonts w:cs="Times New Roman"/>
                <w:color w:val="000000"/>
                <w:kern w:val="0"/>
                <w:sz w:val="21"/>
                <w:szCs w:val="21"/>
              </w:rPr>
              <w:t>445 (8.3)</w:t>
            </w:r>
          </w:p>
        </w:tc>
        <w:tc>
          <w:tcPr>
            <w:tcW w:w="1719" w:type="dxa"/>
            <w:noWrap/>
            <w:vAlign w:val="center"/>
          </w:tcPr>
          <w:p w14:paraId="2BD925BB">
            <w:pPr>
              <w:widowControl/>
              <w:jc w:val="center"/>
              <w:rPr>
                <w:rFonts w:cs="Times New Roman"/>
                <w:color w:val="000000"/>
                <w:kern w:val="0"/>
                <w:sz w:val="21"/>
                <w:szCs w:val="21"/>
              </w:rPr>
            </w:pPr>
            <w:r>
              <w:rPr>
                <w:rFonts w:cs="Times New Roman"/>
                <w:color w:val="000000"/>
                <w:kern w:val="0"/>
                <w:sz w:val="21"/>
                <w:szCs w:val="21"/>
              </w:rPr>
              <w:t>1.52 (1.36~1.69)</w:t>
            </w:r>
          </w:p>
        </w:tc>
        <w:tc>
          <w:tcPr>
            <w:tcW w:w="1093" w:type="dxa"/>
            <w:noWrap/>
            <w:vAlign w:val="center"/>
          </w:tcPr>
          <w:p w14:paraId="448933C7">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5E941FA6">
            <w:pPr>
              <w:widowControl/>
              <w:jc w:val="center"/>
              <w:rPr>
                <w:rFonts w:cs="Times New Roman"/>
                <w:color w:val="000000"/>
                <w:kern w:val="0"/>
                <w:sz w:val="21"/>
                <w:szCs w:val="21"/>
              </w:rPr>
            </w:pPr>
          </w:p>
        </w:tc>
      </w:tr>
      <w:tr w14:paraId="63427C5A">
        <w:tblPrEx>
          <w:tblCellMar>
            <w:top w:w="0" w:type="dxa"/>
            <w:left w:w="108" w:type="dxa"/>
            <w:bottom w:w="0" w:type="dxa"/>
            <w:right w:w="108" w:type="dxa"/>
          </w:tblCellMar>
        </w:tblPrEx>
        <w:trPr>
          <w:trHeight w:val="280" w:hRule="atLeast"/>
          <w:jc w:val="center"/>
        </w:trPr>
        <w:tc>
          <w:tcPr>
            <w:tcW w:w="1810" w:type="dxa"/>
            <w:noWrap/>
            <w:vAlign w:val="center"/>
          </w:tcPr>
          <w:p w14:paraId="52CB40FF">
            <w:pPr>
              <w:widowControl/>
              <w:jc w:val="left"/>
              <w:rPr>
                <w:rFonts w:cs="Times New Roman"/>
                <w:color w:val="000000"/>
                <w:kern w:val="0"/>
                <w:sz w:val="21"/>
                <w:szCs w:val="21"/>
              </w:rPr>
            </w:pPr>
            <w:r>
              <w:rPr>
                <w:rFonts w:cs="Times New Roman"/>
                <w:color w:val="000000"/>
                <w:kern w:val="0"/>
                <w:sz w:val="21"/>
                <w:szCs w:val="21"/>
              </w:rPr>
              <w:t>BMI,</w:t>
            </w:r>
            <w:r>
              <w:rPr>
                <w:rFonts w:hint="eastAsia" w:cs="Times New Roman"/>
                <w:color w:val="000000"/>
                <w:kern w:val="0"/>
                <w:sz w:val="21"/>
                <w:szCs w:val="21"/>
              </w:rPr>
              <w:t xml:space="preserve"> </w:t>
            </w:r>
            <w:r>
              <w:rPr>
                <w:rFonts w:cs="Times New Roman"/>
                <w:color w:val="000000"/>
                <w:kern w:val="0"/>
                <w:sz w:val="21"/>
                <w:szCs w:val="21"/>
              </w:rPr>
              <w:t>kg/m</w:t>
            </w:r>
            <w:r>
              <w:rPr>
                <w:rFonts w:cs="Times New Roman"/>
                <w:color w:val="000000"/>
                <w:kern w:val="0"/>
                <w:sz w:val="21"/>
                <w:szCs w:val="21"/>
                <w:vertAlign w:val="superscript"/>
              </w:rPr>
              <w:t>2</w:t>
            </w:r>
          </w:p>
        </w:tc>
        <w:tc>
          <w:tcPr>
            <w:tcW w:w="1895" w:type="dxa"/>
            <w:noWrap/>
            <w:vAlign w:val="center"/>
          </w:tcPr>
          <w:p w14:paraId="5A89569E">
            <w:pPr>
              <w:widowControl/>
              <w:jc w:val="center"/>
              <w:rPr>
                <w:rFonts w:cs="Times New Roman"/>
                <w:color w:val="000000"/>
                <w:kern w:val="0"/>
                <w:sz w:val="21"/>
                <w:szCs w:val="21"/>
              </w:rPr>
            </w:pPr>
          </w:p>
        </w:tc>
        <w:tc>
          <w:tcPr>
            <w:tcW w:w="1284" w:type="dxa"/>
            <w:noWrap/>
            <w:vAlign w:val="center"/>
          </w:tcPr>
          <w:p w14:paraId="61CCDF63">
            <w:pPr>
              <w:widowControl/>
              <w:jc w:val="center"/>
              <w:rPr>
                <w:rFonts w:eastAsia="Times New Roman" w:cs="Times New Roman"/>
                <w:color w:val="auto"/>
                <w:kern w:val="0"/>
                <w:sz w:val="21"/>
                <w:szCs w:val="21"/>
              </w:rPr>
            </w:pPr>
          </w:p>
        </w:tc>
        <w:tc>
          <w:tcPr>
            <w:tcW w:w="1719" w:type="dxa"/>
            <w:noWrap/>
            <w:vAlign w:val="center"/>
          </w:tcPr>
          <w:p w14:paraId="0BA2B9B3">
            <w:pPr>
              <w:widowControl/>
              <w:jc w:val="center"/>
              <w:rPr>
                <w:rFonts w:eastAsia="Times New Roman" w:cs="Times New Roman"/>
                <w:color w:val="auto"/>
                <w:kern w:val="0"/>
                <w:sz w:val="21"/>
                <w:szCs w:val="21"/>
              </w:rPr>
            </w:pPr>
          </w:p>
        </w:tc>
        <w:tc>
          <w:tcPr>
            <w:tcW w:w="1093" w:type="dxa"/>
            <w:noWrap/>
            <w:vAlign w:val="center"/>
          </w:tcPr>
          <w:p w14:paraId="7CBACE9B">
            <w:pPr>
              <w:widowControl/>
              <w:jc w:val="center"/>
              <w:rPr>
                <w:rFonts w:eastAsia="Times New Roman" w:cs="Times New Roman"/>
                <w:color w:val="auto"/>
                <w:kern w:val="0"/>
                <w:sz w:val="21"/>
                <w:szCs w:val="21"/>
              </w:rPr>
            </w:pPr>
          </w:p>
        </w:tc>
        <w:tc>
          <w:tcPr>
            <w:tcW w:w="1338" w:type="dxa"/>
            <w:noWrap/>
            <w:vAlign w:val="center"/>
          </w:tcPr>
          <w:p w14:paraId="2595148F">
            <w:pPr>
              <w:widowControl/>
              <w:jc w:val="center"/>
              <w:rPr>
                <w:rFonts w:eastAsia="Times New Roman" w:cs="Times New Roman"/>
                <w:color w:val="auto"/>
                <w:kern w:val="0"/>
                <w:sz w:val="21"/>
                <w:szCs w:val="21"/>
              </w:rPr>
            </w:pPr>
          </w:p>
        </w:tc>
      </w:tr>
      <w:tr w14:paraId="5FEBD4D1">
        <w:tblPrEx>
          <w:tblCellMar>
            <w:top w:w="0" w:type="dxa"/>
            <w:left w:w="108" w:type="dxa"/>
            <w:bottom w:w="0" w:type="dxa"/>
            <w:right w:w="108" w:type="dxa"/>
          </w:tblCellMar>
        </w:tblPrEx>
        <w:trPr>
          <w:trHeight w:val="280" w:hRule="atLeast"/>
          <w:jc w:val="center"/>
        </w:trPr>
        <w:tc>
          <w:tcPr>
            <w:tcW w:w="1810" w:type="dxa"/>
            <w:noWrap/>
            <w:vAlign w:val="center"/>
          </w:tcPr>
          <w:p w14:paraId="08A970B3">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≤25</w:t>
            </w:r>
          </w:p>
        </w:tc>
        <w:tc>
          <w:tcPr>
            <w:tcW w:w="1895" w:type="dxa"/>
            <w:noWrap/>
            <w:vAlign w:val="center"/>
          </w:tcPr>
          <w:p w14:paraId="67553AFF">
            <w:pPr>
              <w:widowControl/>
              <w:jc w:val="center"/>
              <w:rPr>
                <w:rFonts w:cs="Times New Roman"/>
                <w:color w:val="000000"/>
                <w:kern w:val="0"/>
                <w:sz w:val="21"/>
                <w:szCs w:val="21"/>
              </w:rPr>
            </w:pPr>
            <w:r>
              <w:rPr>
                <w:rFonts w:cs="Times New Roman"/>
                <w:color w:val="000000"/>
                <w:kern w:val="0"/>
                <w:sz w:val="21"/>
                <w:szCs w:val="21"/>
              </w:rPr>
              <w:t>4229</w:t>
            </w:r>
          </w:p>
        </w:tc>
        <w:tc>
          <w:tcPr>
            <w:tcW w:w="1284" w:type="dxa"/>
            <w:noWrap/>
            <w:vAlign w:val="center"/>
          </w:tcPr>
          <w:p w14:paraId="4BC53CC6">
            <w:pPr>
              <w:widowControl/>
              <w:jc w:val="center"/>
              <w:rPr>
                <w:rFonts w:cs="Times New Roman"/>
                <w:color w:val="000000"/>
                <w:kern w:val="0"/>
                <w:sz w:val="21"/>
                <w:szCs w:val="21"/>
              </w:rPr>
            </w:pPr>
            <w:r>
              <w:rPr>
                <w:rFonts w:cs="Times New Roman"/>
                <w:color w:val="000000"/>
                <w:kern w:val="0"/>
                <w:sz w:val="21"/>
                <w:szCs w:val="21"/>
              </w:rPr>
              <w:t>135 (3.2)</w:t>
            </w:r>
          </w:p>
        </w:tc>
        <w:tc>
          <w:tcPr>
            <w:tcW w:w="1719" w:type="dxa"/>
            <w:noWrap/>
            <w:vAlign w:val="center"/>
          </w:tcPr>
          <w:p w14:paraId="68B96699">
            <w:pPr>
              <w:widowControl/>
              <w:jc w:val="center"/>
              <w:rPr>
                <w:rFonts w:cs="Times New Roman"/>
                <w:color w:val="000000"/>
                <w:kern w:val="0"/>
                <w:sz w:val="21"/>
                <w:szCs w:val="21"/>
              </w:rPr>
            </w:pPr>
            <w:r>
              <w:rPr>
                <w:rFonts w:cs="Times New Roman"/>
                <w:color w:val="000000"/>
                <w:kern w:val="0"/>
                <w:sz w:val="21"/>
                <w:szCs w:val="21"/>
              </w:rPr>
              <w:t>1.91 (1.52~2.41)</w:t>
            </w:r>
          </w:p>
        </w:tc>
        <w:tc>
          <w:tcPr>
            <w:tcW w:w="1093" w:type="dxa"/>
            <w:noWrap/>
            <w:vAlign w:val="center"/>
          </w:tcPr>
          <w:p w14:paraId="2BA1E04A">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7C262F27">
            <w:pPr>
              <w:widowControl/>
              <w:jc w:val="center"/>
              <w:rPr>
                <w:rFonts w:cs="Times New Roman"/>
                <w:color w:val="000000"/>
                <w:kern w:val="0"/>
                <w:sz w:val="21"/>
                <w:szCs w:val="21"/>
              </w:rPr>
            </w:pPr>
            <w:r>
              <w:rPr>
                <w:rFonts w:cs="Times New Roman"/>
                <w:color w:val="000000"/>
                <w:kern w:val="0"/>
                <w:sz w:val="21"/>
                <w:szCs w:val="21"/>
              </w:rPr>
              <w:t>0.013</w:t>
            </w:r>
          </w:p>
        </w:tc>
      </w:tr>
      <w:tr w14:paraId="0AF67E2D">
        <w:tblPrEx>
          <w:tblCellMar>
            <w:top w:w="0" w:type="dxa"/>
            <w:left w:w="108" w:type="dxa"/>
            <w:bottom w:w="0" w:type="dxa"/>
            <w:right w:w="108" w:type="dxa"/>
          </w:tblCellMar>
        </w:tblPrEx>
        <w:trPr>
          <w:trHeight w:val="280" w:hRule="atLeast"/>
          <w:jc w:val="center"/>
        </w:trPr>
        <w:tc>
          <w:tcPr>
            <w:tcW w:w="1810" w:type="dxa"/>
            <w:noWrap/>
            <w:vAlign w:val="center"/>
          </w:tcPr>
          <w:p w14:paraId="75503442">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＞25</w:t>
            </w:r>
          </w:p>
        </w:tc>
        <w:tc>
          <w:tcPr>
            <w:tcW w:w="1895" w:type="dxa"/>
            <w:noWrap/>
            <w:vAlign w:val="center"/>
          </w:tcPr>
          <w:p w14:paraId="20F1BC1E">
            <w:pPr>
              <w:widowControl/>
              <w:jc w:val="center"/>
              <w:rPr>
                <w:rFonts w:cs="Times New Roman"/>
                <w:color w:val="000000"/>
                <w:kern w:val="0"/>
                <w:sz w:val="21"/>
                <w:szCs w:val="21"/>
              </w:rPr>
            </w:pPr>
            <w:r>
              <w:rPr>
                <w:rFonts w:cs="Times New Roman"/>
                <w:color w:val="000000"/>
                <w:kern w:val="0"/>
                <w:sz w:val="21"/>
                <w:szCs w:val="21"/>
              </w:rPr>
              <w:t>10622</w:t>
            </w:r>
          </w:p>
        </w:tc>
        <w:tc>
          <w:tcPr>
            <w:tcW w:w="1284" w:type="dxa"/>
            <w:noWrap/>
            <w:vAlign w:val="center"/>
          </w:tcPr>
          <w:p w14:paraId="74CA935A">
            <w:pPr>
              <w:widowControl/>
              <w:jc w:val="center"/>
              <w:rPr>
                <w:rFonts w:cs="Times New Roman"/>
                <w:color w:val="000000"/>
                <w:kern w:val="0"/>
                <w:sz w:val="21"/>
                <w:szCs w:val="21"/>
              </w:rPr>
            </w:pPr>
            <w:r>
              <w:rPr>
                <w:rFonts w:cs="Times New Roman"/>
                <w:color w:val="000000"/>
                <w:kern w:val="0"/>
                <w:sz w:val="21"/>
                <w:szCs w:val="21"/>
              </w:rPr>
              <w:t>352 (3.3)</w:t>
            </w:r>
          </w:p>
        </w:tc>
        <w:tc>
          <w:tcPr>
            <w:tcW w:w="1719" w:type="dxa"/>
            <w:noWrap/>
            <w:vAlign w:val="center"/>
          </w:tcPr>
          <w:p w14:paraId="1A83D657">
            <w:pPr>
              <w:widowControl/>
              <w:jc w:val="center"/>
              <w:rPr>
                <w:rFonts w:cs="Times New Roman"/>
                <w:color w:val="000000"/>
                <w:kern w:val="0"/>
                <w:sz w:val="21"/>
                <w:szCs w:val="21"/>
              </w:rPr>
            </w:pPr>
            <w:r>
              <w:rPr>
                <w:rFonts w:cs="Times New Roman"/>
                <w:color w:val="000000"/>
                <w:kern w:val="0"/>
                <w:sz w:val="21"/>
                <w:szCs w:val="21"/>
              </w:rPr>
              <w:t>1.47 (1.31~1.65)</w:t>
            </w:r>
          </w:p>
        </w:tc>
        <w:tc>
          <w:tcPr>
            <w:tcW w:w="1093" w:type="dxa"/>
            <w:noWrap/>
            <w:vAlign w:val="center"/>
          </w:tcPr>
          <w:p w14:paraId="4EC277C9">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57A2BFE">
            <w:pPr>
              <w:widowControl/>
              <w:jc w:val="center"/>
              <w:rPr>
                <w:rFonts w:cs="Times New Roman"/>
                <w:color w:val="000000"/>
                <w:kern w:val="0"/>
                <w:sz w:val="21"/>
                <w:szCs w:val="21"/>
              </w:rPr>
            </w:pPr>
          </w:p>
        </w:tc>
      </w:tr>
      <w:tr w14:paraId="3FA1616B">
        <w:tblPrEx>
          <w:tblCellMar>
            <w:top w:w="0" w:type="dxa"/>
            <w:left w:w="108" w:type="dxa"/>
            <w:bottom w:w="0" w:type="dxa"/>
            <w:right w:w="108" w:type="dxa"/>
          </w:tblCellMar>
        </w:tblPrEx>
        <w:trPr>
          <w:trHeight w:val="280" w:hRule="atLeast"/>
          <w:jc w:val="center"/>
        </w:trPr>
        <w:tc>
          <w:tcPr>
            <w:tcW w:w="1810" w:type="dxa"/>
            <w:noWrap/>
            <w:vAlign w:val="center"/>
          </w:tcPr>
          <w:p w14:paraId="2D534217">
            <w:pPr>
              <w:widowControl/>
              <w:jc w:val="left"/>
              <w:rPr>
                <w:rFonts w:cs="Times New Roman"/>
                <w:color w:val="000000"/>
                <w:kern w:val="0"/>
                <w:sz w:val="21"/>
                <w:szCs w:val="21"/>
              </w:rPr>
            </w:pPr>
            <w:r>
              <w:rPr>
                <w:rFonts w:cs="Times New Roman"/>
                <w:color w:val="000000"/>
                <w:kern w:val="0"/>
                <w:sz w:val="21"/>
                <w:szCs w:val="21"/>
              </w:rPr>
              <w:t>PIR</w:t>
            </w:r>
          </w:p>
        </w:tc>
        <w:tc>
          <w:tcPr>
            <w:tcW w:w="1895" w:type="dxa"/>
            <w:noWrap/>
            <w:vAlign w:val="center"/>
          </w:tcPr>
          <w:p w14:paraId="6E1B399B">
            <w:pPr>
              <w:widowControl/>
              <w:jc w:val="center"/>
              <w:rPr>
                <w:rFonts w:cs="Times New Roman"/>
                <w:color w:val="000000"/>
                <w:kern w:val="0"/>
                <w:sz w:val="21"/>
                <w:szCs w:val="21"/>
              </w:rPr>
            </w:pPr>
          </w:p>
        </w:tc>
        <w:tc>
          <w:tcPr>
            <w:tcW w:w="1284" w:type="dxa"/>
            <w:noWrap/>
            <w:vAlign w:val="center"/>
          </w:tcPr>
          <w:p w14:paraId="257DD391">
            <w:pPr>
              <w:widowControl/>
              <w:jc w:val="center"/>
              <w:rPr>
                <w:rFonts w:eastAsia="Times New Roman" w:cs="Times New Roman"/>
                <w:color w:val="auto"/>
                <w:kern w:val="0"/>
                <w:sz w:val="21"/>
                <w:szCs w:val="21"/>
              </w:rPr>
            </w:pPr>
          </w:p>
        </w:tc>
        <w:tc>
          <w:tcPr>
            <w:tcW w:w="1719" w:type="dxa"/>
            <w:noWrap/>
            <w:vAlign w:val="center"/>
          </w:tcPr>
          <w:p w14:paraId="672A16A6">
            <w:pPr>
              <w:widowControl/>
              <w:jc w:val="center"/>
              <w:rPr>
                <w:rFonts w:eastAsia="Times New Roman" w:cs="Times New Roman"/>
                <w:color w:val="auto"/>
                <w:kern w:val="0"/>
                <w:sz w:val="21"/>
                <w:szCs w:val="21"/>
              </w:rPr>
            </w:pPr>
          </w:p>
        </w:tc>
        <w:tc>
          <w:tcPr>
            <w:tcW w:w="1093" w:type="dxa"/>
            <w:noWrap/>
            <w:vAlign w:val="center"/>
          </w:tcPr>
          <w:p w14:paraId="54B3C841">
            <w:pPr>
              <w:widowControl/>
              <w:jc w:val="center"/>
              <w:rPr>
                <w:rFonts w:eastAsia="Times New Roman" w:cs="Times New Roman"/>
                <w:color w:val="auto"/>
                <w:kern w:val="0"/>
                <w:sz w:val="21"/>
                <w:szCs w:val="21"/>
              </w:rPr>
            </w:pPr>
          </w:p>
        </w:tc>
        <w:tc>
          <w:tcPr>
            <w:tcW w:w="1338" w:type="dxa"/>
            <w:noWrap/>
            <w:vAlign w:val="center"/>
          </w:tcPr>
          <w:p w14:paraId="10163950">
            <w:pPr>
              <w:widowControl/>
              <w:jc w:val="center"/>
              <w:rPr>
                <w:rFonts w:eastAsia="Times New Roman" w:cs="Times New Roman"/>
                <w:color w:val="auto"/>
                <w:kern w:val="0"/>
                <w:sz w:val="21"/>
                <w:szCs w:val="21"/>
              </w:rPr>
            </w:pPr>
          </w:p>
        </w:tc>
      </w:tr>
      <w:tr w14:paraId="1F27D0D4">
        <w:tblPrEx>
          <w:tblCellMar>
            <w:top w:w="0" w:type="dxa"/>
            <w:left w:w="108" w:type="dxa"/>
            <w:bottom w:w="0" w:type="dxa"/>
            <w:right w:w="108" w:type="dxa"/>
          </w:tblCellMar>
        </w:tblPrEx>
        <w:trPr>
          <w:trHeight w:val="280" w:hRule="atLeast"/>
          <w:jc w:val="center"/>
        </w:trPr>
        <w:tc>
          <w:tcPr>
            <w:tcW w:w="1810" w:type="dxa"/>
            <w:noWrap/>
            <w:vAlign w:val="center"/>
          </w:tcPr>
          <w:p w14:paraId="2D2317EB">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≤2.09</w:t>
            </w:r>
          </w:p>
        </w:tc>
        <w:tc>
          <w:tcPr>
            <w:tcW w:w="1895" w:type="dxa"/>
            <w:noWrap/>
            <w:vAlign w:val="center"/>
          </w:tcPr>
          <w:p w14:paraId="3659683D">
            <w:pPr>
              <w:widowControl/>
              <w:jc w:val="center"/>
              <w:rPr>
                <w:rFonts w:cs="Times New Roman"/>
                <w:color w:val="000000"/>
                <w:kern w:val="0"/>
                <w:sz w:val="21"/>
                <w:szCs w:val="21"/>
              </w:rPr>
            </w:pPr>
            <w:r>
              <w:rPr>
                <w:rFonts w:cs="Times New Roman"/>
                <w:color w:val="000000"/>
                <w:kern w:val="0"/>
                <w:sz w:val="21"/>
                <w:szCs w:val="21"/>
              </w:rPr>
              <w:t>6858</w:t>
            </w:r>
          </w:p>
        </w:tc>
        <w:tc>
          <w:tcPr>
            <w:tcW w:w="1284" w:type="dxa"/>
            <w:noWrap/>
            <w:vAlign w:val="center"/>
          </w:tcPr>
          <w:p w14:paraId="1F00CC25">
            <w:pPr>
              <w:widowControl/>
              <w:jc w:val="center"/>
              <w:rPr>
                <w:rFonts w:cs="Times New Roman"/>
                <w:color w:val="000000"/>
                <w:kern w:val="0"/>
                <w:sz w:val="21"/>
                <w:szCs w:val="21"/>
              </w:rPr>
            </w:pPr>
            <w:r>
              <w:rPr>
                <w:rFonts w:cs="Times New Roman"/>
                <w:color w:val="000000"/>
                <w:kern w:val="0"/>
                <w:sz w:val="21"/>
                <w:szCs w:val="21"/>
              </w:rPr>
              <w:t>277 (4)</w:t>
            </w:r>
          </w:p>
        </w:tc>
        <w:tc>
          <w:tcPr>
            <w:tcW w:w="1719" w:type="dxa"/>
            <w:noWrap/>
            <w:vAlign w:val="center"/>
          </w:tcPr>
          <w:p w14:paraId="7CA47510">
            <w:pPr>
              <w:widowControl/>
              <w:jc w:val="center"/>
              <w:rPr>
                <w:rFonts w:cs="Times New Roman"/>
                <w:color w:val="000000"/>
                <w:kern w:val="0"/>
                <w:sz w:val="21"/>
                <w:szCs w:val="21"/>
              </w:rPr>
            </w:pPr>
            <w:r>
              <w:rPr>
                <w:rFonts w:cs="Times New Roman"/>
                <w:color w:val="000000"/>
                <w:kern w:val="0"/>
                <w:sz w:val="21"/>
                <w:szCs w:val="21"/>
              </w:rPr>
              <w:t>1.33 (1.17~1.51)</w:t>
            </w:r>
          </w:p>
        </w:tc>
        <w:tc>
          <w:tcPr>
            <w:tcW w:w="1093" w:type="dxa"/>
            <w:noWrap/>
            <w:vAlign w:val="center"/>
          </w:tcPr>
          <w:p w14:paraId="4C2BEDE8">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4C52CA4D">
            <w:pPr>
              <w:widowControl/>
              <w:jc w:val="center"/>
              <w:rPr>
                <w:rFonts w:cs="Times New Roman"/>
                <w:color w:val="000000"/>
                <w:kern w:val="0"/>
                <w:sz w:val="21"/>
                <w:szCs w:val="21"/>
              </w:rPr>
            </w:pPr>
            <w:r>
              <w:rPr>
                <w:rFonts w:cs="Times New Roman"/>
                <w:color w:val="000000"/>
                <w:kern w:val="0"/>
                <w:sz w:val="21"/>
                <w:szCs w:val="21"/>
              </w:rPr>
              <w:t>&lt;0.001</w:t>
            </w:r>
          </w:p>
        </w:tc>
      </w:tr>
      <w:tr w14:paraId="003EEEA2">
        <w:tblPrEx>
          <w:tblCellMar>
            <w:top w:w="0" w:type="dxa"/>
            <w:left w:w="108" w:type="dxa"/>
            <w:bottom w:w="0" w:type="dxa"/>
            <w:right w:w="108" w:type="dxa"/>
          </w:tblCellMar>
        </w:tblPrEx>
        <w:trPr>
          <w:trHeight w:val="280" w:hRule="atLeast"/>
          <w:jc w:val="center"/>
        </w:trPr>
        <w:tc>
          <w:tcPr>
            <w:tcW w:w="1810" w:type="dxa"/>
            <w:noWrap/>
            <w:vAlign w:val="center"/>
          </w:tcPr>
          <w:p w14:paraId="55831B39">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＞2.09</w:t>
            </w:r>
          </w:p>
        </w:tc>
        <w:tc>
          <w:tcPr>
            <w:tcW w:w="1895" w:type="dxa"/>
            <w:noWrap/>
            <w:vAlign w:val="center"/>
          </w:tcPr>
          <w:p w14:paraId="21B83B1E">
            <w:pPr>
              <w:widowControl/>
              <w:jc w:val="center"/>
              <w:rPr>
                <w:rFonts w:cs="Times New Roman"/>
                <w:color w:val="000000"/>
                <w:kern w:val="0"/>
                <w:sz w:val="21"/>
                <w:szCs w:val="21"/>
              </w:rPr>
            </w:pPr>
            <w:r>
              <w:rPr>
                <w:rFonts w:cs="Times New Roman"/>
                <w:color w:val="000000"/>
                <w:kern w:val="0"/>
                <w:sz w:val="21"/>
                <w:szCs w:val="21"/>
              </w:rPr>
              <w:t>6886</w:t>
            </w:r>
          </w:p>
        </w:tc>
        <w:tc>
          <w:tcPr>
            <w:tcW w:w="1284" w:type="dxa"/>
            <w:noWrap/>
            <w:vAlign w:val="center"/>
          </w:tcPr>
          <w:p w14:paraId="33C0A678">
            <w:pPr>
              <w:widowControl/>
              <w:jc w:val="center"/>
              <w:rPr>
                <w:rFonts w:cs="Times New Roman"/>
                <w:color w:val="000000"/>
                <w:kern w:val="0"/>
                <w:sz w:val="21"/>
                <w:szCs w:val="21"/>
              </w:rPr>
            </w:pPr>
            <w:r>
              <w:rPr>
                <w:rFonts w:cs="Times New Roman"/>
                <w:color w:val="000000"/>
                <w:kern w:val="0"/>
                <w:sz w:val="21"/>
                <w:szCs w:val="21"/>
              </w:rPr>
              <w:t>199 (2.9)</w:t>
            </w:r>
          </w:p>
        </w:tc>
        <w:tc>
          <w:tcPr>
            <w:tcW w:w="1719" w:type="dxa"/>
            <w:noWrap/>
            <w:vAlign w:val="center"/>
          </w:tcPr>
          <w:p w14:paraId="00BF28C2">
            <w:pPr>
              <w:widowControl/>
              <w:jc w:val="center"/>
              <w:rPr>
                <w:rFonts w:cs="Times New Roman"/>
                <w:color w:val="000000"/>
                <w:kern w:val="0"/>
                <w:sz w:val="21"/>
                <w:szCs w:val="21"/>
              </w:rPr>
            </w:pPr>
            <w:r>
              <w:rPr>
                <w:rFonts w:cs="Times New Roman"/>
                <w:color w:val="000000"/>
                <w:kern w:val="0"/>
                <w:sz w:val="21"/>
                <w:szCs w:val="21"/>
              </w:rPr>
              <w:t>2.06 (1.73~2.45)</w:t>
            </w:r>
          </w:p>
        </w:tc>
        <w:tc>
          <w:tcPr>
            <w:tcW w:w="1093" w:type="dxa"/>
            <w:noWrap/>
            <w:vAlign w:val="center"/>
          </w:tcPr>
          <w:p w14:paraId="408B41D0">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3968B044">
            <w:pPr>
              <w:widowControl/>
              <w:jc w:val="center"/>
              <w:rPr>
                <w:rFonts w:cs="Times New Roman"/>
                <w:color w:val="000000"/>
                <w:kern w:val="0"/>
                <w:sz w:val="21"/>
                <w:szCs w:val="21"/>
              </w:rPr>
            </w:pPr>
          </w:p>
        </w:tc>
      </w:tr>
      <w:tr w14:paraId="23D8A749">
        <w:tblPrEx>
          <w:tblCellMar>
            <w:top w:w="0" w:type="dxa"/>
            <w:left w:w="108" w:type="dxa"/>
            <w:bottom w:w="0" w:type="dxa"/>
            <w:right w:w="108" w:type="dxa"/>
          </w:tblCellMar>
        </w:tblPrEx>
        <w:trPr>
          <w:trHeight w:val="280" w:hRule="atLeast"/>
          <w:jc w:val="center"/>
        </w:trPr>
        <w:tc>
          <w:tcPr>
            <w:tcW w:w="1810" w:type="dxa"/>
            <w:noWrap/>
            <w:vAlign w:val="center"/>
          </w:tcPr>
          <w:p w14:paraId="09556CBC">
            <w:pPr>
              <w:widowControl/>
              <w:jc w:val="left"/>
              <w:rPr>
                <w:rFonts w:cs="Times New Roman"/>
                <w:color w:val="000000"/>
                <w:kern w:val="0"/>
                <w:sz w:val="21"/>
                <w:szCs w:val="21"/>
              </w:rPr>
            </w:pPr>
            <w:r>
              <w:rPr>
                <w:rFonts w:cs="Times New Roman"/>
                <w:color w:val="000000"/>
                <w:kern w:val="0"/>
                <w:sz w:val="21"/>
                <w:szCs w:val="21"/>
              </w:rPr>
              <w:t>Education level</w:t>
            </w:r>
          </w:p>
        </w:tc>
        <w:tc>
          <w:tcPr>
            <w:tcW w:w="1895" w:type="dxa"/>
            <w:noWrap/>
            <w:vAlign w:val="center"/>
          </w:tcPr>
          <w:p w14:paraId="2D391E66">
            <w:pPr>
              <w:widowControl/>
              <w:jc w:val="center"/>
              <w:rPr>
                <w:rFonts w:cs="Times New Roman"/>
                <w:color w:val="000000"/>
                <w:kern w:val="0"/>
                <w:sz w:val="21"/>
                <w:szCs w:val="21"/>
              </w:rPr>
            </w:pPr>
          </w:p>
        </w:tc>
        <w:tc>
          <w:tcPr>
            <w:tcW w:w="1284" w:type="dxa"/>
            <w:noWrap/>
            <w:vAlign w:val="center"/>
          </w:tcPr>
          <w:p w14:paraId="034FF675">
            <w:pPr>
              <w:widowControl/>
              <w:jc w:val="center"/>
              <w:rPr>
                <w:rFonts w:eastAsia="Times New Roman" w:cs="Times New Roman"/>
                <w:color w:val="auto"/>
                <w:kern w:val="0"/>
                <w:sz w:val="21"/>
                <w:szCs w:val="21"/>
              </w:rPr>
            </w:pPr>
          </w:p>
        </w:tc>
        <w:tc>
          <w:tcPr>
            <w:tcW w:w="1719" w:type="dxa"/>
            <w:noWrap/>
            <w:vAlign w:val="center"/>
          </w:tcPr>
          <w:p w14:paraId="2DAE8EB4">
            <w:pPr>
              <w:widowControl/>
              <w:jc w:val="center"/>
              <w:rPr>
                <w:rFonts w:eastAsia="Times New Roman" w:cs="Times New Roman"/>
                <w:color w:val="auto"/>
                <w:kern w:val="0"/>
                <w:sz w:val="21"/>
                <w:szCs w:val="21"/>
              </w:rPr>
            </w:pPr>
          </w:p>
        </w:tc>
        <w:tc>
          <w:tcPr>
            <w:tcW w:w="1093" w:type="dxa"/>
            <w:noWrap/>
            <w:vAlign w:val="center"/>
          </w:tcPr>
          <w:p w14:paraId="1CA56753">
            <w:pPr>
              <w:widowControl/>
              <w:jc w:val="center"/>
              <w:rPr>
                <w:rFonts w:eastAsia="Times New Roman" w:cs="Times New Roman"/>
                <w:color w:val="auto"/>
                <w:kern w:val="0"/>
                <w:sz w:val="21"/>
                <w:szCs w:val="21"/>
              </w:rPr>
            </w:pPr>
          </w:p>
        </w:tc>
        <w:tc>
          <w:tcPr>
            <w:tcW w:w="1338" w:type="dxa"/>
            <w:noWrap/>
            <w:vAlign w:val="center"/>
          </w:tcPr>
          <w:p w14:paraId="10799869">
            <w:pPr>
              <w:widowControl/>
              <w:jc w:val="center"/>
              <w:rPr>
                <w:rFonts w:eastAsia="Times New Roman" w:cs="Times New Roman"/>
                <w:color w:val="auto"/>
                <w:kern w:val="0"/>
                <w:sz w:val="21"/>
                <w:szCs w:val="21"/>
              </w:rPr>
            </w:pPr>
          </w:p>
        </w:tc>
      </w:tr>
      <w:tr w14:paraId="5E79DFFA">
        <w:tblPrEx>
          <w:tblCellMar>
            <w:top w:w="0" w:type="dxa"/>
            <w:left w:w="108" w:type="dxa"/>
            <w:bottom w:w="0" w:type="dxa"/>
            <w:right w:w="108" w:type="dxa"/>
          </w:tblCellMar>
        </w:tblPrEx>
        <w:trPr>
          <w:trHeight w:val="280" w:hRule="atLeast"/>
          <w:jc w:val="center"/>
        </w:trPr>
        <w:tc>
          <w:tcPr>
            <w:tcW w:w="1810" w:type="dxa"/>
            <w:noWrap/>
            <w:vAlign w:val="center"/>
          </w:tcPr>
          <w:p w14:paraId="49966104">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&lt;High school</w:t>
            </w:r>
          </w:p>
        </w:tc>
        <w:tc>
          <w:tcPr>
            <w:tcW w:w="1895" w:type="dxa"/>
            <w:noWrap/>
            <w:vAlign w:val="center"/>
          </w:tcPr>
          <w:p w14:paraId="2914AF35">
            <w:pPr>
              <w:widowControl/>
              <w:jc w:val="center"/>
              <w:rPr>
                <w:rFonts w:cs="Times New Roman"/>
                <w:color w:val="000000"/>
                <w:kern w:val="0"/>
                <w:sz w:val="21"/>
                <w:szCs w:val="21"/>
              </w:rPr>
            </w:pPr>
            <w:r>
              <w:rPr>
                <w:rFonts w:cs="Times New Roman"/>
                <w:color w:val="000000"/>
                <w:kern w:val="0"/>
                <w:sz w:val="21"/>
                <w:szCs w:val="21"/>
              </w:rPr>
              <w:t>3809</w:t>
            </w:r>
          </w:p>
        </w:tc>
        <w:tc>
          <w:tcPr>
            <w:tcW w:w="1284" w:type="dxa"/>
            <w:noWrap/>
            <w:vAlign w:val="center"/>
          </w:tcPr>
          <w:p w14:paraId="199250D5">
            <w:pPr>
              <w:widowControl/>
              <w:jc w:val="center"/>
              <w:rPr>
                <w:rFonts w:cs="Times New Roman"/>
                <w:color w:val="000000"/>
                <w:kern w:val="0"/>
                <w:sz w:val="21"/>
                <w:szCs w:val="21"/>
              </w:rPr>
            </w:pPr>
            <w:r>
              <w:rPr>
                <w:rFonts w:cs="Times New Roman"/>
                <w:color w:val="000000"/>
                <w:kern w:val="0"/>
                <w:sz w:val="21"/>
                <w:szCs w:val="21"/>
              </w:rPr>
              <w:t>181 (4.8)</w:t>
            </w:r>
          </w:p>
        </w:tc>
        <w:tc>
          <w:tcPr>
            <w:tcW w:w="1719" w:type="dxa"/>
            <w:noWrap/>
            <w:vAlign w:val="center"/>
          </w:tcPr>
          <w:p w14:paraId="1D33C749">
            <w:pPr>
              <w:widowControl/>
              <w:jc w:val="center"/>
              <w:rPr>
                <w:rFonts w:cs="Times New Roman"/>
                <w:color w:val="000000"/>
                <w:kern w:val="0"/>
                <w:sz w:val="21"/>
                <w:szCs w:val="21"/>
              </w:rPr>
            </w:pPr>
            <w:r>
              <w:rPr>
                <w:rFonts w:cs="Times New Roman"/>
                <w:color w:val="000000"/>
                <w:kern w:val="0"/>
                <w:sz w:val="21"/>
                <w:szCs w:val="21"/>
              </w:rPr>
              <w:t>1.31 (1.11~1.55)</w:t>
            </w:r>
          </w:p>
        </w:tc>
        <w:tc>
          <w:tcPr>
            <w:tcW w:w="1093" w:type="dxa"/>
            <w:noWrap/>
            <w:vAlign w:val="center"/>
          </w:tcPr>
          <w:p w14:paraId="6670EF11">
            <w:pPr>
              <w:widowControl/>
              <w:jc w:val="center"/>
              <w:rPr>
                <w:rFonts w:cs="Times New Roman"/>
                <w:color w:val="000000"/>
                <w:kern w:val="0"/>
                <w:sz w:val="21"/>
                <w:szCs w:val="21"/>
              </w:rPr>
            </w:pPr>
            <w:r>
              <w:rPr>
                <w:rFonts w:cs="Times New Roman"/>
                <w:color w:val="000000"/>
                <w:kern w:val="0"/>
                <w:sz w:val="21"/>
                <w:szCs w:val="21"/>
              </w:rPr>
              <w:t>0.002</w:t>
            </w:r>
          </w:p>
        </w:tc>
        <w:tc>
          <w:tcPr>
            <w:tcW w:w="1338" w:type="dxa"/>
            <w:noWrap/>
            <w:vAlign w:val="center"/>
          </w:tcPr>
          <w:p w14:paraId="15905E2F">
            <w:pPr>
              <w:widowControl/>
              <w:jc w:val="center"/>
              <w:rPr>
                <w:rFonts w:cs="Times New Roman"/>
                <w:color w:val="000000"/>
                <w:kern w:val="0"/>
                <w:sz w:val="21"/>
                <w:szCs w:val="21"/>
              </w:rPr>
            </w:pPr>
            <w:r>
              <w:rPr>
                <w:rFonts w:cs="Times New Roman"/>
                <w:color w:val="000000"/>
                <w:kern w:val="0"/>
                <w:sz w:val="21"/>
                <w:szCs w:val="21"/>
              </w:rPr>
              <w:t>0.105</w:t>
            </w:r>
          </w:p>
        </w:tc>
      </w:tr>
      <w:tr w14:paraId="4F7529D0">
        <w:tblPrEx>
          <w:tblCellMar>
            <w:top w:w="0" w:type="dxa"/>
            <w:left w:w="108" w:type="dxa"/>
            <w:bottom w:w="0" w:type="dxa"/>
            <w:right w:w="108" w:type="dxa"/>
          </w:tblCellMar>
        </w:tblPrEx>
        <w:trPr>
          <w:trHeight w:val="280" w:hRule="atLeast"/>
          <w:jc w:val="center"/>
        </w:trPr>
        <w:tc>
          <w:tcPr>
            <w:tcW w:w="1810" w:type="dxa"/>
            <w:noWrap/>
            <w:vAlign w:val="center"/>
          </w:tcPr>
          <w:p w14:paraId="04926ECA">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 xml:space="preserve">≥High school </w:t>
            </w:r>
          </w:p>
        </w:tc>
        <w:tc>
          <w:tcPr>
            <w:tcW w:w="1895" w:type="dxa"/>
            <w:noWrap/>
            <w:vAlign w:val="center"/>
          </w:tcPr>
          <w:p w14:paraId="00B0DD41">
            <w:pPr>
              <w:widowControl/>
              <w:jc w:val="center"/>
              <w:rPr>
                <w:rFonts w:cs="Times New Roman"/>
                <w:color w:val="000000"/>
                <w:kern w:val="0"/>
                <w:sz w:val="21"/>
                <w:szCs w:val="21"/>
              </w:rPr>
            </w:pPr>
            <w:r>
              <w:rPr>
                <w:rFonts w:cs="Times New Roman"/>
                <w:color w:val="000000"/>
                <w:kern w:val="0"/>
                <w:sz w:val="21"/>
                <w:szCs w:val="21"/>
              </w:rPr>
              <w:t>11219</w:t>
            </w:r>
          </w:p>
        </w:tc>
        <w:tc>
          <w:tcPr>
            <w:tcW w:w="1284" w:type="dxa"/>
            <w:noWrap/>
            <w:vAlign w:val="center"/>
          </w:tcPr>
          <w:p w14:paraId="1C24BDFD">
            <w:pPr>
              <w:widowControl/>
              <w:jc w:val="center"/>
              <w:rPr>
                <w:rFonts w:cs="Times New Roman"/>
                <w:color w:val="000000"/>
                <w:kern w:val="0"/>
                <w:sz w:val="21"/>
                <w:szCs w:val="21"/>
              </w:rPr>
            </w:pPr>
            <w:r>
              <w:rPr>
                <w:rFonts w:cs="Times New Roman"/>
                <w:color w:val="000000"/>
                <w:kern w:val="0"/>
                <w:sz w:val="21"/>
                <w:szCs w:val="21"/>
              </w:rPr>
              <w:t>329 (2.9)</w:t>
            </w:r>
          </w:p>
        </w:tc>
        <w:tc>
          <w:tcPr>
            <w:tcW w:w="1719" w:type="dxa"/>
            <w:noWrap/>
            <w:vAlign w:val="center"/>
          </w:tcPr>
          <w:p w14:paraId="48994F4E">
            <w:pPr>
              <w:widowControl/>
              <w:jc w:val="center"/>
              <w:rPr>
                <w:rFonts w:cs="Times New Roman"/>
                <w:color w:val="000000"/>
                <w:kern w:val="0"/>
                <w:sz w:val="21"/>
                <w:szCs w:val="21"/>
              </w:rPr>
            </w:pPr>
            <w:r>
              <w:rPr>
                <w:rFonts w:cs="Times New Roman"/>
                <w:color w:val="000000"/>
                <w:kern w:val="0"/>
                <w:sz w:val="21"/>
                <w:szCs w:val="21"/>
              </w:rPr>
              <w:t>1.68 (1.47~1.92)</w:t>
            </w:r>
          </w:p>
        </w:tc>
        <w:tc>
          <w:tcPr>
            <w:tcW w:w="1093" w:type="dxa"/>
            <w:noWrap/>
            <w:vAlign w:val="center"/>
          </w:tcPr>
          <w:p w14:paraId="3C8431C0">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36755CC8">
            <w:pPr>
              <w:widowControl/>
              <w:jc w:val="center"/>
              <w:rPr>
                <w:rFonts w:cs="Times New Roman"/>
                <w:color w:val="000000"/>
                <w:kern w:val="0"/>
                <w:sz w:val="21"/>
                <w:szCs w:val="21"/>
              </w:rPr>
            </w:pPr>
          </w:p>
        </w:tc>
      </w:tr>
      <w:tr w14:paraId="3676CFCA">
        <w:tblPrEx>
          <w:tblCellMar>
            <w:top w:w="0" w:type="dxa"/>
            <w:left w:w="108" w:type="dxa"/>
            <w:bottom w:w="0" w:type="dxa"/>
            <w:right w:w="108" w:type="dxa"/>
          </w:tblCellMar>
        </w:tblPrEx>
        <w:trPr>
          <w:trHeight w:val="280" w:hRule="atLeast"/>
          <w:jc w:val="center"/>
        </w:trPr>
        <w:tc>
          <w:tcPr>
            <w:tcW w:w="1810" w:type="dxa"/>
            <w:noWrap/>
            <w:vAlign w:val="center"/>
          </w:tcPr>
          <w:p w14:paraId="5CD20380">
            <w:pPr>
              <w:widowControl/>
              <w:jc w:val="left"/>
              <w:rPr>
                <w:rFonts w:cs="Times New Roman"/>
                <w:color w:val="000000"/>
                <w:kern w:val="0"/>
                <w:sz w:val="21"/>
                <w:szCs w:val="21"/>
              </w:rPr>
            </w:pPr>
            <w:r>
              <w:rPr>
                <w:rFonts w:cs="Times New Roman"/>
                <w:color w:val="000000"/>
                <w:kern w:val="0"/>
                <w:sz w:val="21"/>
                <w:szCs w:val="21"/>
              </w:rPr>
              <w:t>Stroke</w:t>
            </w:r>
          </w:p>
        </w:tc>
        <w:tc>
          <w:tcPr>
            <w:tcW w:w="1895" w:type="dxa"/>
            <w:noWrap/>
            <w:vAlign w:val="center"/>
          </w:tcPr>
          <w:p w14:paraId="7FDD37C3">
            <w:pPr>
              <w:widowControl/>
              <w:jc w:val="center"/>
              <w:rPr>
                <w:rFonts w:cs="Times New Roman"/>
                <w:color w:val="000000"/>
                <w:kern w:val="0"/>
                <w:sz w:val="21"/>
                <w:szCs w:val="21"/>
              </w:rPr>
            </w:pPr>
          </w:p>
        </w:tc>
        <w:tc>
          <w:tcPr>
            <w:tcW w:w="1284" w:type="dxa"/>
            <w:noWrap/>
            <w:vAlign w:val="center"/>
          </w:tcPr>
          <w:p w14:paraId="64B1341D">
            <w:pPr>
              <w:widowControl/>
              <w:jc w:val="center"/>
              <w:rPr>
                <w:rFonts w:eastAsia="Times New Roman" w:cs="Times New Roman"/>
                <w:color w:val="auto"/>
                <w:kern w:val="0"/>
                <w:sz w:val="21"/>
                <w:szCs w:val="21"/>
              </w:rPr>
            </w:pPr>
          </w:p>
        </w:tc>
        <w:tc>
          <w:tcPr>
            <w:tcW w:w="1719" w:type="dxa"/>
            <w:noWrap/>
            <w:vAlign w:val="center"/>
          </w:tcPr>
          <w:p w14:paraId="7D293B89">
            <w:pPr>
              <w:widowControl/>
              <w:jc w:val="center"/>
              <w:rPr>
                <w:rFonts w:eastAsia="Times New Roman" w:cs="Times New Roman"/>
                <w:color w:val="auto"/>
                <w:kern w:val="0"/>
                <w:sz w:val="21"/>
                <w:szCs w:val="21"/>
              </w:rPr>
            </w:pPr>
          </w:p>
        </w:tc>
        <w:tc>
          <w:tcPr>
            <w:tcW w:w="1093" w:type="dxa"/>
            <w:noWrap/>
            <w:vAlign w:val="center"/>
          </w:tcPr>
          <w:p w14:paraId="31DDF267">
            <w:pPr>
              <w:widowControl/>
              <w:jc w:val="center"/>
              <w:rPr>
                <w:rFonts w:eastAsia="Times New Roman" w:cs="Times New Roman"/>
                <w:color w:val="auto"/>
                <w:kern w:val="0"/>
                <w:sz w:val="21"/>
                <w:szCs w:val="21"/>
              </w:rPr>
            </w:pPr>
          </w:p>
        </w:tc>
        <w:tc>
          <w:tcPr>
            <w:tcW w:w="1338" w:type="dxa"/>
            <w:noWrap/>
            <w:vAlign w:val="center"/>
          </w:tcPr>
          <w:p w14:paraId="2AA9282B">
            <w:pPr>
              <w:widowControl/>
              <w:jc w:val="center"/>
              <w:rPr>
                <w:rFonts w:eastAsia="Times New Roman" w:cs="Times New Roman"/>
                <w:color w:val="auto"/>
                <w:kern w:val="0"/>
                <w:sz w:val="21"/>
                <w:szCs w:val="21"/>
              </w:rPr>
            </w:pPr>
          </w:p>
        </w:tc>
      </w:tr>
      <w:tr w14:paraId="1C7DAAA3">
        <w:tblPrEx>
          <w:tblCellMar>
            <w:top w:w="0" w:type="dxa"/>
            <w:left w:w="108" w:type="dxa"/>
            <w:bottom w:w="0" w:type="dxa"/>
            <w:right w:w="108" w:type="dxa"/>
          </w:tblCellMar>
        </w:tblPrEx>
        <w:trPr>
          <w:trHeight w:val="280" w:hRule="atLeast"/>
          <w:jc w:val="center"/>
        </w:trPr>
        <w:tc>
          <w:tcPr>
            <w:tcW w:w="1810" w:type="dxa"/>
            <w:noWrap/>
            <w:vAlign w:val="center"/>
          </w:tcPr>
          <w:p w14:paraId="070E4DE1">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No</w:t>
            </w:r>
          </w:p>
        </w:tc>
        <w:tc>
          <w:tcPr>
            <w:tcW w:w="1895" w:type="dxa"/>
            <w:noWrap/>
            <w:vAlign w:val="center"/>
          </w:tcPr>
          <w:p w14:paraId="4ACE6DE1">
            <w:pPr>
              <w:widowControl/>
              <w:jc w:val="center"/>
              <w:rPr>
                <w:rFonts w:cs="Times New Roman"/>
                <w:color w:val="000000"/>
                <w:kern w:val="0"/>
                <w:sz w:val="21"/>
                <w:szCs w:val="21"/>
              </w:rPr>
            </w:pPr>
            <w:r>
              <w:rPr>
                <w:rFonts w:cs="Times New Roman"/>
                <w:color w:val="000000"/>
                <w:kern w:val="0"/>
                <w:sz w:val="21"/>
                <w:szCs w:val="21"/>
              </w:rPr>
              <w:t>14421</w:t>
            </w:r>
          </w:p>
        </w:tc>
        <w:tc>
          <w:tcPr>
            <w:tcW w:w="1284" w:type="dxa"/>
            <w:noWrap/>
            <w:vAlign w:val="center"/>
          </w:tcPr>
          <w:p w14:paraId="6C5A32F8">
            <w:pPr>
              <w:widowControl/>
              <w:jc w:val="center"/>
              <w:rPr>
                <w:rFonts w:cs="Times New Roman"/>
                <w:color w:val="000000"/>
                <w:kern w:val="0"/>
                <w:sz w:val="21"/>
                <w:szCs w:val="21"/>
              </w:rPr>
            </w:pPr>
            <w:r>
              <w:rPr>
                <w:rFonts w:cs="Times New Roman"/>
                <w:color w:val="000000"/>
                <w:kern w:val="0"/>
                <w:sz w:val="21"/>
                <w:szCs w:val="21"/>
              </w:rPr>
              <w:t>431 (3)</w:t>
            </w:r>
          </w:p>
        </w:tc>
        <w:tc>
          <w:tcPr>
            <w:tcW w:w="1719" w:type="dxa"/>
            <w:noWrap/>
            <w:vAlign w:val="center"/>
          </w:tcPr>
          <w:p w14:paraId="5B6232F4">
            <w:pPr>
              <w:widowControl/>
              <w:jc w:val="center"/>
              <w:rPr>
                <w:rFonts w:cs="Times New Roman"/>
                <w:color w:val="000000"/>
                <w:kern w:val="0"/>
                <w:sz w:val="21"/>
                <w:szCs w:val="21"/>
              </w:rPr>
            </w:pPr>
            <w:r>
              <w:rPr>
                <w:rFonts w:cs="Times New Roman"/>
                <w:color w:val="000000"/>
                <w:kern w:val="0"/>
                <w:sz w:val="21"/>
                <w:szCs w:val="21"/>
              </w:rPr>
              <w:t>1.63 (1.46~1.83)</w:t>
            </w:r>
          </w:p>
        </w:tc>
        <w:tc>
          <w:tcPr>
            <w:tcW w:w="1093" w:type="dxa"/>
            <w:noWrap/>
            <w:vAlign w:val="center"/>
          </w:tcPr>
          <w:p w14:paraId="614992FB">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5E9886F1">
            <w:pPr>
              <w:widowControl/>
              <w:jc w:val="center"/>
              <w:rPr>
                <w:rFonts w:cs="Times New Roman"/>
                <w:color w:val="000000"/>
                <w:kern w:val="0"/>
                <w:sz w:val="21"/>
                <w:szCs w:val="21"/>
              </w:rPr>
            </w:pPr>
            <w:r>
              <w:rPr>
                <w:rFonts w:cs="Times New Roman"/>
                <w:color w:val="000000"/>
                <w:kern w:val="0"/>
                <w:sz w:val="21"/>
                <w:szCs w:val="21"/>
              </w:rPr>
              <w:t>0.003</w:t>
            </w:r>
          </w:p>
        </w:tc>
      </w:tr>
      <w:tr w14:paraId="2773CD65">
        <w:tblPrEx>
          <w:tblCellMar>
            <w:top w:w="0" w:type="dxa"/>
            <w:left w:w="108" w:type="dxa"/>
            <w:bottom w:w="0" w:type="dxa"/>
            <w:right w:w="108" w:type="dxa"/>
          </w:tblCellMar>
        </w:tblPrEx>
        <w:trPr>
          <w:trHeight w:val="280" w:hRule="atLeast"/>
          <w:jc w:val="center"/>
        </w:trPr>
        <w:tc>
          <w:tcPr>
            <w:tcW w:w="1810" w:type="dxa"/>
            <w:noWrap/>
            <w:vAlign w:val="center"/>
          </w:tcPr>
          <w:p w14:paraId="1C07F5F3">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Yes</w:t>
            </w:r>
          </w:p>
        </w:tc>
        <w:tc>
          <w:tcPr>
            <w:tcW w:w="1895" w:type="dxa"/>
            <w:noWrap/>
            <w:vAlign w:val="center"/>
          </w:tcPr>
          <w:p w14:paraId="787330BC">
            <w:pPr>
              <w:widowControl/>
              <w:jc w:val="center"/>
              <w:rPr>
                <w:rFonts w:cs="Times New Roman"/>
                <w:color w:val="000000"/>
                <w:kern w:val="0"/>
                <w:sz w:val="21"/>
                <w:szCs w:val="21"/>
              </w:rPr>
            </w:pPr>
            <w:r>
              <w:rPr>
                <w:rFonts w:cs="Times New Roman"/>
                <w:color w:val="000000"/>
                <w:kern w:val="0"/>
                <w:sz w:val="21"/>
                <w:szCs w:val="21"/>
              </w:rPr>
              <w:t>607</w:t>
            </w:r>
          </w:p>
        </w:tc>
        <w:tc>
          <w:tcPr>
            <w:tcW w:w="1284" w:type="dxa"/>
            <w:noWrap/>
            <w:vAlign w:val="center"/>
          </w:tcPr>
          <w:p w14:paraId="762184BE">
            <w:pPr>
              <w:widowControl/>
              <w:jc w:val="center"/>
              <w:rPr>
                <w:rFonts w:cs="Times New Roman"/>
                <w:color w:val="000000"/>
                <w:kern w:val="0"/>
                <w:sz w:val="21"/>
                <w:szCs w:val="21"/>
              </w:rPr>
            </w:pPr>
            <w:r>
              <w:rPr>
                <w:rFonts w:cs="Times New Roman"/>
                <w:color w:val="000000"/>
                <w:kern w:val="0"/>
                <w:sz w:val="21"/>
                <w:szCs w:val="21"/>
              </w:rPr>
              <w:t>77 (12.7)</w:t>
            </w:r>
          </w:p>
        </w:tc>
        <w:tc>
          <w:tcPr>
            <w:tcW w:w="1719" w:type="dxa"/>
            <w:noWrap/>
            <w:vAlign w:val="center"/>
          </w:tcPr>
          <w:p w14:paraId="7EEE7551">
            <w:pPr>
              <w:widowControl/>
              <w:jc w:val="center"/>
              <w:rPr>
                <w:rFonts w:cs="Times New Roman"/>
                <w:color w:val="000000"/>
                <w:kern w:val="0"/>
                <w:sz w:val="21"/>
                <w:szCs w:val="21"/>
              </w:rPr>
            </w:pPr>
            <w:r>
              <w:rPr>
                <w:rFonts w:cs="Times New Roman"/>
                <w:color w:val="000000"/>
                <w:kern w:val="0"/>
                <w:sz w:val="21"/>
                <w:szCs w:val="21"/>
              </w:rPr>
              <w:t>1.08 (0.82~1.41)</w:t>
            </w:r>
          </w:p>
        </w:tc>
        <w:tc>
          <w:tcPr>
            <w:tcW w:w="1093" w:type="dxa"/>
            <w:noWrap/>
            <w:vAlign w:val="center"/>
          </w:tcPr>
          <w:p w14:paraId="1D178DDA">
            <w:pPr>
              <w:widowControl/>
              <w:jc w:val="center"/>
              <w:rPr>
                <w:rFonts w:cs="Times New Roman"/>
                <w:color w:val="000000"/>
                <w:kern w:val="0"/>
                <w:sz w:val="21"/>
                <w:szCs w:val="21"/>
              </w:rPr>
            </w:pPr>
            <w:r>
              <w:rPr>
                <w:rFonts w:cs="Times New Roman"/>
                <w:color w:val="000000"/>
                <w:kern w:val="0"/>
                <w:sz w:val="21"/>
                <w:szCs w:val="21"/>
              </w:rPr>
              <w:t>0.583</w:t>
            </w:r>
          </w:p>
        </w:tc>
        <w:tc>
          <w:tcPr>
            <w:tcW w:w="1338" w:type="dxa"/>
            <w:noWrap/>
            <w:vAlign w:val="center"/>
          </w:tcPr>
          <w:p w14:paraId="2BA9AD8D">
            <w:pPr>
              <w:widowControl/>
              <w:jc w:val="center"/>
              <w:rPr>
                <w:rFonts w:cs="Times New Roman"/>
                <w:color w:val="000000"/>
                <w:kern w:val="0"/>
                <w:sz w:val="21"/>
                <w:szCs w:val="21"/>
              </w:rPr>
            </w:pPr>
          </w:p>
        </w:tc>
      </w:tr>
      <w:tr w14:paraId="30FB387F">
        <w:tblPrEx>
          <w:tblCellMar>
            <w:top w:w="0" w:type="dxa"/>
            <w:left w:w="108" w:type="dxa"/>
            <w:bottom w:w="0" w:type="dxa"/>
            <w:right w:w="108" w:type="dxa"/>
          </w:tblCellMar>
        </w:tblPrEx>
        <w:trPr>
          <w:trHeight w:val="280" w:hRule="atLeast"/>
          <w:jc w:val="center"/>
        </w:trPr>
        <w:tc>
          <w:tcPr>
            <w:tcW w:w="1810" w:type="dxa"/>
            <w:noWrap/>
            <w:vAlign w:val="center"/>
          </w:tcPr>
          <w:p w14:paraId="209B66FF">
            <w:pPr>
              <w:widowControl/>
              <w:jc w:val="left"/>
              <w:rPr>
                <w:rFonts w:cs="Times New Roman"/>
                <w:color w:val="000000"/>
                <w:kern w:val="0"/>
                <w:sz w:val="21"/>
                <w:szCs w:val="21"/>
              </w:rPr>
            </w:pPr>
            <w:r>
              <w:rPr>
                <w:rFonts w:cs="Times New Roman"/>
                <w:color w:val="000000"/>
                <w:kern w:val="0"/>
                <w:sz w:val="21"/>
                <w:szCs w:val="21"/>
              </w:rPr>
              <w:t>Hypertension</w:t>
            </w:r>
          </w:p>
        </w:tc>
        <w:tc>
          <w:tcPr>
            <w:tcW w:w="1895" w:type="dxa"/>
            <w:noWrap/>
            <w:vAlign w:val="center"/>
          </w:tcPr>
          <w:p w14:paraId="04CB0D2C">
            <w:pPr>
              <w:widowControl/>
              <w:jc w:val="center"/>
              <w:rPr>
                <w:rFonts w:cs="Times New Roman"/>
                <w:color w:val="000000"/>
                <w:kern w:val="0"/>
                <w:sz w:val="21"/>
                <w:szCs w:val="21"/>
              </w:rPr>
            </w:pPr>
          </w:p>
        </w:tc>
        <w:tc>
          <w:tcPr>
            <w:tcW w:w="1284" w:type="dxa"/>
            <w:noWrap/>
            <w:vAlign w:val="center"/>
          </w:tcPr>
          <w:p w14:paraId="7CC4FDDD">
            <w:pPr>
              <w:widowControl/>
              <w:jc w:val="center"/>
              <w:rPr>
                <w:rFonts w:eastAsia="Times New Roman" w:cs="Times New Roman"/>
                <w:color w:val="auto"/>
                <w:kern w:val="0"/>
                <w:sz w:val="21"/>
                <w:szCs w:val="21"/>
              </w:rPr>
            </w:pPr>
          </w:p>
        </w:tc>
        <w:tc>
          <w:tcPr>
            <w:tcW w:w="1719" w:type="dxa"/>
            <w:noWrap/>
            <w:vAlign w:val="center"/>
          </w:tcPr>
          <w:p w14:paraId="2C4BFFEC">
            <w:pPr>
              <w:widowControl/>
              <w:jc w:val="center"/>
              <w:rPr>
                <w:rFonts w:eastAsia="Times New Roman" w:cs="Times New Roman"/>
                <w:color w:val="auto"/>
                <w:kern w:val="0"/>
                <w:sz w:val="21"/>
                <w:szCs w:val="21"/>
              </w:rPr>
            </w:pPr>
          </w:p>
        </w:tc>
        <w:tc>
          <w:tcPr>
            <w:tcW w:w="1093" w:type="dxa"/>
            <w:noWrap/>
            <w:vAlign w:val="center"/>
          </w:tcPr>
          <w:p w14:paraId="7AA5C54A">
            <w:pPr>
              <w:widowControl/>
              <w:jc w:val="center"/>
              <w:rPr>
                <w:rFonts w:eastAsia="Times New Roman" w:cs="Times New Roman"/>
                <w:color w:val="auto"/>
                <w:kern w:val="0"/>
                <w:sz w:val="21"/>
                <w:szCs w:val="21"/>
              </w:rPr>
            </w:pPr>
          </w:p>
        </w:tc>
        <w:tc>
          <w:tcPr>
            <w:tcW w:w="1338" w:type="dxa"/>
            <w:noWrap/>
            <w:vAlign w:val="center"/>
          </w:tcPr>
          <w:p w14:paraId="448EAFCE">
            <w:pPr>
              <w:widowControl/>
              <w:jc w:val="center"/>
              <w:rPr>
                <w:rFonts w:eastAsia="Times New Roman" w:cs="Times New Roman"/>
                <w:color w:val="auto"/>
                <w:kern w:val="0"/>
                <w:sz w:val="21"/>
                <w:szCs w:val="21"/>
              </w:rPr>
            </w:pPr>
          </w:p>
        </w:tc>
      </w:tr>
      <w:tr w14:paraId="66BAD948">
        <w:tblPrEx>
          <w:tblCellMar>
            <w:top w:w="0" w:type="dxa"/>
            <w:left w:w="108" w:type="dxa"/>
            <w:bottom w:w="0" w:type="dxa"/>
            <w:right w:w="108" w:type="dxa"/>
          </w:tblCellMar>
        </w:tblPrEx>
        <w:trPr>
          <w:trHeight w:val="280" w:hRule="atLeast"/>
          <w:jc w:val="center"/>
        </w:trPr>
        <w:tc>
          <w:tcPr>
            <w:tcW w:w="1810" w:type="dxa"/>
            <w:noWrap/>
            <w:vAlign w:val="center"/>
          </w:tcPr>
          <w:p w14:paraId="30B31EA1">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No</w:t>
            </w:r>
          </w:p>
        </w:tc>
        <w:tc>
          <w:tcPr>
            <w:tcW w:w="1895" w:type="dxa"/>
            <w:noWrap/>
            <w:vAlign w:val="center"/>
          </w:tcPr>
          <w:p w14:paraId="62AACCB2">
            <w:pPr>
              <w:widowControl/>
              <w:jc w:val="center"/>
              <w:rPr>
                <w:rFonts w:cs="Times New Roman"/>
                <w:color w:val="000000"/>
                <w:kern w:val="0"/>
                <w:sz w:val="21"/>
                <w:szCs w:val="21"/>
              </w:rPr>
            </w:pPr>
            <w:r>
              <w:rPr>
                <w:rFonts w:cs="Times New Roman"/>
                <w:color w:val="000000"/>
                <w:kern w:val="0"/>
                <w:sz w:val="21"/>
                <w:szCs w:val="21"/>
              </w:rPr>
              <w:t>9155</w:t>
            </w:r>
          </w:p>
        </w:tc>
        <w:tc>
          <w:tcPr>
            <w:tcW w:w="1284" w:type="dxa"/>
            <w:noWrap/>
            <w:vAlign w:val="center"/>
          </w:tcPr>
          <w:p w14:paraId="4D7BAA12">
            <w:pPr>
              <w:widowControl/>
              <w:jc w:val="center"/>
              <w:rPr>
                <w:rFonts w:cs="Times New Roman"/>
                <w:color w:val="000000"/>
                <w:kern w:val="0"/>
                <w:sz w:val="21"/>
                <w:szCs w:val="21"/>
              </w:rPr>
            </w:pPr>
            <w:r>
              <w:rPr>
                <w:rFonts w:cs="Times New Roman"/>
                <w:color w:val="000000"/>
                <w:kern w:val="0"/>
                <w:sz w:val="21"/>
                <w:szCs w:val="21"/>
              </w:rPr>
              <w:t>158 (1.7)</w:t>
            </w:r>
          </w:p>
        </w:tc>
        <w:tc>
          <w:tcPr>
            <w:tcW w:w="1719" w:type="dxa"/>
            <w:noWrap/>
            <w:vAlign w:val="center"/>
          </w:tcPr>
          <w:p w14:paraId="1C38537A">
            <w:pPr>
              <w:widowControl/>
              <w:jc w:val="center"/>
              <w:rPr>
                <w:rFonts w:cs="Times New Roman"/>
                <w:color w:val="000000"/>
                <w:kern w:val="0"/>
                <w:sz w:val="21"/>
                <w:szCs w:val="21"/>
              </w:rPr>
            </w:pPr>
            <w:r>
              <w:rPr>
                <w:rFonts w:cs="Times New Roman"/>
                <w:color w:val="000000"/>
                <w:kern w:val="0"/>
                <w:sz w:val="21"/>
                <w:szCs w:val="21"/>
              </w:rPr>
              <w:t>1.59 (1.31~1.93)</w:t>
            </w:r>
          </w:p>
        </w:tc>
        <w:tc>
          <w:tcPr>
            <w:tcW w:w="1093" w:type="dxa"/>
            <w:noWrap/>
            <w:vAlign w:val="center"/>
          </w:tcPr>
          <w:p w14:paraId="37E7281E">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39FAD49A">
            <w:pPr>
              <w:widowControl/>
              <w:jc w:val="center"/>
              <w:rPr>
                <w:rFonts w:cs="Times New Roman"/>
                <w:color w:val="000000"/>
                <w:kern w:val="0"/>
                <w:sz w:val="21"/>
                <w:szCs w:val="21"/>
              </w:rPr>
            </w:pPr>
            <w:r>
              <w:rPr>
                <w:rFonts w:cs="Times New Roman"/>
                <w:color w:val="000000"/>
                <w:kern w:val="0"/>
                <w:sz w:val="21"/>
                <w:szCs w:val="21"/>
              </w:rPr>
              <w:t>0.668</w:t>
            </w:r>
          </w:p>
        </w:tc>
      </w:tr>
      <w:tr w14:paraId="2FA9783E">
        <w:tblPrEx>
          <w:tblCellMar>
            <w:top w:w="0" w:type="dxa"/>
            <w:left w:w="108" w:type="dxa"/>
            <w:bottom w:w="0" w:type="dxa"/>
            <w:right w:w="108" w:type="dxa"/>
          </w:tblCellMar>
        </w:tblPrEx>
        <w:trPr>
          <w:trHeight w:val="280" w:hRule="atLeast"/>
          <w:jc w:val="center"/>
        </w:trPr>
        <w:tc>
          <w:tcPr>
            <w:tcW w:w="1810" w:type="dxa"/>
            <w:noWrap/>
            <w:vAlign w:val="center"/>
          </w:tcPr>
          <w:p w14:paraId="292E87FC">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Yes</w:t>
            </w:r>
          </w:p>
        </w:tc>
        <w:tc>
          <w:tcPr>
            <w:tcW w:w="1895" w:type="dxa"/>
            <w:noWrap/>
            <w:vAlign w:val="center"/>
          </w:tcPr>
          <w:p w14:paraId="79238671">
            <w:pPr>
              <w:widowControl/>
              <w:jc w:val="center"/>
              <w:rPr>
                <w:rFonts w:cs="Times New Roman"/>
                <w:color w:val="000000"/>
                <w:kern w:val="0"/>
                <w:sz w:val="21"/>
                <w:szCs w:val="21"/>
              </w:rPr>
            </w:pPr>
            <w:r>
              <w:rPr>
                <w:rFonts w:cs="Times New Roman"/>
                <w:color w:val="000000"/>
                <w:kern w:val="0"/>
                <w:sz w:val="21"/>
                <w:szCs w:val="21"/>
              </w:rPr>
              <w:t>5867</w:t>
            </w:r>
          </w:p>
        </w:tc>
        <w:tc>
          <w:tcPr>
            <w:tcW w:w="1284" w:type="dxa"/>
            <w:noWrap/>
            <w:vAlign w:val="center"/>
          </w:tcPr>
          <w:p w14:paraId="62E98A38">
            <w:pPr>
              <w:widowControl/>
              <w:jc w:val="center"/>
              <w:rPr>
                <w:rFonts w:cs="Times New Roman"/>
                <w:color w:val="000000"/>
                <w:kern w:val="0"/>
                <w:sz w:val="21"/>
                <w:szCs w:val="21"/>
              </w:rPr>
            </w:pPr>
            <w:r>
              <w:rPr>
                <w:rFonts w:cs="Times New Roman"/>
                <w:color w:val="000000"/>
                <w:kern w:val="0"/>
                <w:sz w:val="21"/>
                <w:szCs w:val="21"/>
              </w:rPr>
              <w:t>351 (6)</w:t>
            </w:r>
          </w:p>
        </w:tc>
        <w:tc>
          <w:tcPr>
            <w:tcW w:w="1719" w:type="dxa"/>
            <w:noWrap/>
            <w:vAlign w:val="center"/>
          </w:tcPr>
          <w:p w14:paraId="34687936">
            <w:pPr>
              <w:widowControl/>
              <w:jc w:val="center"/>
              <w:rPr>
                <w:rFonts w:cs="Times New Roman"/>
                <w:color w:val="000000"/>
                <w:kern w:val="0"/>
                <w:sz w:val="21"/>
                <w:szCs w:val="21"/>
              </w:rPr>
            </w:pPr>
            <w:r>
              <w:rPr>
                <w:rFonts w:cs="Times New Roman"/>
                <w:color w:val="000000"/>
                <w:kern w:val="0"/>
                <w:sz w:val="21"/>
                <w:szCs w:val="21"/>
              </w:rPr>
              <w:t>1.46 (1.29~1.65)</w:t>
            </w:r>
          </w:p>
        </w:tc>
        <w:tc>
          <w:tcPr>
            <w:tcW w:w="1093" w:type="dxa"/>
            <w:noWrap/>
            <w:vAlign w:val="center"/>
          </w:tcPr>
          <w:p w14:paraId="26FED18E">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8B9EC43">
            <w:pPr>
              <w:widowControl/>
              <w:jc w:val="center"/>
              <w:rPr>
                <w:rFonts w:cs="Times New Roman"/>
                <w:color w:val="000000"/>
                <w:kern w:val="0"/>
                <w:sz w:val="21"/>
                <w:szCs w:val="21"/>
              </w:rPr>
            </w:pPr>
          </w:p>
        </w:tc>
      </w:tr>
      <w:tr w14:paraId="48A57B2A">
        <w:tblPrEx>
          <w:tblCellMar>
            <w:top w:w="0" w:type="dxa"/>
            <w:left w:w="108" w:type="dxa"/>
            <w:bottom w:w="0" w:type="dxa"/>
            <w:right w:w="108" w:type="dxa"/>
          </w:tblCellMar>
        </w:tblPrEx>
        <w:trPr>
          <w:trHeight w:val="280" w:hRule="atLeast"/>
          <w:jc w:val="center"/>
        </w:trPr>
        <w:tc>
          <w:tcPr>
            <w:tcW w:w="1810" w:type="dxa"/>
            <w:noWrap/>
            <w:vAlign w:val="center"/>
          </w:tcPr>
          <w:p w14:paraId="1376BB51">
            <w:pPr>
              <w:widowControl/>
              <w:jc w:val="left"/>
              <w:rPr>
                <w:rFonts w:cs="Times New Roman"/>
                <w:color w:val="000000"/>
                <w:kern w:val="0"/>
                <w:sz w:val="21"/>
                <w:szCs w:val="21"/>
              </w:rPr>
            </w:pPr>
            <w:r>
              <w:rPr>
                <w:rFonts w:cs="Times New Roman"/>
                <w:color w:val="000000"/>
                <w:kern w:val="0"/>
                <w:sz w:val="21"/>
                <w:szCs w:val="21"/>
              </w:rPr>
              <w:t>Diabetes Mellitus</w:t>
            </w:r>
          </w:p>
        </w:tc>
        <w:tc>
          <w:tcPr>
            <w:tcW w:w="1895" w:type="dxa"/>
            <w:noWrap/>
            <w:vAlign w:val="center"/>
          </w:tcPr>
          <w:p w14:paraId="4CFCCF44">
            <w:pPr>
              <w:widowControl/>
              <w:jc w:val="center"/>
              <w:rPr>
                <w:rFonts w:cs="Times New Roman"/>
                <w:color w:val="000000"/>
                <w:kern w:val="0"/>
                <w:sz w:val="21"/>
                <w:szCs w:val="21"/>
              </w:rPr>
            </w:pPr>
          </w:p>
        </w:tc>
        <w:tc>
          <w:tcPr>
            <w:tcW w:w="1284" w:type="dxa"/>
            <w:noWrap/>
            <w:vAlign w:val="center"/>
          </w:tcPr>
          <w:p w14:paraId="19A8506D">
            <w:pPr>
              <w:widowControl/>
              <w:jc w:val="center"/>
              <w:rPr>
                <w:rFonts w:eastAsia="Times New Roman" w:cs="Times New Roman"/>
                <w:color w:val="auto"/>
                <w:kern w:val="0"/>
                <w:sz w:val="21"/>
                <w:szCs w:val="21"/>
              </w:rPr>
            </w:pPr>
          </w:p>
        </w:tc>
        <w:tc>
          <w:tcPr>
            <w:tcW w:w="1719" w:type="dxa"/>
            <w:noWrap/>
            <w:vAlign w:val="center"/>
          </w:tcPr>
          <w:p w14:paraId="69222E93">
            <w:pPr>
              <w:widowControl/>
              <w:jc w:val="center"/>
              <w:rPr>
                <w:rFonts w:eastAsia="Times New Roman" w:cs="Times New Roman"/>
                <w:color w:val="auto"/>
                <w:kern w:val="0"/>
                <w:sz w:val="21"/>
                <w:szCs w:val="21"/>
              </w:rPr>
            </w:pPr>
          </w:p>
        </w:tc>
        <w:tc>
          <w:tcPr>
            <w:tcW w:w="1093" w:type="dxa"/>
            <w:noWrap/>
            <w:vAlign w:val="center"/>
          </w:tcPr>
          <w:p w14:paraId="5F61BA75">
            <w:pPr>
              <w:widowControl/>
              <w:jc w:val="center"/>
              <w:rPr>
                <w:rFonts w:eastAsia="Times New Roman" w:cs="Times New Roman"/>
                <w:color w:val="auto"/>
                <w:kern w:val="0"/>
                <w:sz w:val="21"/>
                <w:szCs w:val="21"/>
              </w:rPr>
            </w:pPr>
          </w:p>
        </w:tc>
        <w:tc>
          <w:tcPr>
            <w:tcW w:w="1338" w:type="dxa"/>
            <w:noWrap/>
            <w:vAlign w:val="center"/>
          </w:tcPr>
          <w:p w14:paraId="433AFA6A">
            <w:pPr>
              <w:widowControl/>
              <w:jc w:val="center"/>
              <w:rPr>
                <w:rFonts w:eastAsia="Times New Roman" w:cs="Times New Roman"/>
                <w:color w:val="auto"/>
                <w:kern w:val="0"/>
                <w:sz w:val="21"/>
                <w:szCs w:val="21"/>
              </w:rPr>
            </w:pPr>
          </w:p>
        </w:tc>
      </w:tr>
      <w:tr w14:paraId="44456564">
        <w:tblPrEx>
          <w:tblCellMar>
            <w:top w:w="0" w:type="dxa"/>
            <w:left w:w="108" w:type="dxa"/>
            <w:bottom w:w="0" w:type="dxa"/>
            <w:right w:w="108" w:type="dxa"/>
          </w:tblCellMar>
        </w:tblPrEx>
        <w:trPr>
          <w:trHeight w:val="280" w:hRule="atLeast"/>
          <w:jc w:val="center"/>
        </w:trPr>
        <w:tc>
          <w:tcPr>
            <w:tcW w:w="1810" w:type="dxa"/>
            <w:noWrap/>
            <w:vAlign w:val="center"/>
          </w:tcPr>
          <w:p w14:paraId="0F72DF1D">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No</w:t>
            </w:r>
          </w:p>
        </w:tc>
        <w:tc>
          <w:tcPr>
            <w:tcW w:w="1895" w:type="dxa"/>
            <w:noWrap/>
            <w:vAlign w:val="center"/>
          </w:tcPr>
          <w:p w14:paraId="44E621BE">
            <w:pPr>
              <w:widowControl/>
              <w:jc w:val="center"/>
              <w:rPr>
                <w:rFonts w:cs="Times New Roman"/>
                <w:color w:val="000000"/>
                <w:kern w:val="0"/>
                <w:sz w:val="21"/>
                <w:szCs w:val="21"/>
              </w:rPr>
            </w:pPr>
            <w:r>
              <w:rPr>
                <w:rFonts w:cs="Times New Roman"/>
                <w:color w:val="000000"/>
                <w:kern w:val="0"/>
                <w:sz w:val="21"/>
                <w:szCs w:val="21"/>
              </w:rPr>
              <w:t>11425</w:t>
            </w:r>
          </w:p>
        </w:tc>
        <w:tc>
          <w:tcPr>
            <w:tcW w:w="1284" w:type="dxa"/>
            <w:noWrap/>
            <w:vAlign w:val="center"/>
          </w:tcPr>
          <w:p w14:paraId="4BA9576E">
            <w:pPr>
              <w:widowControl/>
              <w:jc w:val="center"/>
              <w:rPr>
                <w:rFonts w:cs="Times New Roman"/>
                <w:color w:val="000000"/>
                <w:kern w:val="0"/>
                <w:sz w:val="21"/>
                <w:szCs w:val="21"/>
              </w:rPr>
            </w:pPr>
            <w:r>
              <w:rPr>
                <w:rFonts w:cs="Times New Roman"/>
                <w:color w:val="000000"/>
                <w:kern w:val="0"/>
                <w:sz w:val="21"/>
                <w:szCs w:val="21"/>
              </w:rPr>
              <w:t>267 (2.3)</w:t>
            </w:r>
          </w:p>
        </w:tc>
        <w:tc>
          <w:tcPr>
            <w:tcW w:w="1719" w:type="dxa"/>
            <w:noWrap/>
            <w:vAlign w:val="center"/>
          </w:tcPr>
          <w:p w14:paraId="3A8BF5E5">
            <w:pPr>
              <w:widowControl/>
              <w:jc w:val="center"/>
              <w:rPr>
                <w:rFonts w:cs="Times New Roman"/>
                <w:color w:val="000000"/>
                <w:kern w:val="0"/>
                <w:sz w:val="21"/>
                <w:szCs w:val="21"/>
              </w:rPr>
            </w:pPr>
            <w:r>
              <w:rPr>
                <w:rFonts w:cs="Times New Roman"/>
                <w:color w:val="000000"/>
                <w:kern w:val="0"/>
                <w:sz w:val="21"/>
                <w:szCs w:val="21"/>
              </w:rPr>
              <w:t>1.7 (1.48~1.97)</w:t>
            </w:r>
          </w:p>
        </w:tc>
        <w:tc>
          <w:tcPr>
            <w:tcW w:w="1093" w:type="dxa"/>
            <w:noWrap/>
            <w:vAlign w:val="center"/>
          </w:tcPr>
          <w:p w14:paraId="2665315A">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3231766">
            <w:pPr>
              <w:widowControl/>
              <w:jc w:val="center"/>
              <w:rPr>
                <w:rFonts w:cs="Times New Roman"/>
                <w:color w:val="000000"/>
                <w:kern w:val="0"/>
                <w:sz w:val="21"/>
                <w:szCs w:val="21"/>
              </w:rPr>
            </w:pPr>
            <w:r>
              <w:rPr>
                <w:rFonts w:cs="Times New Roman"/>
                <w:color w:val="000000"/>
                <w:kern w:val="0"/>
                <w:sz w:val="21"/>
                <w:szCs w:val="21"/>
              </w:rPr>
              <w:t>0.007</w:t>
            </w:r>
          </w:p>
        </w:tc>
      </w:tr>
      <w:tr w14:paraId="23F76157">
        <w:tblPrEx>
          <w:tblCellMar>
            <w:top w:w="0" w:type="dxa"/>
            <w:left w:w="108" w:type="dxa"/>
            <w:bottom w:w="0" w:type="dxa"/>
            <w:right w:w="108" w:type="dxa"/>
          </w:tblCellMar>
        </w:tblPrEx>
        <w:trPr>
          <w:trHeight w:val="280" w:hRule="atLeast"/>
          <w:jc w:val="center"/>
        </w:trPr>
        <w:tc>
          <w:tcPr>
            <w:tcW w:w="1810" w:type="dxa"/>
            <w:noWrap/>
            <w:vAlign w:val="center"/>
          </w:tcPr>
          <w:p w14:paraId="354F9627">
            <w:pPr>
              <w:widowControl/>
              <w:jc w:val="left"/>
              <w:rPr>
                <w:rFonts w:cs="Times New Roman"/>
                <w:color w:val="000000"/>
                <w:kern w:val="0"/>
                <w:sz w:val="21"/>
                <w:szCs w:val="21"/>
              </w:rPr>
            </w:pPr>
            <w:r>
              <w:rPr>
                <w:rFonts w:cs="Times New Roman"/>
                <w:color w:val="000000"/>
                <w:kern w:val="0"/>
                <w:sz w:val="21"/>
                <w:szCs w:val="21"/>
              </w:rPr>
              <w:t xml:space="preserve"> </w:t>
            </w:r>
            <w:r>
              <w:rPr>
                <w:rFonts w:hint="eastAsia" w:cs="Times New Roman"/>
                <w:color w:val="000000"/>
                <w:kern w:val="0"/>
                <w:sz w:val="21"/>
                <w:szCs w:val="21"/>
              </w:rPr>
              <w:t xml:space="preserve"> </w:t>
            </w:r>
            <w:r>
              <w:rPr>
                <w:rFonts w:cs="Times New Roman"/>
                <w:color w:val="000000"/>
                <w:kern w:val="0"/>
                <w:sz w:val="21"/>
                <w:szCs w:val="21"/>
              </w:rPr>
              <w:t>Yes</w:t>
            </w:r>
          </w:p>
        </w:tc>
        <w:tc>
          <w:tcPr>
            <w:tcW w:w="1895" w:type="dxa"/>
            <w:noWrap/>
            <w:vAlign w:val="center"/>
          </w:tcPr>
          <w:p w14:paraId="4940346D">
            <w:pPr>
              <w:widowControl/>
              <w:jc w:val="center"/>
              <w:rPr>
                <w:rFonts w:cs="Times New Roman"/>
                <w:color w:val="000000"/>
                <w:kern w:val="0"/>
                <w:sz w:val="21"/>
                <w:szCs w:val="21"/>
              </w:rPr>
            </w:pPr>
            <w:r>
              <w:rPr>
                <w:rFonts w:cs="Times New Roman"/>
                <w:color w:val="000000"/>
                <w:kern w:val="0"/>
                <w:sz w:val="21"/>
                <w:szCs w:val="21"/>
              </w:rPr>
              <w:t>3415</w:t>
            </w:r>
          </w:p>
        </w:tc>
        <w:tc>
          <w:tcPr>
            <w:tcW w:w="1284" w:type="dxa"/>
            <w:noWrap/>
            <w:vAlign w:val="center"/>
          </w:tcPr>
          <w:p w14:paraId="3F2826C5">
            <w:pPr>
              <w:widowControl/>
              <w:jc w:val="center"/>
              <w:rPr>
                <w:rFonts w:cs="Times New Roman"/>
                <w:color w:val="000000"/>
                <w:kern w:val="0"/>
                <w:sz w:val="21"/>
                <w:szCs w:val="21"/>
              </w:rPr>
            </w:pPr>
            <w:r>
              <w:rPr>
                <w:rFonts w:cs="Times New Roman"/>
                <w:color w:val="000000"/>
                <w:kern w:val="0"/>
                <w:sz w:val="21"/>
                <w:szCs w:val="21"/>
              </w:rPr>
              <w:t>235 (6.9)</w:t>
            </w:r>
          </w:p>
        </w:tc>
        <w:tc>
          <w:tcPr>
            <w:tcW w:w="1719" w:type="dxa"/>
            <w:noWrap/>
            <w:vAlign w:val="center"/>
          </w:tcPr>
          <w:p w14:paraId="02641FFF">
            <w:pPr>
              <w:widowControl/>
              <w:jc w:val="center"/>
              <w:rPr>
                <w:rFonts w:cs="Times New Roman"/>
                <w:color w:val="000000"/>
                <w:kern w:val="0"/>
                <w:sz w:val="21"/>
                <w:szCs w:val="21"/>
              </w:rPr>
            </w:pPr>
            <w:r>
              <w:rPr>
                <w:rFonts w:cs="Times New Roman"/>
                <w:color w:val="000000"/>
                <w:kern w:val="0"/>
                <w:sz w:val="21"/>
                <w:szCs w:val="21"/>
              </w:rPr>
              <w:t>1.28 (1.09~1.5)</w:t>
            </w:r>
          </w:p>
        </w:tc>
        <w:tc>
          <w:tcPr>
            <w:tcW w:w="1093" w:type="dxa"/>
            <w:noWrap/>
            <w:vAlign w:val="center"/>
          </w:tcPr>
          <w:p w14:paraId="562C379A">
            <w:pPr>
              <w:widowControl/>
              <w:jc w:val="center"/>
              <w:rPr>
                <w:rFonts w:cs="Times New Roman"/>
                <w:color w:val="000000"/>
                <w:kern w:val="0"/>
                <w:sz w:val="21"/>
                <w:szCs w:val="21"/>
              </w:rPr>
            </w:pPr>
            <w:r>
              <w:rPr>
                <w:rFonts w:cs="Times New Roman"/>
                <w:color w:val="000000"/>
                <w:kern w:val="0"/>
                <w:sz w:val="21"/>
                <w:szCs w:val="21"/>
              </w:rPr>
              <w:t>0.002</w:t>
            </w:r>
          </w:p>
        </w:tc>
        <w:tc>
          <w:tcPr>
            <w:tcW w:w="1338" w:type="dxa"/>
            <w:noWrap/>
            <w:vAlign w:val="center"/>
          </w:tcPr>
          <w:p w14:paraId="795DF11A">
            <w:pPr>
              <w:widowControl/>
              <w:jc w:val="center"/>
              <w:rPr>
                <w:rFonts w:cs="Times New Roman"/>
                <w:color w:val="000000"/>
                <w:kern w:val="0"/>
                <w:sz w:val="21"/>
                <w:szCs w:val="21"/>
              </w:rPr>
            </w:pPr>
          </w:p>
        </w:tc>
      </w:tr>
      <w:tr w14:paraId="5778C5C9">
        <w:tblPrEx>
          <w:tblCellMar>
            <w:top w:w="0" w:type="dxa"/>
            <w:left w:w="108" w:type="dxa"/>
            <w:bottom w:w="0" w:type="dxa"/>
            <w:right w:w="108" w:type="dxa"/>
          </w:tblCellMar>
        </w:tblPrEx>
        <w:trPr>
          <w:trHeight w:val="280" w:hRule="atLeast"/>
          <w:jc w:val="center"/>
        </w:trPr>
        <w:tc>
          <w:tcPr>
            <w:tcW w:w="1810" w:type="dxa"/>
            <w:noWrap/>
            <w:vAlign w:val="center"/>
          </w:tcPr>
          <w:p w14:paraId="645E19D9">
            <w:pPr>
              <w:widowControl/>
              <w:jc w:val="left"/>
              <w:rPr>
                <w:rFonts w:cs="Times New Roman"/>
                <w:color w:val="000000"/>
                <w:kern w:val="0"/>
                <w:sz w:val="21"/>
                <w:szCs w:val="21"/>
              </w:rPr>
            </w:pPr>
            <w:r>
              <w:rPr>
                <w:rFonts w:cs="Times New Roman"/>
                <w:color w:val="000000"/>
                <w:kern w:val="0"/>
                <w:sz w:val="21"/>
                <w:szCs w:val="21"/>
              </w:rPr>
              <w:t>FBG,mg/dL</w:t>
            </w:r>
          </w:p>
        </w:tc>
        <w:tc>
          <w:tcPr>
            <w:tcW w:w="1895" w:type="dxa"/>
            <w:noWrap/>
            <w:vAlign w:val="center"/>
          </w:tcPr>
          <w:p w14:paraId="09129278">
            <w:pPr>
              <w:widowControl/>
              <w:jc w:val="center"/>
              <w:rPr>
                <w:rFonts w:cs="Times New Roman"/>
                <w:color w:val="000000"/>
                <w:kern w:val="0"/>
                <w:sz w:val="21"/>
                <w:szCs w:val="21"/>
              </w:rPr>
            </w:pPr>
          </w:p>
        </w:tc>
        <w:tc>
          <w:tcPr>
            <w:tcW w:w="1284" w:type="dxa"/>
            <w:noWrap/>
            <w:vAlign w:val="center"/>
          </w:tcPr>
          <w:p w14:paraId="2889CA01">
            <w:pPr>
              <w:widowControl/>
              <w:jc w:val="center"/>
              <w:rPr>
                <w:rFonts w:eastAsia="Times New Roman" w:cs="Times New Roman"/>
                <w:color w:val="auto"/>
                <w:kern w:val="0"/>
                <w:sz w:val="21"/>
                <w:szCs w:val="21"/>
              </w:rPr>
            </w:pPr>
          </w:p>
        </w:tc>
        <w:tc>
          <w:tcPr>
            <w:tcW w:w="1719" w:type="dxa"/>
            <w:noWrap/>
            <w:vAlign w:val="center"/>
          </w:tcPr>
          <w:p w14:paraId="49175BFC">
            <w:pPr>
              <w:widowControl/>
              <w:jc w:val="center"/>
              <w:rPr>
                <w:rFonts w:eastAsia="Times New Roman" w:cs="Times New Roman"/>
                <w:color w:val="auto"/>
                <w:kern w:val="0"/>
                <w:sz w:val="21"/>
                <w:szCs w:val="21"/>
              </w:rPr>
            </w:pPr>
          </w:p>
        </w:tc>
        <w:tc>
          <w:tcPr>
            <w:tcW w:w="1093" w:type="dxa"/>
            <w:noWrap/>
            <w:vAlign w:val="center"/>
          </w:tcPr>
          <w:p w14:paraId="2030A14C">
            <w:pPr>
              <w:widowControl/>
              <w:jc w:val="center"/>
              <w:rPr>
                <w:rFonts w:eastAsia="Times New Roman" w:cs="Times New Roman"/>
                <w:color w:val="auto"/>
                <w:kern w:val="0"/>
                <w:sz w:val="21"/>
                <w:szCs w:val="21"/>
              </w:rPr>
            </w:pPr>
          </w:p>
        </w:tc>
        <w:tc>
          <w:tcPr>
            <w:tcW w:w="1338" w:type="dxa"/>
            <w:noWrap/>
            <w:vAlign w:val="center"/>
          </w:tcPr>
          <w:p w14:paraId="04A8B6C8">
            <w:pPr>
              <w:widowControl/>
              <w:jc w:val="center"/>
              <w:rPr>
                <w:rFonts w:eastAsia="Times New Roman" w:cs="Times New Roman"/>
                <w:color w:val="auto"/>
                <w:kern w:val="0"/>
                <w:sz w:val="21"/>
                <w:szCs w:val="21"/>
              </w:rPr>
            </w:pPr>
          </w:p>
        </w:tc>
      </w:tr>
      <w:tr w14:paraId="4EAC12A8">
        <w:tblPrEx>
          <w:tblCellMar>
            <w:top w:w="0" w:type="dxa"/>
            <w:left w:w="108" w:type="dxa"/>
            <w:bottom w:w="0" w:type="dxa"/>
            <w:right w:w="108" w:type="dxa"/>
          </w:tblCellMar>
        </w:tblPrEx>
        <w:trPr>
          <w:trHeight w:val="280" w:hRule="atLeast"/>
          <w:jc w:val="center"/>
        </w:trPr>
        <w:tc>
          <w:tcPr>
            <w:tcW w:w="1810" w:type="dxa"/>
            <w:noWrap/>
            <w:vAlign w:val="center"/>
          </w:tcPr>
          <w:p w14:paraId="4F489386">
            <w:pPr>
              <w:widowControl/>
              <w:jc w:val="left"/>
              <w:rPr>
                <w:rFonts w:cs="Times New Roman"/>
                <w:color w:val="000000"/>
                <w:kern w:val="0"/>
                <w:sz w:val="21"/>
                <w:szCs w:val="21"/>
              </w:rPr>
            </w:pPr>
            <w:r>
              <w:rPr>
                <w:rFonts w:cs="Times New Roman"/>
                <w:color w:val="000000"/>
                <w:kern w:val="0"/>
                <w:sz w:val="21"/>
                <w:szCs w:val="21"/>
              </w:rPr>
              <w:t xml:space="preserve">  ≤102</w:t>
            </w:r>
          </w:p>
        </w:tc>
        <w:tc>
          <w:tcPr>
            <w:tcW w:w="1895" w:type="dxa"/>
            <w:noWrap/>
            <w:vAlign w:val="center"/>
          </w:tcPr>
          <w:p w14:paraId="2E505DE9">
            <w:pPr>
              <w:widowControl/>
              <w:jc w:val="center"/>
              <w:rPr>
                <w:rFonts w:cs="Times New Roman"/>
                <w:color w:val="000000"/>
                <w:kern w:val="0"/>
                <w:sz w:val="21"/>
                <w:szCs w:val="21"/>
              </w:rPr>
            </w:pPr>
            <w:r>
              <w:rPr>
                <w:rFonts w:cs="Times New Roman"/>
                <w:color w:val="000000"/>
                <w:kern w:val="0"/>
                <w:sz w:val="21"/>
                <w:szCs w:val="21"/>
              </w:rPr>
              <w:t>7495</w:t>
            </w:r>
          </w:p>
        </w:tc>
        <w:tc>
          <w:tcPr>
            <w:tcW w:w="1284" w:type="dxa"/>
            <w:noWrap/>
            <w:vAlign w:val="center"/>
          </w:tcPr>
          <w:p w14:paraId="5C2F9281">
            <w:pPr>
              <w:widowControl/>
              <w:jc w:val="center"/>
              <w:rPr>
                <w:rFonts w:cs="Times New Roman"/>
                <w:color w:val="000000"/>
                <w:kern w:val="0"/>
                <w:sz w:val="21"/>
                <w:szCs w:val="21"/>
              </w:rPr>
            </w:pPr>
            <w:r>
              <w:rPr>
                <w:rFonts w:cs="Times New Roman"/>
                <w:color w:val="000000"/>
                <w:kern w:val="0"/>
                <w:sz w:val="21"/>
                <w:szCs w:val="21"/>
              </w:rPr>
              <w:t>167 (2.2)</w:t>
            </w:r>
          </w:p>
        </w:tc>
        <w:tc>
          <w:tcPr>
            <w:tcW w:w="1719" w:type="dxa"/>
            <w:noWrap/>
            <w:vAlign w:val="center"/>
          </w:tcPr>
          <w:p w14:paraId="2814370E">
            <w:pPr>
              <w:widowControl/>
              <w:jc w:val="center"/>
              <w:rPr>
                <w:rFonts w:cs="Times New Roman"/>
                <w:color w:val="000000"/>
                <w:kern w:val="0"/>
                <w:sz w:val="21"/>
                <w:szCs w:val="21"/>
              </w:rPr>
            </w:pPr>
            <w:r>
              <w:rPr>
                <w:rFonts w:cs="Times New Roman"/>
                <w:color w:val="000000"/>
                <w:kern w:val="0"/>
                <w:sz w:val="21"/>
                <w:szCs w:val="21"/>
              </w:rPr>
              <w:t>1.76 (1.45~2.13)</w:t>
            </w:r>
          </w:p>
        </w:tc>
        <w:tc>
          <w:tcPr>
            <w:tcW w:w="1093" w:type="dxa"/>
            <w:noWrap/>
            <w:vAlign w:val="center"/>
          </w:tcPr>
          <w:p w14:paraId="2A90E5E9">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3D0DC9C">
            <w:pPr>
              <w:widowControl/>
              <w:jc w:val="center"/>
              <w:rPr>
                <w:rFonts w:cs="Times New Roman"/>
                <w:color w:val="000000"/>
                <w:kern w:val="0"/>
                <w:sz w:val="21"/>
                <w:szCs w:val="21"/>
              </w:rPr>
            </w:pPr>
            <w:r>
              <w:rPr>
                <w:rFonts w:cs="Times New Roman"/>
                <w:color w:val="000000"/>
                <w:kern w:val="0"/>
                <w:sz w:val="21"/>
                <w:szCs w:val="21"/>
              </w:rPr>
              <w:t>0.015</w:t>
            </w:r>
          </w:p>
        </w:tc>
      </w:tr>
      <w:tr w14:paraId="7737C287">
        <w:tblPrEx>
          <w:tblCellMar>
            <w:top w:w="0" w:type="dxa"/>
            <w:left w:w="108" w:type="dxa"/>
            <w:bottom w:w="0" w:type="dxa"/>
            <w:right w:w="108" w:type="dxa"/>
          </w:tblCellMar>
        </w:tblPrEx>
        <w:trPr>
          <w:trHeight w:val="280" w:hRule="atLeast"/>
          <w:jc w:val="center"/>
        </w:trPr>
        <w:tc>
          <w:tcPr>
            <w:tcW w:w="1810" w:type="dxa"/>
            <w:noWrap/>
            <w:vAlign w:val="center"/>
          </w:tcPr>
          <w:p w14:paraId="3A548389">
            <w:pPr>
              <w:widowControl/>
              <w:jc w:val="left"/>
              <w:rPr>
                <w:rFonts w:cs="Times New Roman"/>
                <w:color w:val="000000"/>
                <w:kern w:val="0"/>
                <w:sz w:val="21"/>
                <w:szCs w:val="21"/>
              </w:rPr>
            </w:pPr>
            <w:r>
              <w:rPr>
                <w:rFonts w:cs="Times New Roman"/>
                <w:color w:val="000000"/>
                <w:kern w:val="0"/>
                <w:sz w:val="21"/>
                <w:szCs w:val="21"/>
              </w:rPr>
              <w:t xml:space="preserve">  ＞102</w:t>
            </w:r>
          </w:p>
        </w:tc>
        <w:tc>
          <w:tcPr>
            <w:tcW w:w="1895" w:type="dxa"/>
            <w:noWrap/>
            <w:vAlign w:val="center"/>
          </w:tcPr>
          <w:p w14:paraId="5746E3B4">
            <w:pPr>
              <w:widowControl/>
              <w:jc w:val="center"/>
              <w:rPr>
                <w:rFonts w:cs="Times New Roman"/>
                <w:color w:val="000000"/>
                <w:kern w:val="0"/>
                <w:sz w:val="21"/>
                <w:szCs w:val="21"/>
              </w:rPr>
            </w:pPr>
            <w:r>
              <w:rPr>
                <w:rFonts w:cs="Times New Roman"/>
                <w:color w:val="000000"/>
                <w:kern w:val="0"/>
                <w:sz w:val="21"/>
                <w:szCs w:val="21"/>
              </w:rPr>
              <w:t>7549</w:t>
            </w:r>
          </w:p>
        </w:tc>
        <w:tc>
          <w:tcPr>
            <w:tcW w:w="1284" w:type="dxa"/>
            <w:noWrap/>
            <w:vAlign w:val="center"/>
          </w:tcPr>
          <w:p w14:paraId="559A4E6D">
            <w:pPr>
              <w:widowControl/>
              <w:jc w:val="center"/>
              <w:rPr>
                <w:rFonts w:cs="Times New Roman"/>
                <w:color w:val="000000"/>
                <w:kern w:val="0"/>
                <w:sz w:val="21"/>
                <w:szCs w:val="21"/>
              </w:rPr>
            </w:pPr>
            <w:r>
              <w:rPr>
                <w:rFonts w:cs="Times New Roman"/>
                <w:color w:val="000000"/>
                <w:kern w:val="0"/>
                <w:sz w:val="21"/>
                <w:szCs w:val="21"/>
              </w:rPr>
              <w:t>343 (4.5)</w:t>
            </w:r>
          </w:p>
        </w:tc>
        <w:tc>
          <w:tcPr>
            <w:tcW w:w="1719" w:type="dxa"/>
            <w:noWrap/>
            <w:vAlign w:val="center"/>
          </w:tcPr>
          <w:p w14:paraId="1BBF83DE">
            <w:pPr>
              <w:widowControl/>
              <w:jc w:val="center"/>
              <w:rPr>
                <w:rFonts w:cs="Times New Roman"/>
                <w:color w:val="000000"/>
                <w:kern w:val="0"/>
                <w:sz w:val="21"/>
                <w:szCs w:val="21"/>
              </w:rPr>
            </w:pPr>
            <w:r>
              <w:rPr>
                <w:rFonts w:cs="Times New Roman"/>
                <w:color w:val="000000"/>
                <w:kern w:val="0"/>
                <w:sz w:val="21"/>
                <w:szCs w:val="21"/>
              </w:rPr>
              <w:t>1.44 (1.27~1.63)</w:t>
            </w:r>
          </w:p>
        </w:tc>
        <w:tc>
          <w:tcPr>
            <w:tcW w:w="1093" w:type="dxa"/>
            <w:noWrap/>
            <w:vAlign w:val="center"/>
          </w:tcPr>
          <w:p w14:paraId="1D328E14">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3781521C">
            <w:pPr>
              <w:widowControl/>
              <w:jc w:val="center"/>
              <w:rPr>
                <w:rFonts w:cs="Times New Roman"/>
                <w:color w:val="000000"/>
                <w:kern w:val="0"/>
                <w:sz w:val="21"/>
                <w:szCs w:val="21"/>
              </w:rPr>
            </w:pPr>
          </w:p>
        </w:tc>
      </w:tr>
      <w:tr w14:paraId="1C36F85A">
        <w:tblPrEx>
          <w:tblCellMar>
            <w:top w:w="0" w:type="dxa"/>
            <w:left w:w="108" w:type="dxa"/>
            <w:bottom w:w="0" w:type="dxa"/>
            <w:right w:w="108" w:type="dxa"/>
          </w:tblCellMar>
        </w:tblPrEx>
        <w:trPr>
          <w:trHeight w:val="280" w:hRule="atLeast"/>
          <w:jc w:val="center"/>
        </w:trPr>
        <w:tc>
          <w:tcPr>
            <w:tcW w:w="1810" w:type="dxa"/>
            <w:noWrap/>
            <w:vAlign w:val="center"/>
          </w:tcPr>
          <w:p w14:paraId="312EA463">
            <w:pPr>
              <w:widowControl/>
              <w:jc w:val="left"/>
              <w:rPr>
                <w:rFonts w:cs="Times New Roman"/>
                <w:color w:val="000000"/>
                <w:kern w:val="0"/>
                <w:sz w:val="21"/>
                <w:szCs w:val="21"/>
              </w:rPr>
            </w:pPr>
            <w:r>
              <w:rPr>
                <w:rFonts w:cs="Times New Roman"/>
                <w:color w:val="000000"/>
                <w:kern w:val="0"/>
                <w:sz w:val="21"/>
                <w:szCs w:val="21"/>
              </w:rPr>
              <w:t>HbA1c,</w:t>
            </w:r>
            <w:r>
              <w:rPr>
                <w:rFonts w:hint="eastAsia" w:cs="Times New Roman"/>
                <w:color w:val="000000"/>
                <w:kern w:val="0"/>
                <w:sz w:val="21"/>
                <w:szCs w:val="21"/>
              </w:rPr>
              <w:t xml:space="preserve"> </w:t>
            </w:r>
            <w:r>
              <w:rPr>
                <w:rFonts w:cs="Times New Roman"/>
                <w:color w:val="000000"/>
                <w:kern w:val="0"/>
                <w:sz w:val="21"/>
                <w:szCs w:val="21"/>
              </w:rPr>
              <w:t>%</w:t>
            </w:r>
          </w:p>
        </w:tc>
        <w:tc>
          <w:tcPr>
            <w:tcW w:w="1895" w:type="dxa"/>
            <w:noWrap/>
            <w:vAlign w:val="center"/>
          </w:tcPr>
          <w:p w14:paraId="656540CE">
            <w:pPr>
              <w:widowControl/>
              <w:jc w:val="center"/>
              <w:rPr>
                <w:rFonts w:cs="Times New Roman"/>
                <w:color w:val="000000"/>
                <w:kern w:val="0"/>
                <w:sz w:val="21"/>
                <w:szCs w:val="21"/>
              </w:rPr>
            </w:pPr>
          </w:p>
        </w:tc>
        <w:tc>
          <w:tcPr>
            <w:tcW w:w="1284" w:type="dxa"/>
            <w:noWrap/>
            <w:vAlign w:val="center"/>
          </w:tcPr>
          <w:p w14:paraId="78740CAD">
            <w:pPr>
              <w:widowControl/>
              <w:jc w:val="center"/>
              <w:rPr>
                <w:rFonts w:eastAsia="Times New Roman" w:cs="Times New Roman"/>
                <w:color w:val="auto"/>
                <w:kern w:val="0"/>
                <w:sz w:val="21"/>
                <w:szCs w:val="21"/>
              </w:rPr>
            </w:pPr>
          </w:p>
        </w:tc>
        <w:tc>
          <w:tcPr>
            <w:tcW w:w="1719" w:type="dxa"/>
            <w:noWrap/>
            <w:vAlign w:val="center"/>
          </w:tcPr>
          <w:p w14:paraId="171753FE">
            <w:pPr>
              <w:widowControl/>
              <w:jc w:val="center"/>
              <w:rPr>
                <w:rFonts w:eastAsia="Times New Roman" w:cs="Times New Roman"/>
                <w:color w:val="auto"/>
                <w:kern w:val="0"/>
                <w:sz w:val="21"/>
                <w:szCs w:val="21"/>
              </w:rPr>
            </w:pPr>
          </w:p>
        </w:tc>
        <w:tc>
          <w:tcPr>
            <w:tcW w:w="1093" w:type="dxa"/>
            <w:noWrap/>
            <w:vAlign w:val="center"/>
          </w:tcPr>
          <w:p w14:paraId="74FDF696">
            <w:pPr>
              <w:widowControl/>
              <w:jc w:val="center"/>
              <w:rPr>
                <w:rFonts w:eastAsia="Times New Roman" w:cs="Times New Roman"/>
                <w:color w:val="auto"/>
                <w:kern w:val="0"/>
                <w:sz w:val="21"/>
                <w:szCs w:val="21"/>
              </w:rPr>
            </w:pPr>
          </w:p>
        </w:tc>
        <w:tc>
          <w:tcPr>
            <w:tcW w:w="1338" w:type="dxa"/>
            <w:noWrap/>
            <w:vAlign w:val="center"/>
          </w:tcPr>
          <w:p w14:paraId="4DE9C4FD">
            <w:pPr>
              <w:widowControl/>
              <w:jc w:val="center"/>
              <w:rPr>
                <w:rFonts w:eastAsia="Times New Roman" w:cs="Times New Roman"/>
                <w:color w:val="auto"/>
                <w:kern w:val="0"/>
                <w:sz w:val="21"/>
                <w:szCs w:val="21"/>
              </w:rPr>
            </w:pPr>
          </w:p>
        </w:tc>
      </w:tr>
      <w:tr w14:paraId="1964278B">
        <w:tblPrEx>
          <w:tblCellMar>
            <w:top w:w="0" w:type="dxa"/>
            <w:left w:w="108" w:type="dxa"/>
            <w:bottom w:w="0" w:type="dxa"/>
            <w:right w:w="108" w:type="dxa"/>
          </w:tblCellMar>
        </w:tblPrEx>
        <w:trPr>
          <w:trHeight w:val="280" w:hRule="atLeast"/>
          <w:jc w:val="center"/>
        </w:trPr>
        <w:tc>
          <w:tcPr>
            <w:tcW w:w="1810" w:type="dxa"/>
            <w:noWrap/>
            <w:vAlign w:val="center"/>
          </w:tcPr>
          <w:p w14:paraId="03E25164">
            <w:pPr>
              <w:widowControl/>
              <w:jc w:val="left"/>
              <w:rPr>
                <w:rFonts w:cs="Times New Roman"/>
                <w:color w:val="000000"/>
                <w:kern w:val="0"/>
                <w:sz w:val="21"/>
                <w:szCs w:val="21"/>
              </w:rPr>
            </w:pPr>
            <w:r>
              <w:rPr>
                <w:rFonts w:cs="Times New Roman"/>
                <w:color w:val="000000"/>
                <w:kern w:val="0"/>
                <w:sz w:val="21"/>
                <w:szCs w:val="21"/>
              </w:rPr>
              <w:t xml:space="preserve">  ≤5.6</w:t>
            </w:r>
          </w:p>
        </w:tc>
        <w:tc>
          <w:tcPr>
            <w:tcW w:w="1895" w:type="dxa"/>
            <w:noWrap/>
            <w:vAlign w:val="center"/>
          </w:tcPr>
          <w:p w14:paraId="1C5921C0">
            <w:pPr>
              <w:widowControl/>
              <w:jc w:val="center"/>
              <w:rPr>
                <w:rFonts w:cs="Times New Roman"/>
                <w:color w:val="000000"/>
                <w:kern w:val="0"/>
                <w:sz w:val="21"/>
                <w:szCs w:val="21"/>
              </w:rPr>
            </w:pPr>
            <w:r>
              <w:rPr>
                <w:rFonts w:cs="Times New Roman"/>
                <w:color w:val="000000"/>
                <w:kern w:val="0"/>
                <w:sz w:val="21"/>
                <w:szCs w:val="21"/>
              </w:rPr>
              <w:t>7479</w:t>
            </w:r>
          </w:p>
        </w:tc>
        <w:tc>
          <w:tcPr>
            <w:tcW w:w="1284" w:type="dxa"/>
            <w:noWrap/>
            <w:vAlign w:val="center"/>
          </w:tcPr>
          <w:p w14:paraId="227093F9">
            <w:pPr>
              <w:widowControl/>
              <w:jc w:val="center"/>
              <w:rPr>
                <w:rFonts w:cs="Times New Roman"/>
                <w:color w:val="000000"/>
                <w:kern w:val="0"/>
                <w:sz w:val="21"/>
                <w:szCs w:val="21"/>
              </w:rPr>
            </w:pPr>
            <w:r>
              <w:rPr>
                <w:rFonts w:cs="Times New Roman"/>
                <w:color w:val="000000"/>
                <w:kern w:val="0"/>
                <w:sz w:val="21"/>
                <w:szCs w:val="21"/>
              </w:rPr>
              <w:t>149 (2)</w:t>
            </w:r>
          </w:p>
        </w:tc>
        <w:tc>
          <w:tcPr>
            <w:tcW w:w="1719" w:type="dxa"/>
            <w:noWrap/>
            <w:vAlign w:val="center"/>
          </w:tcPr>
          <w:p w14:paraId="53E98D66">
            <w:pPr>
              <w:widowControl/>
              <w:jc w:val="center"/>
              <w:rPr>
                <w:rFonts w:cs="Times New Roman"/>
                <w:color w:val="000000"/>
                <w:kern w:val="0"/>
                <w:sz w:val="21"/>
                <w:szCs w:val="21"/>
              </w:rPr>
            </w:pPr>
            <w:r>
              <w:rPr>
                <w:rFonts w:cs="Times New Roman"/>
                <w:color w:val="000000"/>
                <w:kern w:val="0"/>
                <w:sz w:val="21"/>
                <w:szCs w:val="21"/>
              </w:rPr>
              <w:t>1.59 (1.32~1.9)</w:t>
            </w:r>
          </w:p>
        </w:tc>
        <w:tc>
          <w:tcPr>
            <w:tcW w:w="1093" w:type="dxa"/>
            <w:noWrap/>
            <w:vAlign w:val="center"/>
          </w:tcPr>
          <w:p w14:paraId="41E26902">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25E33B3C">
            <w:pPr>
              <w:widowControl/>
              <w:jc w:val="center"/>
              <w:rPr>
                <w:rFonts w:cs="Times New Roman"/>
                <w:color w:val="000000"/>
                <w:kern w:val="0"/>
                <w:sz w:val="21"/>
                <w:szCs w:val="21"/>
              </w:rPr>
            </w:pPr>
            <w:r>
              <w:rPr>
                <w:rFonts w:cs="Times New Roman"/>
                <w:color w:val="000000"/>
                <w:kern w:val="0"/>
                <w:sz w:val="21"/>
                <w:szCs w:val="21"/>
              </w:rPr>
              <w:t>0.079</w:t>
            </w:r>
          </w:p>
        </w:tc>
      </w:tr>
      <w:tr w14:paraId="225942E5">
        <w:tblPrEx>
          <w:tblCellMar>
            <w:top w:w="0" w:type="dxa"/>
            <w:left w:w="108" w:type="dxa"/>
            <w:bottom w:w="0" w:type="dxa"/>
            <w:right w:w="108" w:type="dxa"/>
          </w:tblCellMar>
        </w:tblPrEx>
        <w:trPr>
          <w:trHeight w:val="280" w:hRule="atLeast"/>
          <w:jc w:val="center"/>
        </w:trPr>
        <w:tc>
          <w:tcPr>
            <w:tcW w:w="1810" w:type="dxa"/>
            <w:noWrap/>
            <w:vAlign w:val="center"/>
          </w:tcPr>
          <w:p w14:paraId="324DC28F">
            <w:pPr>
              <w:widowControl/>
              <w:jc w:val="left"/>
              <w:rPr>
                <w:rFonts w:cs="Times New Roman"/>
                <w:color w:val="000000"/>
                <w:kern w:val="0"/>
                <w:sz w:val="21"/>
                <w:szCs w:val="21"/>
              </w:rPr>
            </w:pPr>
            <w:r>
              <w:rPr>
                <w:rFonts w:cs="Times New Roman"/>
                <w:color w:val="000000"/>
                <w:kern w:val="0"/>
                <w:sz w:val="21"/>
                <w:szCs w:val="21"/>
              </w:rPr>
              <w:t xml:space="preserve">  ＞5.6</w:t>
            </w:r>
          </w:p>
        </w:tc>
        <w:tc>
          <w:tcPr>
            <w:tcW w:w="1895" w:type="dxa"/>
            <w:noWrap/>
            <w:vAlign w:val="center"/>
          </w:tcPr>
          <w:p w14:paraId="6C2DB13A">
            <w:pPr>
              <w:widowControl/>
              <w:jc w:val="center"/>
              <w:rPr>
                <w:rFonts w:cs="Times New Roman"/>
                <w:color w:val="000000"/>
                <w:kern w:val="0"/>
                <w:sz w:val="21"/>
                <w:szCs w:val="21"/>
              </w:rPr>
            </w:pPr>
            <w:r>
              <w:rPr>
                <w:rFonts w:cs="Times New Roman"/>
                <w:color w:val="000000"/>
                <w:kern w:val="0"/>
                <w:sz w:val="21"/>
                <w:szCs w:val="21"/>
              </w:rPr>
              <w:t>7538</w:t>
            </w:r>
          </w:p>
        </w:tc>
        <w:tc>
          <w:tcPr>
            <w:tcW w:w="1284" w:type="dxa"/>
            <w:noWrap/>
            <w:vAlign w:val="center"/>
          </w:tcPr>
          <w:p w14:paraId="2FF4F0A3">
            <w:pPr>
              <w:widowControl/>
              <w:jc w:val="center"/>
              <w:rPr>
                <w:rFonts w:cs="Times New Roman"/>
                <w:color w:val="000000"/>
                <w:kern w:val="0"/>
                <w:sz w:val="21"/>
                <w:szCs w:val="21"/>
              </w:rPr>
            </w:pPr>
            <w:r>
              <w:rPr>
                <w:rFonts w:cs="Times New Roman"/>
                <w:color w:val="000000"/>
                <w:kern w:val="0"/>
                <w:sz w:val="21"/>
                <w:szCs w:val="21"/>
              </w:rPr>
              <w:t>360 (4.8)</w:t>
            </w:r>
          </w:p>
        </w:tc>
        <w:tc>
          <w:tcPr>
            <w:tcW w:w="1719" w:type="dxa"/>
            <w:noWrap/>
            <w:vAlign w:val="center"/>
          </w:tcPr>
          <w:p w14:paraId="62C06CB6">
            <w:pPr>
              <w:widowControl/>
              <w:jc w:val="center"/>
              <w:rPr>
                <w:rFonts w:cs="Times New Roman"/>
                <w:color w:val="000000"/>
                <w:kern w:val="0"/>
                <w:sz w:val="21"/>
                <w:szCs w:val="21"/>
              </w:rPr>
            </w:pPr>
            <w:r>
              <w:rPr>
                <w:rFonts w:cs="Times New Roman"/>
                <w:color w:val="000000"/>
                <w:kern w:val="0"/>
                <w:sz w:val="21"/>
                <w:szCs w:val="21"/>
              </w:rPr>
              <w:t>1.46 (1.29~1.66)</w:t>
            </w:r>
          </w:p>
        </w:tc>
        <w:tc>
          <w:tcPr>
            <w:tcW w:w="1093" w:type="dxa"/>
            <w:noWrap/>
            <w:vAlign w:val="center"/>
          </w:tcPr>
          <w:p w14:paraId="0B17779C">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E5447F5">
            <w:pPr>
              <w:widowControl/>
              <w:jc w:val="center"/>
              <w:rPr>
                <w:rFonts w:cs="Times New Roman"/>
                <w:color w:val="000000"/>
                <w:kern w:val="0"/>
                <w:sz w:val="21"/>
                <w:szCs w:val="21"/>
              </w:rPr>
            </w:pPr>
          </w:p>
        </w:tc>
      </w:tr>
      <w:tr w14:paraId="1F386EBC">
        <w:tblPrEx>
          <w:tblCellMar>
            <w:top w:w="0" w:type="dxa"/>
            <w:left w:w="108" w:type="dxa"/>
            <w:bottom w:w="0" w:type="dxa"/>
            <w:right w:w="108" w:type="dxa"/>
          </w:tblCellMar>
        </w:tblPrEx>
        <w:trPr>
          <w:trHeight w:val="280" w:hRule="atLeast"/>
          <w:jc w:val="center"/>
        </w:trPr>
        <w:tc>
          <w:tcPr>
            <w:tcW w:w="1810" w:type="dxa"/>
            <w:noWrap/>
            <w:vAlign w:val="center"/>
          </w:tcPr>
          <w:p w14:paraId="55680A35">
            <w:pPr>
              <w:widowControl/>
              <w:jc w:val="left"/>
              <w:rPr>
                <w:rFonts w:cs="Times New Roman"/>
                <w:color w:val="000000"/>
                <w:kern w:val="0"/>
                <w:sz w:val="21"/>
                <w:szCs w:val="21"/>
              </w:rPr>
            </w:pPr>
            <w:r>
              <w:rPr>
                <w:rFonts w:cs="Times New Roman"/>
                <w:color w:val="000000"/>
                <w:kern w:val="0"/>
                <w:sz w:val="21"/>
                <w:szCs w:val="21"/>
              </w:rPr>
              <w:t>BUN,mg/dL</w:t>
            </w:r>
          </w:p>
        </w:tc>
        <w:tc>
          <w:tcPr>
            <w:tcW w:w="1895" w:type="dxa"/>
            <w:noWrap/>
            <w:vAlign w:val="center"/>
          </w:tcPr>
          <w:p w14:paraId="135C63E1">
            <w:pPr>
              <w:widowControl/>
              <w:jc w:val="center"/>
              <w:rPr>
                <w:rFonts w:cs="Times New Roman"/>
                <w:color w:val="000000"/>
                <w:kern w:val="0"/>
                <w:sz w:val="21"/>
                <w:szCs w:val="21"/>
              </w:rPr>
            </w:pPr>
          </w:p>
        </w:tc>
        <w:tc>
          <w:tcPr>
            <w:tcW w:w="1284" w:type="dxa"/>
            <w:noWrap/>
            <w:vAlign w:val="center"/>
          </w:tcPr>
          <w:p w14:paraId="5A70734C">
            <w:pPr>
              <w:widowControl/>
              <w:jc w:val="center"/>
              <w:rPr>
                <w:rFonts w:eastAsia="Times New Roman" w:cs="Times New Roman"/>
                <w:color w:val="auto"/>
                <w:kern w:val="0"/>
                <w:sz w:val="21"/>
                <w:szCs w:val="21"/>
              </w:rPr>
            </w:pPr>
          </w:p>
        </w:tc>
        <w:tc>
          <w:tcPr>
            <w:tcW w:w="1719" w:type="dxa"/>
            <w:noWrap/>
            <w:vAlign w:val="center"/>
          </w:tcPr>
          <w:p w14:paraId="27040C2B">
            <w:pPr>
              <w:widowControl/>
              <w:jc w:val="center"/>
              <w:rPr>
                <w:rFonts w:eastAsia="Times New Roman" w:cs="Times New Roman"/>
                <w:color w:val="auto"/>
                <w:kern w:val="0"/>
                <w:sz w:val="21"/>
                <w:szCs w:val="21"/>
              </w:rPr>
            </w:pPr>
          </w:p>
        </w:tc>
        <w:tc>
          <w:tcPr>
            <w:tcW w:w="1093" w:type="dxa"/>
            <w:noWrap/>
            <w:vAlign w:val="center"/>
          </w:tcPr>
          <w:p w14:paraId="61539420">
            <w:pPr>
              <w:widowControl/>
              <w:jc w:val="center"/>
              <w:rPr>
                <w:rFonts w:eastAsia="Times New Roman" w:cs="Times New Roman"/>
                <w:color w:val="auto"/>
                <w:kern w:val="0"/>
                <w:sz w:val="21"/>
                <w:szCs w:val="21"/>
              </w:rPr>
            </w:pPr>
          </w:p>
        </w:tc>
        <w:tc>
          <w:tcPr>
            <w:tcW w:w="1338" w:type="dxa"/>
            <w:noWrap/>
            <w:vAlign w:val="center"/>
          </w:tcPr>
          <w:p w14:paraId="5E668CE7">
            <w:pPr>
              <w:widowControl/>
              <w:jc w:val="center"/>
              <w:rPr>
                <w:rFonts w:eastAsia="Times New Roman" w:cs="Times New Roman"/>
                <w:color w:val="auto"/>
                <w:kern w:val="0"/>
                <w:sz w:val="21"/>
                <w:szCs w:val="21"/>
              </w:rPr>
            </w:pPr>
          </w:p>
        </w:tc>
      </w:tr>
      <w:tr w14:paraId="4C7316A3">
        <w:tblPrEx>
          <w:tblCellMar>
            <w:top w:w="0" w:type="dxa"/>
            <w:left w:w="108" w:type="dxa"/>
            <w:bottom w:w="0" w:type="dxa"/>
            <w:right w:w="108" w:type="dxa"/>
          </w:tblCellMar>
        </w:tblPrEx>
        <w:trPr>
          <w:trHeight w:val="280" w:hRule="atLeast"/>
          <w:jc w:val="center"/>
        </w:trPr>
        <w:tc>
          <w:tcPr>
            <w:tcW w:w="1810" w:type="dxa"/>
            <w:noWrap/>
            <w:vAlign w:val="center"/>
          </w:tcPr>
          <w:p w14:paraId="52FCDC97">
            <w:pPr>
              <w:widowControl/>
              <w:jc w:val="left"/>
              <w:rPr>
                <w:rFonts w:cs="Times New Roman"/>
                <w:color w:val="000000"/>
                <w:kern w:val="0"/>
                <w:sz w:val="21"/>
                <w:szCs w:val="21"/>
              </w:rPr>
            </w:pPr>
            <w:r>
              <w:rPr>
                <w:rFonts w:cs="Times New Roman"/>
                <w:color w:val="000000"/>
                <w:kern w:val="0"/>
                <w:sz w:val="21"/>
                <w:szCs w:val="21"/>
              </w:rPr>
              <w:t xml:space="preserve">  ≤13.0</w:t>
            </w:r>
          </w:p>
        </w:tc>
        <w:tc>
          <w:tcPr>
            <w:tcW w:w="1895" w:type="dxa"/>
            <w:noWrap/>
            <w:vAlign w:val="center"/>
          </w:tcPr>
          <w:p w14:paraId="49A772D5">
            <w:pPr>
              <w:widowControl/>
              <w:jc w:val="center"/>
              <w:rPr>
                <w:rFonts w:cs="Times New Roman"/>
                <w:color w:val="000000"/>
                <w:kern w:val="0"/>
                <w:sz w:val="21"/>
                <w:szCs w:val="21"/>
              </w:rPr>
            </w:pPr>
            <w:r>
              <w:rPr>
                <w:rFonts w:cs="Times New Roman"/>
                <w:color w:val="000000"/>
                <w:kern w:val="0"/>
                <w:sz w:val="21"/>
                <w:szCs w:val="21"/>
              </w:rPr>
              <w:t>7178</w:t>
            </w:r>
          </w:p>
        </w:tc>
        <w:tc>
          <w:tcPr>
            <w:tcW w:w="1284" w:type="dxa"/>
            <w:noWrap/>
            <w:vAlign w:val="center"/>
          </w:tcPr>
          <w:p w14:paraId="37ED3763">
            <w:pPr>
              <w:widowControl/>
              <w:jc w:val="center"/>
              <w:rPr>
                <w:rFonts w:cs="Times New Roman"/>
                <w:color w:val="000000"/>
                <w:kern w:val="0"/>
                <w:sz w:val="21"/>
                <w:szCs w:val="21"/>
              </w:rPr>
            </w:pPr>
            <w:r>
              <w:rPr>
                <w:rFonts w:cs="Times New Roman"/>
                <w:color w:val="000000"/>
                <w:kern w:val="0"/>
                <w:sz w:val="21"/>
                <w:szCs w:val="21"/>
              </w:rPr>
              <w:t>133 (1.9)</w:t>
            </w:r>
          </w:p>
        </w:tc>
        <w:tc>
          <w:tcPr>
            <w:tcW w:w="1719" w:type="dxa"/>
            <w:noWrap/>
            <w:vAlign w:val="center"/>
          </w:tcPr>
          <w:p w14:paraId="22729AEC">
            <w:pPr>
              <w:widowControl/>
              <w:jc w:val="center"/>
              <w:rPr>
                <w:rFonts w:cs="Times New Roman"/>
                <w:color w:val="000000"/>
                <w:kern w:val="0"/>
                <w:sz w:val="21"/>
                <w:szCs w:val="21"/>
              </w:rPr>
            </w:pPr>
            <w:r>
              <w:rPr>
                <w:rFonts w:cs="Times New Roman"/>
                <w:color w:val="000000"/>
                <w:kern w:val="0"/>
                <w:sz w:val="21"/>
                <w:szCs w:val="21"/>
              </w:rPr>
              <w:t>1.51 (1.23~1.85)</w:t>
            </w:r>
          </w:p>
        </w:tc>
        <w:tc>
          <w:tcPr>
            <w:tcW w:w="1093" w:type="dxa"/>
            <w:noWrap/>
            <w:vAlign w:val="center"/>
          </w:tcPr>
          <w:p w14:paraId="21AE0DED">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2D590DCC">
            <w:pPr>
              <w:widowControl/>
              <w:jc w:val="center"/>
              <w:rPr>
                <w:rFonts w:cs="Times New Roman"/>
                <w:color w:val="000000"/>
                <w:kern w:val="0"/>
                <w:sz w:val="21"/>
                <w:szCs w:val="21"/>
              </w:rPr>
            </w:pPr>
            <w:r>
              <w:rPr>
                <w:rFonts w:cs="Times New Roman"/>
                <w:color w:val="000000"/>
                <w:kern w:val="0"/>
                <w:sz w:val="21"/>
                <w:szCs w:val="21"/>
              </w:rPr>
              <w:t>0.251</w:t>
            </w:r>
          </w:p>
        </w:tc>
      </w:tr>
      <w:tr w14:paraId="18D8DCC4">
        <w:tblPrEx>
          <w:tblCellMar>
            <w:top w:w="0" w:type="dxa"/>
            <w:left w:w="108" w:type="dxa"/>
            <w:bottom w:w="0" w:type="dxa"/>
            <w:right w:w="108" w:type="dxa"/>
          </w:tblCellMar>
        </w:tblPrEx>
        <w:trPr>
          <w:trHeight w:val="280" w:hRule="atLeast"/>
          <w:jc w:val="center"/>
        </w:trPr>
        <w:tc>
          <w:tcPr>
            <w:tcW w:w="1810" w:type="dxa"/>
            <w:noWrap/>
            <w:vAlign w:val="center"/>
          </w:tcPr>
          <w:p w14:paraId="763848A6">
            <w:pPr>
              <w:widowControl/>
              <w:jc w:val="left"/>
              <w:rPr>
                <w:rFonts w:cs="Times New Roman"/>
                <w:color w:val="000000"/>
                <w:kern w:val="0"/>
                <w:sz w:val="21"/>
                <w:szCs w:val="21"/>
              </w:rPr>
            </w:pPr>
            <w:r>
              <w:rPr>
                <w:rFonts w:cs="Times New Roman"/>
                <w:color w:val="000000"/>
                <w:kern w:val="0"/>
                <w:sz w:val="21"/>
                <w:szCs w:val="21"/>
              </w:rPr>
              <w:t xml:space="preserve">  ＞13.0</w:t>
            </w:r>
          </w:p>
        </w:tc>
        <w:tc>
          <w:tcPr>
            <w:tcW w:w="1895" w:type="dxa"/>
            <w:noWrap/>
            <w:vAlign w:val="center"/>
          </w:tcPr>
          <w:p w14:paraId="6847F58C">
            <w:pPr>
              <w:widowControl/>
              <w:jc w:val="center"/>
              <w:rPr>
                <w:rFonts w:cs="Times New Roman"/>
                <w:color w:val="000000"/>
                <w:kern w:val="0"/>
                <w:sz w:val="21"/>
                <w:szCs w:val="21"/>
              </w:rPr>
            </w:pPr>
            <w:r>
              <w:rPr>
                <w:rFonts w:cs="Times New Roman"/>
                <w:color w:val="000000"/>
                <w:kern w:val="0"/>
                <w:sz w:val="21"/>
                <w:szCs w:val="21"/>
              </w:rPr>
              <w:t>7812</w:t>
            </w:r>
          </w:p>
        </w:tc>
        <w:tc>
          <w:tcPr>
            <w:tcW w:w="1284" w:type="dxa"/>
            <w:noWrap/>
            <w:vAlign w:val="center"/>
          </w:tcPr>
          <w:p w14:paraId="2BA3F5C5">
            <w:pPr>
              <w:widowControl/>
              <w:jc w:val="center"/>
              <w:rPr>
                <w:rFonts w:cs="Times New Roman"/>
                <w:color w:val="000000"/>
                <w:kern w:val="0"/>
                <w:sz w:val="21"/>
                <w:szCs w:val="21"/>
              </w:rPr>
            </w:pPr>
            <w:r>
              <w:rPr>
                <w:rFonts w:cs="Times New Roman"/>
                <w:color w:val="000000"/>
                <w:kern w:val="0"/>
                <w:sz w:val="21"/>
                <w:szCs w:val="21"/>
              </w:rPr>
              <w:t>376 (4.8)</w:t>
            </w:r>
          </w:p>
        </w:tc>
        <w:tc>
          <w:tcPr>
            <w:tcW w:w="1719" w:type="dxa"/>
            <w:noWrap/>
            <w:vAlign w:val="center"/>
          </w:tcPr>
          <w:p w14:paraId="4C184E59">
            <w:pPr>
              <w:widowControl/>
              <w:jc w:val="center"/>
              <w:rPr>
                <w:rFonts w:cs="Times New Roman"/>
                <w:color w:val="000000"/>
                <w:kern w:val="0"/>
                <w:sz w:val="21"/>
                <w:szCs w:val="21"/>
              </w:rPr>
            </w:pPr>
            <w:r>
              <w:rPr>
                <w:rFonts w:cs="Times New Roman"/>
                <w:color w:val="000000"/>
                <w:kern w:val="0"/>
                <w:sz w:val="21"/>
                <w:szCs w:val="21"/>
              </w:rPr>
              <w:t>1.48 (1.31~1.67)</w:t>
            </w:r>
          </w:p>
        </w:tc>
        <w:tc>
          <w:tcPr>
            <w:tcW w:w="1093" w:type="dxa"/>
            <w:noWrap/>
            <w:vAlign w:val="center"/>
          </w:tcPr>
          <w:p w14:paraId="5B82869F">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397356E2">
            <w:pPr>
              <w:widowControl/>
              <w:jc w:val="center"/>
              <w:rPr>
                <w:rFonts w:cs="Times New Roman"/>
                <w:color w:val="000000"/>
                <w:kern w:val="0"/>
                <w:sz w:val="21"/>
                <w:szCs w:val="21"/>
              </w:rPr>
            </w:pPr>
          </w:p>
        </w:tc>
      </w:tr>
      <w:tr w14:paraId="6699EB79">
        <w:tblPrEx>
          <w:tblCellMar>
            <w:top w:w="0" w:type="dxa"/>
            <w:left w:w="108" w:type="dxa"/>
            <w:bottom w:w="0" w:type="dxa"/>
            <w:right w:w="108" w:type="dxa"/>
          </w:tblCellMar>
        </w:tblPrEx>
        <w:trPr>
          <w:trHeight w:val="280" w:hRule="atLeast"/>
          <w:jc w:val="center"/>
        </w:trPr>
        <w:tc>
          <w:tcPr>
            <w:tcW w:w="1810" w:type="dxa"/>
            <w:noWrap/>
            <w:vAlign w:val="center"/>
          </w:tcPr>
          <w:p w14:paraId="529A1BAD">
            <w:pPr>
              <w:widowControl/>
              <w:jc w:val="left"/>
              <w:rPr>
                <w:rFonts w:cs="Times New Roman"/>
                <w:color w:val="000000"/>
                <w:kern w:val="0"/>
                <w:sz w:val="21"/>
                <w:szCs w:val="21"/>
              </w:rPr>
            </w:pPr>
            <w:r>
              <w:rPr>
                <w:rFonts w:cs="Times New Roman"/>
                <w:color w:val="000000"/>
                <w:kern w:val="0"/>
                <w:sz w:val="21"/>
                <w:szCs w:val="21"/>
              </w:rPr>
              <w:t>Scr,</w:t>
            </w:r>
            <w:r>
              <w:rPr>
                <w:rFonts w:hint="eastAsia" w:cs="Times New Roman"/>
                <w:color w:val="000000"/>
                <w:kern w:val="0"/>
                <w:sz w:val="21"/>
                <w:szCs w:val="21"/>
              </w:rPr>
              <w:t xml:space="preserve"> </w:t>
            </w:r>
            <w:r>
              <w:rPr>
                <w:rFonts w:cs="Times New Roman"/>
                <w:color w:val="000000"/>
                <w:kern w:val="0"/>
                <w:sz w:val="21"/>
                <w:szCs w:val="21"/>
              </w:rPr>
              <w:t>mg/dL</w:t>
            </w:r>
          </w:p>
        </w:tc>
        <w:tc>
          <w:tcPr>
            <w:tcW w:w="1895" w:type="dxa"/>
            <w:noWrap/>
            <w:vAlign w:val="center"/>
          </w:tcPr>
          <w:p w14:paraId="7D2498D5">
            <w:pPr>
              <w:widowControl/>
              <w:jc w:val="center"/>
              <w:rPr>
                <w:rFonts w:cs="Times New Roman"/>
                <w:color w:val="000000"/>
                <w:kern w:val="0"/>
                <w:sz w:val="21"/>
                <w:szCs w:val="21"/>
              </w:rPr>
            </w:pPr>
          </w:p>
        </w:tc>
        <w:tc>
          <w:tcPr>
            <w:tcW w:w="1284" w:type="dxa"/>
            <w:noWrap/>
            <w:vAlign w:val="center"/>
          </w:tcPr>
          <w:p w14:paraId="00080D2F">
            <w:pPr>
              <w:widowControl/>
              <w:jc w:val="center"/>
              <w:rPr>
                <w:rFonts w:eastAsia="Times New Roman" w:cs="Times New Roman"/>
                <w:color w:val="auto"/>
                <w:kern w:val="0"/>
                <w:sz w:val="21"/>
                <w:szCs w:val="21"/>
              </w:rPr>
            </w:pPr>
          </w:p>
        </w:tc>
        <w:tc>
          <w:tcPr>
            <w:tcW w:w="1719" w:type="dxa"/>
            <w:noWrap/>
            <w:vAlign w:val="center"/>
          </w:tcPr>
          <w:p w14:paraId="4FEE6378">
            <w:pPr>
              <w:widowControl/>
              <w:jc w:val="center"/>
              <w:rPr>
                <w:rFonts w:eastAsia="Times New Roman" w:cs="Times New Roman"/>
                <w:color w:val="auto"/>
                <w:kern w:val="0"/>
                <w:sz w:val="21"/>
                <w:szCs w:val="21"/>
              </w:rPr>
            </w:pPr>
          </w:p>
        </w:tc>
        <w:tc>
          <w:tcPr>
            <w:tcW w:w="1093" w:type="dxa"/>
            <w:noWrap/>
            <w:vAlign w:val="center"/>
          </w:tcPr>
          <w:p w14:paraId="076AD08F">
            <w:pPr>
              <w:widowControl/>
              <w:jc w:val="center"/>
              <w:rPr>
                <w:rFonts w:eastAsia="Times New Roman" w:cs="Times New Roman"/>
                <w:color w:val="auto"/>
                <w:kern w:val="0"/>
                <w:sz w:val="21"/>
                <w:szCs w:val="21"/>
              </w:rPr>
            </w:pPr>
          </w:p>
        </w:tc>
        <w:tc>
          <w:tcPr>
            <w:tcW w:w="1338" w:type="dxa"/>
            <w:noWrap/>
            <w:vAlign w:val="center"/>
          </w:tcPr>
          <w:p w14:paraId="27CFB686">
            <w:pPr>
              <w:widowControl/>
              <w:jc w:val="center"/>
              <w:rPr>
                <w:rFonts w:eastAsia="Times New Roman" w:cs="Times New Roman"/>
                <w:color w:val="auto"/>
                <w:kern w:val="0"/>
                <w:sz w:val="21"/>
                <w:szCs w:val="21"/>
              </w:rPr>
            </w:pPr>
          </w:p>
        </w:tc>
      </w:tr>
      <w:tr w14:paraId="0FEF5C3B">
        <w:tblPrEx>
          <w:tblCellMar>
            <w:top w:w="0" w:type="dxa"/>
            <w:left w:w="108" w:type="dxa"/>
            <w:bottom w:w="0" w:type="dxa"/>
            <w:right w:w="108" w:type="dxa"/>
          </w:tblCellMar>
        </w:tblPrEx>
        <w:trPr>
          <w:trHeight w:val="280" w:hRule="atLeast"/>
          <w:jc w:val="center"/>
        </w:trPr>
        <w:tc>
          <w:tcPr>
            <w:tcW w:w="1810" w:type="dxa"/>
            <w:noWrap/>
            <w:vAlign w:val="center"/>
          </w:tcPr>
          <w:p w14:paraId="39EB7506">
            <w:pPr>
              <w:widowControl/>
              <w:jc w:val="left"/>
              <w:rPr>
                <w:rFonts w:cs="Times New Roman"/>
                <w:color w:val="000000"/>
                <w:kern w:val="0"/>
                <w:sz w:val="21"/>
                <w:szCs w:val="21"/>
              </w:rPr>
            </w:pPr>
            <w:r>
              <w:rPr>
                <w:rFonts w:cs="Times New Roman"/>
                <w:color w:val="000000"/>
                <w:kern w:val="0"/>
                <w:sz w:val="21"/>
                <w:szCs w:val="21"/>
              </w:rPr>
              <w:t xml:space="preserve">  ≤0.84</w:t>
            </w:r>
          </w:p>
        </w:tc>
        <w:tc>
          <w:tcPr>
            <w:tcW w:w="1895" w:type="dxa"/>
            <w:noWrap/>
            <w:vAlign w:val="center"/>
          </w:tcPr>
          <w:p w14:paraId="18F52885">
            <w:pPr>
              <w:widowControl/>
              <w:jc w:val="center"/>
              <w:rPr>
                <w:rFonts w:cs="Times New Roman"/>
                <w:color w:val="000000"/>
                <w:kern w:val="0"/>
                <w:sz w:val="21"/>
                <w:szCs w:val="21"/>
              </w:rPr>
            </w:pPr>
            <w:r>
              <w:rPr>
                <w:rFonts w:cs="Times New Roman"/>
                <w:color w:val="000000"/>
                <w:kern w:val="0"/>
                <w:sz w:val="21"/>
                <w:szCs w:val="21"/>
              </w:rPr>
              <w:t>7342</w:t>
            </w:r>
          </w:p>
        </w:tc>
        <w:tc>
          <w:tcPr>
            <w:tcW w:w="1284" w:type="dxa"/>
            <w:noWrap/>
            <w:vAlign w:val="center"/>
          </w:tcPr>
          <w:p w14:paraId="102038C8">
            <w:pPr>
              <w:widowControl/>
              <w:jc w:val="center"/>
              <w:rPr>
                <w:rFonts w:cs="Times New Roman"/>
                <w:color w:val="000000"/>
                <w:kern w:val="0"/>
                <w:sz w:val="21"/>
                <w:szCs w:val="21"/>
              </w:rPr>
            </w:pPr>
            <w:r>
              <w:rPr>
                <w:rFonts w:cs="Times New Roman"/>
                <w:color w:val="000000"/>
                <w:kern w:val="0"/>
                <w:sz w:val="21"/>
                <w:szCs w:val="21"/>
              </w:rPr>
              <w:t>121 (1.6)</w:t>
            </w:r>
          </w:p>
        </w:tc>
        <w:tc>
          <w:tcPr>
            <w:tcW w:w="1719" w:type="dxa"/>
            <w:noWrap/>
            <w:vAlign w:val="center"/>
          </w:tcPr>
          <w:p w14:paraId="3F2F088E">
            <w:pPr>
              <w:widowControl/>
              <w:jc w:val="center"/>
              <w:rPr>
                <w:rFonts w:cs="Times New Roman"/>
                <w:color w:val="000000"/>
                <w:kern w:val="0"/>
                <w:sz w:val="21"/>
                <w:szCs w:val="21"/>
              </w:rPr>
            </w:pPr>
            <w:r>
              <w:rPr>
                <w:rFonts w:cs="Times New Roman"/>
                <w:color w:val="000000"/>
                <w:kern w:val="0"/>
                <w:sz w:val="21"/>
                <w:szCs w:val="21"/>
              </w:rPr>
              <w:t>1.47 (1.17~1.84)</w:t>
            </w:r>
          </w:p>
        </w:tc>
        <w:tc>
          <w:tcPr>
            <w:tcW w:w="1093" w:type="dxa"/>
            <w:noWrap/>
            <w:vAlign w:val="center"/>
          </w:tcPr>
          <w:p w14:paraId="0A67F666">
            <w:pPr>
              <w:widowControl/>
              <w:jc w:val="center"/>
              <w:rPr>
                <w:rFonts w:cs="Times New Roman"/>
                <w:color w:val="000000"/>
                <w:kern w:val="0"/>
                <w:sz w:val="21"/>
                <w:szCs w:val="21"/>
              </w:rPr>
            </w:pPr>
            <w:r>
              <w:rPr>
                <w:rFonts w:cs="Times New Roman"/>
                <w:color w:val="000000"/>
                <w:kern w:val="0"/>
                <w:sz w:val="21"/>
                <w:szCs w:val="21"/>
              </w:rPr>
              <w:t>0.001</w:t>
            </w:r>
          </w:p>
        </w:tc>
        <w:tc>
          <w:tcPr>
            <w:tcW w:w="1338" w:type="dxa"/>
            <w:noWrap/>
            <w:vAlign w:val="center"/>
          </w:tcPr>
          <w:p w14:paraId="51644D1E">
            <w:pPr>
              <w:widowControl/>
              <w:jc w:val="center"/>
              <w:rPr>
                <w:rFonts w:cs="Times New Roman"/>
                <w:color w:val="000000"/>
                <w:kern w:val="0"/>
                <w:sz w:val="21"/>
                <w:szCs w:val="21"/>
              </w:rPr>
            </w:pPr>
            <w:r>
              <w:rPr>
                <w:rFonts w:cs="Times New Roman"/>
                <w:color w:val="000000"/>
                <w:kern w:val="0"/>
                <w:sz w:val="21"/>
                <w:szCs w:val="21"/>
              </w:rPr>
              <w:t>0.826</w:t>
            </w:r>
          </w:p>
        </w:tc>
      </w:tr>
      <w:tr w14:paraId="397E9DAA">
        <w:tblPrEx>
          <w:tblCellMar>
            <w:top w:w="0" w:type="dxa"/>
            <w:left w:w="108" w:type="dxa"/>
            <w:bottom w:w="0" w:type="dxa"/>
            <w:right w:w="108" w:type="dxa"/>
          </w:tblCellMar>
        </w:tblPrEx>
        <w:trPr>
          <w:trHeight w:val="280" w:hRule="atLeast"/>
          <w:jc w:val="center"/>
        </w:trPr>
        <w:tc>
          <w:tcPr>
            <w:tcW w:w="1810" w:type="dxa"/>
            <w:noWrap/>
            <w:vAlign w:val="center"/>
          </w:tcPr>
          <w:p w14:paraId="6CB1FF39">
            <w:pPr>
              <w:widowControl/>
              <w:jc w:val="left"/>
              <w:rPr>
                <w:rFonts w:cs="Times New Roman"/>
                <w:color w:val="000000"/>
                <w:kern w:val="0"/>
                <w:sz w:val="21"/>
                <w:szCs w:val="21"/>
              </w:rPr>
            </w:pPr>
            <w:r>
              <w:rPr>
                <w:rFonts w:cs="Times New Roman"/>
                <w:color w:val="000000"/>
                <w:kern w:val="0"/>
                <w:sz w:val="21"/>
                <w:szCs w:val="21"/>
              </w:rPr>
              <w:t xml:space="preserve">  ＞0.84</w:t>
            </w:r>
          </w:p>
        </w:tc>
        <w:tc>
          <w:tcPr>
            <w:tcW w:w="1895" w:type="dxa"/>
            <w:noWrap/>
            <w:vAlign w:val="center"/>
          </w:tcPr>
          <w:p w14:paraId="03992BF7">
            <w:pPr>
              <w:widowControl/>
              <w:jc w:val="center"/>
              <w:rPr>
                <w:rFonts w:cs="Times New Roman"/>
                <w:color w:val="000000"/>
                <w:kern w:val="0"/>
                <w:sz w:val="21"/>
                <w:szCs w:val="21"/>
              </w:rPr>
            </w:pPr>
            <w:r>
              <w:rPr>
                <w:rFonts w:cs="Times New Roman"/>
                <w:color w:val="000000"/>
                <w:kern w:val="0"/>
                <w:sz w:val="21"/>
                <w:szCs w:val="21"/>
              </w:rPr>
              <w:t>7649</w:t>
            </w:r>
          </w:p>
        </w:tc>
        <w:tc>
          <w:tcPr>
            <w:tcW w:w="1284" w:type="dxa"/>
            <w:noWrap/>
            <w:vAlign w:val="center"/>
          </w:tcPr>
          <w:p w14:paraId="263858C1">
            <w:pPr>
              <w:widowControl/>
              <w:jc w:val="center"/>
              <w:rPr>
                <w:rFonts w:cs="Times New Roman"/>
                <w:color w:val="000000"/>
                <w:kern w:val="0"/>
                <w:sz w:val="21"/>
                <w:szCs w:val="21"/>
              </w:rPr>
            </w:pPr>
            <w:r>
              <w:rPr>
                <w:rFonts w:cs="Times New Roman"/>
                <w:color w:val="000000"/>
                <w:kern w:val="0"/>
                <w:sz w:val="21"/>
                <w:szCs w:val="21"/>
              </w:rPr>
              <w:t>388 (5.1)</w:t>
            </w:r>
          </w:p>
        </w:tc>
        <w:tc>
          <w:tcPr>
            <w:tcW w:w="1719" w:type="dxa"/>
            <w:noWrap/>
            <w:vAlign w:val="center"/>
          </w:tcPr>
          <w:p w14:paraId="5AB1BC87">
            <w:pPr>
              <w:widowControl/>
              <w:jc w:val="center"/>
              <w:rPr>
                <w:rFonts w:cs="Times New Roman"/>
                <w:color w:val="000000"/>
                <w:kern w:val="0"/>
                <w:sz w:val="21"/>
                <w:szCs w:val="21"/>
              </w:rPr>
            </w:pPr>
            <w:r>
              <w:rPr>
                <w:rFonts w:cs="Times New Roman"/>
                <w:color w:val="000000"/>
                <w:kern w:val="0"/>
                <w:sz w:val="21"/>
                <w:szCs w:val="21"/>
              </w:rPr>
              <w:t>1.52 (1.36~1.72)</w:t>
            </w:r>
          </w:p>
        </w:tc>
        <w:tc>
          <w:tcPr>
            <w:tcW w:w="1093" w:type="dxa"/>
            <w:noWrap/>
            <w:vAlign w:val="center"/>
          </w:tcPr>
          <w:p w14:paraId="6F9A6DC4">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1271F988">
            <w:pPr>
              <w:widowControl/>
              <w:jc w:val="center"/>
              <w:rPr>
                <w:rFonts w:cs="Times New Roman"/>
                <w:color w:val="000000"/>
                <w:kern w:val="0"/>
                <w:sz w:val="21"/>
                <w:szCs w:val="21"/>
              </w:rPr>
            </w:pPr>
          </w:p>
        </w:tc>
      </w:tr>
      <w:tr w14:paraId="410927F7">
        <w:tblPrEx>
          <w:tblCellMar>
            <w:top w:w="0" w:type="dxa"/>
            <w:left w:w="108" w:type="dxa"/>
            <w:bottom w:w="0" w:type="dxa"/>
            <w:right w:w="108" w:type="dxa"/>
          </w:tblCellMar>
        </w:tblPrEx>
        <w:trPr>
          <w:trHeight w:val="280" w:hRule="atLeast"/>
          <w:jc w:val="center"/>
        </w:trPr>
        <w:tc>
          <w:tcPr>
            <w:tcW w:w="3705" w:type="dxa"/>
            <w:gridSpan w:val="2"/>
            <w:noWrap/>
            <w:vAlign w:val="center"/>
          </w:tcPr>
          <w:p w14:paraId="497352A2">
            <w:pPr>
              <w:widowControl/>
              <w:jc w:val="left"/>
              <w:rPr>
                <w:rFonts w:cs="Times New Roman"/>
                <w:color w:val="000000"/>
                <w:kern w:val="0"/>
                <w:sz w:val="21"/>
                <w:szCs w:val="21"/>
              </w:rPr>
            </w:pPr>
            <w:r>
              <w:rPr>
                <w:rFonts w:cs="Times New Roman"/>
                <w:color w:val="000000"/>
                <w:kern w:val="0"/>
                <w:sz w:val="21"/>
                <w:szCs w:val="21"/>
              </w:rPr>
              <w:t>eGFR,</w:t>
            </w:r>
            <w:r>
              <w:rPr>
                <w:rFonts w:hint="eastAsia" w:cs="Times New Roman"/>
                <w:color w:val="000000"/>
                <w:kern w:val="0"/>
                <w:sz w:val="21"/>
                <w:szCs w:val="21"/>
              </w:rPr>
              <w:t xml:space="preserve"> </w:t>
            </w:r>
            <w:r>
              <w:rPr>
                <w:rFonts w:cs="Times New Roman"/>
                <w:color w:val="000000"/>
                <w:kern w:val="0"/>
                <w:sz w:val="21"/>
                <w:szCs w:val="21"/>
              </w:rPr>
              <w:t>ml/min/1.73m</w:t>
            </w:r>
            <w:r>
              <w:rPr>
                <w:rFonts w:cs="Times New Roman"/>
                <w:color w:val="000000"/>
                <w:kern w:val="0"/>
                <w:sz w:val="21"/>
                <w:szCs w:val="21"/>
                <w:vertAlign w:val="superscript"/>
              </w:rPr>
              <w:t>2</w:t>
            </w:r>
          </w:p>
        </w:tc>
        <w:tc>
          <w:tcPr>
            <w:tcW w:w="1284" w:type="dxa"/>
            <w:noWrap/>
            <w:vAlign w:val="center"/>
          </w:tcPr>
          <w:p w14:paraId="6835DC74">
            <w:pPr>
              <w:widowControl/>
              <w:jc w:val="center"/>
              <w:rPr>
                <w:rFonts w:cs="Times New Roman"/>
                <w:color w:val="000000"/>
                <w:kern w:val="0"/>
                <w:sz w:val="21"/>
                <w:szCs w:val="21"/>
              </w:rPr>
            </w:pPr>
          </w:p>
        </w:tc>
        <w:tc>
          <w:tcPr>
            <w:tcW w:w="1719" w:type="dxa"/>
            <w:noWrap/>
            <w:vAlign w:val="center"/>
          </w:tcPr>
          <w:p w14:paraId="7557328B">
            <w:pPr>
              <w:widowControl/>
              <w:jc w:val="center"/>
              <w:rPr>
                <w:rFonts w:eastAsia="Times New Roman" w:cs="Times New Roman"/>
                <w:color w:val="auto"/>
                <w:kern w:val="0"/>
                <w:sz w:val="21"/>
                <w:szCs w:val="21"/>
              </w:rPr>
            </w:pPr>
          </w:p>
        </w:tc>
        <w:tc>
          <w:tcPr>
            <w:tcW w:w="1093" w:type="dxa"/>
            <w:noWrap/>
            <w:vAlign w:val="center"/>
          </w:tcPr>
          <w:p w14:paraId="2D3AE79F">
            <w:pPr>
              <w:widowControl/>
              <w:jc w:val="center"/>
              <w:rPr>
                <w:rFonts w:eastAsia="Times New Roman" w:cs="Times New Roman"/>
                <w:color w:val="auto"/>
                <w:kern w:val="0"/>
                <w:sz w:val="21"/>
                <w:szCs w:val="21"/>
              </w:rPr>
            </w:pPr>
          </w:p>
        </w:tc>
        <w:tc>
          <w:tcPr>
            <w:tcW w:w="1338" w:type="dxa"/>
            <w:noWrap/>
            <w:vAlign w:val="center"/>
          </w:tcPr>
          <w:p w14:paraId="47D4929B">
            <w:pPr>
              <w:widowControl/>
              <w:jc w:val="center"/>
              <w:rPr>
                <w:rFonts w:eastAsia="Times New Roman" w:cs="Times New Roman"/>
                <w:color w:val="auto"/>
                <w:kern w:val="0"/>
                <w:sz w:val="21"/>
                <w:szCs w:val="21"/>
              </w:rPr>
            </w:pPr>
          </w:p>
        </w:tc>
      </w:tr>
      <w:tr w14:paraId="1202DD74">
        <w:tblPrEx>
          <w:tblCellMar>
            <w:top w:w="0" w:type="dxa"/>
            <w:left w:w="108" w:type="dxa"/>
            <w:bottom w:w="0" w:type="dxa"/>
            <w:right w:w="108" w:type="dxa"/>
          </w:tblCellMar>
        </w:tblPrEx>
        <w:trPr>
          <w:trHeight w:val="280" w:hRule="atLeast"/>
          <w:jc w:val="center"/>
        </w:trPr>
        <w:tc>
          <w:tcPr>
            <w:tcW w:w="1810" w:type="dxa"/>
            <w:noWrap/>
            <w:vAlign w:val="center"/>
          </w:tcPr>
          <w:p w14:paraId="174EF88A">
            <w:pPr>
              <w:widowControl/>
              <w:jc w:val="left"/>
              <w:rPr>
                <w:rFonts w:cs="Times New Roman"/>
                <w:color w:val="000000"/>
                <w:kern w:val="0"/>
                <w:sz w:val="21"/>
                <w:szCs w:val="21"/>
              </w:rPr>
            </w:pPr>
            <w:r>
              <w:rPr>
                <w:rFonts w:cs="Times New Roman"/>
                <w:color w:val="000000"/>
                <w:kern w:val="0"/>
                <w:sz w:val="21"/>
                <w:szCs w:val="21"/>
              </w:rPr>
              <w:t xml:space="preserve"> ≤97.59</w:t>
            </w:r>
          </w:p>
        </w:tc>
        <w:tc>
          <w:tcPr>
            <w:tcW w:w="1895" w:type="dxa"/>
            <w:noWrap/>
            <w:vAlign w:val="center"/>
          </w:tcPr>
          <w:p w14:paraId="4BA17663">
            <w:pPr>
              <w:widowControl/>
              <w:jc w:val="center"/>
              <w:rPr>
                <w:rFonts w:cs="Times New Roman"/>
                <w:color w:val="000000"/>
                <w:kern w:val="0"/>
                <w:sz w:val="21"/>
                <w:szCs w:val="21"/>
              </w:rPr>
            </w:pPr>
            <w:r>
              <w:rPr>
                <w:rFonts w:cs="Times New Roman"/>
                <w:color w:val="000000"/>
                <w:kern w:val="0"/>
                <w:sz w:val="21"/>
                <w:szCs w:val="21"/>
              </w:rPr>
              <w:t>7495</w:t>
            </w:r>
          </w:p>
        </w:tc>
        <w:tc>
          <w:tcPr>
            <w:tcW w:w="1284" w:type="dxa"/>
            <w:noWrap/>
            <w:vAlign w:val="center"/>
          </w:tcPr>
          <w:p w14:paraId="0C478CE9">
            <w:pPr>
              <w:widowControl/>
              <w:jc w:val="center"/>
              <w:rPr>
                <w:rFonts w:cs="Times New Roman"/>
                <w:color w:val="000000"/>
                <w:kern w:val="0"/>
                <w:sz w:val="21"/>
                <w:szCs w:val="21"/>
              </w:rPr>
            </w:pPr>
            <w:r>
              <w:rPr>
                <w:rFonts w:cs="Times New Roman"/>
                <w:color w:val="000000"/>
                <w:kern w:val="0"/>
                <w:sz w:val="21"/>
                <w:szCs w:val="21"/>
              </w:rPr>
              <w:t>455 (6.1)</w:t>
            </w:r>
          </w:p>
        </w:tc>
        <w:tc>
          <w:tcPr>
            <w:tcW w:w="1719" w:type="dxa"/>
            <w:noWrap/>
            <w:vAlign w:val="center"/>
          </w:tcPr>
          <w:p w14:paraId="2FF56B10">
            <w:pPr>
              <w:widowControl/>
              <w:jc w:val="center"/>
              <w:rPr>
                <w:rFonts w:cs="Times New Roman"/>
                <w:color w:val="000000"/>
                <w:kern w:val="0"/>
                <w:sz w:val="21"/>
                <w:szCs w:val="21"/>
              </w:rPr>
            </w:pPr>
            <w:r>
              <w:rPr>
                <w:rFonts w:cs="Times New Roman"/>
                <w:color w:val="000000"/>
                <w:kern w:val="0"/>
                <w:sz w:val="21"/>
                <w:szCs w:val="21"/>
              </w:rPr>
              <w:t>1.53 (1.37~1.71)</w:t>
            </w:r>
          </w:p>
        </w:tc>
        <w:tc>
          <w:tcPr>
            <w:tcW w:w="1093" w:type="dxa"/>
            <w:noWrap/>
            <w:vAlign w:val="center"/>
          </w:tcPr>
          <w:p w14:paraId="751902ED">
            <w:pPr>
              <w:widowControl/>
              <w:jc w:val="center"/>
              <w:rPr>
                <w:rFonts w:cs="Times New Roman"/>
                <w:color w:val="000000"/>
                <w:kern w:val="0"/>
                <w:sz w:val="21"/>
                <w:szCs w:val="21"/>
              </w:rPr>
            </w:pPr>
            <w:r>
              <w:rPr>
                <w:rFonts w:cs="Times New Roman"/>
                <w:color w:val="000000"/>
                <w:kern w:val="0"/>
                <w:sz w:val="21"/>
                <w:szCs w:val="21"/>
              </w:rPr>
              <w:t>&lt;0.001</w:t>
            </w:r>
          </w:p>
        </w:tc>
        <w:tc>
          <w:tcPr>
            <w:tcW w:w="1338" w:type="dxa"/>
            <w:noWrap/>
            <w:vAlign w:val="center"/>
          </w:tcPr>
          <w:p w14:paraId="5B922E30">
            <w:pPr>
              <w:widowControl/>
              <w:jc w:val="center"/>
              <w:rPr>
                <w:rFonts w:cs="Times New Roman"/>
                <w:color w:val="000000"/>
                <w:kern w:val="0"/>
                <w:sz w:val="21"/>
                <w:szCs w:val="21"/>
              </w:rPr>
            </w:pPr>
            <w:r>
              <w:rPr>
                <w:rFonts w:cs="Times New Roman"/>
                <w:color w:val="000000"/>
                <w:kern w:val="0"/>
                <w:sz w:val="21"/>
                <w:szCs w:val="21"/>
              </w:rPr>
              <w:t>0.84</w:t>
            </w:r>
          </w:p>
        </w:tc>
      </w:tr>
      <w:tr w14:paraId="6F54EC50">
        <w:tblPrEx>
          <w:tblCellMar>
            <w:top w:w="0" w:type="dxa"/>
            <w:left w:w="108" w:type="dxa"/>
            <w:bottom w:w="0" w:type="dxa"/>
            <w:right w:w="108" w:type="dxa"/>
          </w:tblCellMar>
        </w:tblPrEx>
        <w:trPr>
          <w:trHeight w:val="280" w:hRule="atLeast"/>
          <w:jc w:val="center"/>
        </w:trPr>
        <w:tc>
          <w:tcPr>
            <w:tcW w:w="1810" w:type="dxa"/>
            <w:tcBorders>
              <w:bottom w:val="single" w:color="auto" w:sz="12" w:space="0"/>
            </w:tcBorders>
            <w:noWrap/>
            <w:vAlign w:val="center"/>
          </w:tcPr>
          <w:p w14:paraId="12F661D7">
            <w:pPr>
              <w:widowControl/>
              <w:jc w:val="left"/>
              <w:rPr>
                <w:rFonts w:cs="Times New Roman"/>
                <w:color w:val="000000"/>
                <w:kern w:val="0"/>
                <w:sz w:val="21"/>
                <w:szCs w:val="21"/>
              </w:rPr>
            </w:pPr>
            <w:r>
              <w:rPr>
                <w:rFonts w:cs="Times New Roman"/>
                <w:color w:val="000000"/>
                <w:kern w:val="0"/>
                <w:sz w:val="21"/>
                <w:szCs w:val="21"/>
              </w:rPr>
              <w:t xml:space="preserve"> ＞97.59</w:t>
            </w:r>
          </w:p>
        </w:tc>
        <w:tc>
          <w:tcPr>
            <w:tcW w:w="1895" w:type="dxa"/>
            <w:tcBorders>
              <w:bottom w:val="single" w:color="auto" w:sz="12" w:space="0"/>
            </w:tcBorders>
            <w:noWrap/>
            <w:vAlign w:val="center"/>
          </w:tcPr>
          <w:p w14:paraId="11143F83">
            <w:pPr>
              <w:widowControl/>
              <w:jc w:val="center"/>
              <w:rPr>
                <w:rFonts w:cs="Times New Roman"/>
                <w:color w:val="000000"/>
                <w:kern w:val="0"/>
                <w:sz w:val="21"/>
                <w:szCs w:val="21"/>
              </w:rPr>
            </w:pPr>
            <w:r>
              <w:rPr>
                <w:rFonts w:cs="Times New Roman"/>
                <w:color w:val="000000"/>
                <w:kern w:val="0"/>
                <w:sz w:val="21"/>
                <w:szCs w:val="21"/>
              </w:rPr>
              <w:t>7496</w:t>
            </w:r>
          </w:p>
        </w:tc>
        <w:tc>
          <w:tcPr>
            <w:tcW w:w="1284" w:type="dxa"/>
            <w:tcBorders>
              <w:bottom w:val="single" w:color="auto" w:sz="12" w:space="0"/>
            </w:tcBorders>
            <w:noWrap/>
            <w:vAlign w:val="center"/>
          </w:tcPr>
          <w:p w14:paraId="50D5463A">
            <w:pPr>
              <w:widowControl/>
              <w:jc w:val="center"/>
              <w:rPr>
                <w:rFonts w:cs="Times New Roman"/>
                <w:color w:val="000000"/>
                <w:kern w:val="0"/>
                <w:sz w:val="21"/>
                <w:szCs w:val="21"/>
              </w:rPr>
            </w:pPr>
            <w:r>
              <w:rPr>
                <w:rFonts w:cs="Times New Roman"/>
                <w:color w:val="000000"/>
                <w:kern w:val="0"/>
                <w:sz w:val="21"/>
                <w:szCs w:val="21"/>
              </w:rPr>
              <w:t>54 (0.7)</w:t>
            </w:r>
          </w:p>
        </w:tc>
        <w:tc>
          <w:tcPr>
            <w:tcW w:w="1719" w:type="dxa"/>
            <w:tcBorders>
              <w:bottom w:val="single" w:color="auto" w:sz="12" w:space="0"/>
            </w:tcBorders>
            <w:noWrap/>
            <w:vAlign w:val="center"/>
          </w:tcPr>
          <w:p w14:paraId="20F3FD68">
            <w:pPr>
              <w:widowControl/>
              <w:jc w:val="center"/>
              <w:rPr>
                <w:rFonts w:cs="Times New Roman"/>
                <w:color w:val="000000"/>
                <w:kern w:val="0"/>
                <w:sz w:val="21"/>
                <w:szCs w:val="21"/>
              </w:rPr>
            </w:pPr>
            <w:r>
              <w:rPr>
                <w:rFonts w:cs="Times New Roman"/>
                <w:color w:val="000000"/>
                <w:kern w:val="0"/>
                <w:sz w:val="21"/>
                <w:szCs w:val="21"/>
              </w:rPr>
              <w:t>1.42 (1.03~1.97)</w:t>
            </w:r>
          </w:p>
        </w:tc>
        <w:tc>
          <w:tcPr>
            <w:tcW w:w="1093" w:type="dxa"/>
            <w:tcBorders>
              <w:bottom w:val="single" w:color="auto" w:sz="12" w:space="0"/>
            </w:tcBorders>
            <w:noWrap/>
            <w:vAlign w:val="center"/>
          </w:tcPr>
          <w:p w14:paraId="4B4D4C8E">
            <w:pPr>
              <w:widowControl/>
              <w:jc w:val="center"/>
              <w:rPr>
                <w:rFonts w:cs="Times New Roman"/>
                <w:color w:val="000000"/>
                <w:kern w:val="0"/>
                <w:sz w:val="21"/>
                <w:szCs w:val="21"/>
              </w:rPr>
            </w:pPr>
            <w:r>
              <w:rPr>
                <w:rFonts w:cs="Times New Roman"/>
                <w:color w:val="000000"/>
                <w:kern w:val="0"/>
                <w:sz w:val="21"/>
                <w:szCs w:val="21"/>
              </w:rPr>
              <w:t>0.035</w:t>
            </w:r>
          </w:p>
        </w:tc>
        <w:tc>
          <w:tcPr>
            <w:tcW w:w="1338" w:type="dxa"/>
            <w:tcBorders>
              <w:bottom w:val="single" w:color="auto" w:sz="12" w:space="0"/>
            </w:tcBorders>
            <w:noWrap/>
            <w:vAlign w:val="center"/>
          </w:tcPr>
          <w:p w14:paraId="6F7ED241">
            <w:pPr>
              <w:widowControl/>
              <w:jc w:val="center"/>
              <w:rPr>
                <w:rFonts w:cs="Times New Roman"/>
                <w:color w:val="000000"/>
                <w:kern w:val="0"/>
                <w:sz w:val="21"/>
                <w:szCs w:val="21"/>
              </w:rPr>
            </w:pPr>
          </w:p>
        </w:tc>
      </w:tr>
    </w:tbl>
    <w:p w14:paraId="27FABE10">
      <w:pPr>
        <w:rPr>
          <w:rFonts w:cs="Times New Roman" w:eastAsiaTheme="minorEastAsia"/>
          <w:b/>
          <w:bCs/>
          <w:color w:val="auto"/>
          <w:sz w:val="28"/>
          <w:szCs w:val="28"/>
        </w:rPr>
      </w:pPr>
      <w:r>
        <w:rPr>
          <w:rFonts w:cs="Times New Roman"/>
          <w:color w:val="auto"/>
          <w:lang w:bidi="ar"/>
        </w:rPr>
        <w:t>Adjusted for age, sex, race, body mass index (BMI), marital status, poverty-income ratio (PIR), educational level, smoking status, alcohol consumption status, estimated glomerular filtration rate (eGFR), hypertension, and stroke, with the exception of variables specific to this subgroup. Age and BMI were categorized according to international standard criteria, while all other continuous variables were stratified by median values.</w:t>
      </w:r>
    </w:p>
    <w:p w14:paraId="595A2F2C">
      <w:pPr>
        <w:pStyle w:val="3"/>
        <w:rPr>
          <w:rFonts w:ascii="Times New Roman" w:hAnsi="Times New Roman" w:cs="Times New Roman" w:eastAsiaTheme="minorEastAsia"/>
          <w:b/>
          <w:bCs/>
          <w:color w:val="auto"/>
          <w:sz w:val="28"/>
          <w:szCs w:val="28"/>
        </w:rPr>
      </w:pPr>
    </w:p>
    <w:p w14:paraId="73D09022">
      <w:pPr>
        <w:pStyle w:val="3"/>
        <w:rPr>
          <w:rFonts w:ascii="Times New Roman" w:hAnsi="Times New Roman" w:cs="Times New Roman"/>
          <w:color w:val="auto"/>
          <w:sz w:val="28"/>
          <w:szCs w:val="28"/>
        </w:rPr>
      </w:pPr>
    </w:p>
    <w:p w14:paraId="233670CC">
      <w:pPr>
        <w:pStyle w:val="3"/>
        <w:rPr>
          <w:rFonts w:ascii="Times New Roman" w:hAnsi="Times New Roman" w:cs="Times New Roman"/>
          <w:color w:val="auto"/>
          <w:sz w:val="28"/>
          <w:szCs w:val="28"/>
        </w:rPr>
      </w:pPr>
    </w:p>
    <w:p w14:paraId="7A92131B">
      <w:pPr>
        <w:pStyle w:val="3"/>
        <w:rPr>
          <w:rFonts w:ascii="Times New Roman" w:hAnsi="Times New Roman" w:cs="Times New Roman"/>
          <w:color w:val="auto"/>
          <w:sz w:val="28"/>
          <w:szCs w:val="28"/>
        </w:rPr>
      </w:pPr>
    </w:p>
    <w:p w14:paraId="50F3DA35">
      <w:pPr>
        <w:pStyle w:val="3"/>
        <w:rPr>
          <w:rFonts w:ascii="Times New Roman" w:hAnsi="Times New Roman" w:cs="Times New Roman"/>
          <w:color w:val="auto"/>
          <w:sz w:val="28"/>
          <w:szCs w:val="28"/>
        </w:rPr>
      </w:pPr>
    </w:p>
    <w:p w14:paraId="36071692">
      <w:pPr>
        <w:pStyle w:val="3"/>
        <w:rPr>
          <w:rFonts w:ascii="Times New Roman" w:hAnsi="Times New Roman" w:cs="Times New Roman"/>
          <w:color w:val="auto"/>
          <w:sz w:val="28"/>
          <w:szCs w:val="28"/>
        </w:rPr>
      </w:pPr>
    </w:p>
    <w:p w14:paraId="48F9A76B">
      <w:pPr>
        <w:pStyle w:val="3"/>
        <w:rPr>
          <w:rFonts w:ascii="Times New Roman" w:hAnsi="Times New Roman" w:cs="Times New Roman"/>
          <w:color w:val="auto"/>
          <w:sz w:val="28"/>
          <w:szCs w:val="28"/>
        </w:rPr>
      </w:pPr>
    </w:p>
    <w:p w14:paraId="2C989F8B">
      <w:pPr>
        <w:pStyle w:val="3"/>
        <w:rPr>
          <w:rFonts w:ascii="Times New Roman" w:hAnsi="Times New Roman" w:cs="Times New Roman"/>
          <w:color w:val="auto"/>
          <w:sz w:val="28"/>
          <w:szCs w:val="28"/>
        </w:rPr>
      </w:pPr>
    </w:p>
    <w:p w14:paraId="762D7202">
      <w:pPr>
        <w:pStyle w:val="3"/>
        <w:rPr>
          <w:rFonts w:ascii="Times New Roman" w:hAnsi="Times New Roman" w:cs="Times New Roman"/>
          <w:color w:val="auto"/>
          <w:sz w:val="28"/>
          <w:szCs w:val="28"/>
        </w:rPr>
      </w:pPr>
    </w:p>
    <w:p w14:paraId="487BA0C0">
      <w:pPr>
        <w:pStyle w:val="3"/>
        <w:rPr>
          <w:rFonts w:ascii="Times New Roman" w:hAnsi="Times New Roman" w:cs="Times New Roman"/>
          <w:color w:val="auto"/>
          <w:sz w:val="28"/>
          <w:szCs w:val="28"/>
        </w:rPr>
      </w:pPr>
    </w:p>
    <w:p w14:paraId="49D2C07D">
      <w:pPr>
        <w:pStyle w:val="3"/>
        <w:rPr>
          <w:rFonts w:ascii="Times New Roman" w:hAnsi="Times New Roman" w:cs="Times New Roman"/>
          <w:color w:val="auto"/>
          <w:sz w:val="28"/>
          <w:szCs w:val="28"/>
        </w:rPr>
      </w:pPr>
    </w:p>
    <w:p w14:paraId="352F53FA">
      <w:pPr>
        <w:pStyle w:val="3"/>
        <w:rPr>
          <w:rFonts w:ascii="Times New Roman" w:hAnsi="Times New Roman" w:cs="Times New Roman"/>
          <w:color w:val="auto"/>
          <w:sz w:val="28"/>
          <w:szCs w:val="28"/>
        </w:rPr>
      </w:pPr>
    </w:p>
    <w:p w14:paraId="73B56C1E">
      <w:pPr>
        <w:pStyle w:val="3"/>
        <w:rPr>
          <w:rFonts w:ascii="Times New Roman" w:hAnsi="Times New Roman" w:cs="Times New Roman"/>
          <w:color w:val="auto"/>
          <w:sz w:val="28"/>
          <w:szCs w:val="28"/>
        </w:rPr>
      </w:pPr>
    </w:p>
    <w:p w14:paraId="1201B3FC">
      <w:pPr>
        <w:pStyle w:val="3"/>
        <w:rPr>
          <w:rFonts w:ascii="Times New Roman" w:hAnsi="Times New Roman" w:cs="Times New Roman"/>
          <w:color w:val="auto"/>
          <w:sz w:val="28"/>
          <w:szCs w:val="28"/>
        </w:rPr>
      </w:pPr>
    </w:p>
    <w:p w14:paraId="66629267">
      <w:pPr>
        <w:pStyle w:val="3"/>
        <w:keepNext w:val="0"/>
        <w:keepLines w:val="0"/>
        <w:rPr>
          <w:rFonts w:ascii="Times New Roman" w:hAnsi="Times New Roman" w:cs="Times New Roman"/>
          <w:color w:val="auto"/>
          <w:sz w:val="28"/>
          <w:szCs w:val="28"/>
        </w:rPr>
      </w:pPr>
    </w:p>
    <w:p w14:paraId="6E975AAC">
      <w:pPr>
        <w:pStyle w:val="3"/>
        <w:keepNext w:val="0"/>
        <w:keepLines w:val="0"/>
        <w:rPr>
          <w:rFonts w:ascii="Times New Roman" w:hAnsi="Times New Roman" w:cs="Times New Roman"/>
          <w:color w:val="auto"/>
          <w:sz w:val="28"/>
          <w:szCs w:val="28"/>
        </w:rPr>
      </w:pPr>
    </w:p>
    <w:p w14:paraId="3F7E6FD8">
      <w:pPr>
        <w:pStyle w:val="3"/>
        <w:keepNext w:val="0"/>
        <w:keepLines w:val="0"/>
        <w:rPr>
          <w:rFonts w:ascii="Times New Roman" w:hAnsi="Times New Roman" w:cs="Times New Roman"/>
          <w:color w:val="auto"/>
          <w:sz w:val="28"/>
          <w:szCs w:val="28"/>
        </w:rPr>
      </w:pPr>
    </w:p>
    <w:p w14:paraId="709598F1">
      <w:pPr>
        <w:pStyle w:val="3"/>
        <w:keepNext w:val="0"/>
        <w:keepLines w:val="0"/>
        <w:rPr>
          <w:rFonts w:ascii="Times New Roman" w:hAnsi="Times New Roman" w:cs="Times New Roman"/>
          <w:color w:val="auto"/>
          <w:sz w:val="28"/>
          <w:szCs w:val="28"/>
        </w:rPr>
      </w:pPr>
    </w:p>
    <w:p w14:paraId="36194FD6">
      <w:pPr>
        <w:pStyle w:val="3"/>
        <w:keepNext w:val="0"/>
        <w:keepLines w:val="0"/>
        <w:rPr>
          <w:rFonts w:ascii="Times New Roman" w:hAnsi="Times New Roman" w:cs="Times New Roman"/>
          <w:color w:val="auto"/>
          <w:sz w:val="28"/>
          <w:szCs w:val="28"/>
        </w:rPr>
      </w:pPr>
    </w:p>
    <w:p w14:paraId="04188901">
      <w:pPr>
        <w:pStyle w:val="3"/>
        <w:keepNext w:val="0"/>
        <w:keepLines w:val="0"/>
        <w:rPr>
          <w:rFonts w:ascii="Times New Roman" w:hAnsi="Times New Roman" w:cs="Times New Roman"/>
          <w:color w:val="auto"/>
          <w:sz w:val="28"/>
          <w:szCs w:val="28"/>
        </w:rPr>
      </w:pPr>
    </w:p>
    <w:p w14:paraId="3C4CB10C">
      <w:pPr>
        <w:pStyle w:val="3"/>
        <w:keepNext w:val="0"/>
        <w:keepLines w:val="0"/>
        <w:rPr>
          <w:rFonts w:ascii="Times New Roman" w:hAnsi="Times New Roman" w:cs="Times New Roman"/>
          <w:b/>
          <w:bCs/>
          <w:color w:val="auto"/>
          <w:sz w:val="28"/>
          <w:szCs w:val="28"/>
        </w:rPr>
      </w:pPr>
    </w:p>
    <w:p w14:paraId="756185A8">
      <w:pPr>
        <w:pStyle w:val="3"/>
        <w:keepNext w:val="0"/>
        <w:keepLines w:val="0"/>
        <w:rPr>
          <w:rFonts w:ascii="Times New Roman" w:hAnsi="Times New Roman" w:cs="Times New Roman"/>
          <w:b/>
          <w:bCs/>
          <w:color w:val="auto"/>
          <w:sz w:val="28"/>
          <w:szCs w:val="28"/>
        </w:rPr>
      </w:pPr>
      <w:bookmarkStart w:id="29" w:name="_Toc218184825"/>
    </w:p>
    <w:p w14:paraId="07B4E657">
      <w:pPr>
        <w:pStyle w:val="3"/>
        <w:keepNext w:val="0"/>
        <w:keepLines w:val="0"/>
        <w:rPr>
          <w:rFonts w:ascii="Times New Roman" w:hAnsi="Times New Roman" w:cs="Times New Roman"/>
          <w:b/>
          <w:bCs/>
          <w:color w:val="auto"/>
          <w:sz w:val="28"/>
          <w:szCs w:val="28"/>
        </w:rPr>
      </w:pPr>
    </w:p>
    <w:p w14:paraId="7CB83A7E">
      <w:pPr>
        <w:pStyle w:val="3"/>
        <w:keepNext w:val="0"/>
        <w:keepLines w:val="0"/>
        <w:rPr>
          <w:rFonts w:ascii="Times New Roman" w:hAnsi="Times New Roman" w:cs="Times New Roman"/>
          <w:b/>
          <w:bCs/>
          <w:color w:val="auto"/>
          <w:sz w:val="28"/>
          <w:szCs w:val="28"/>
        </w:rPr>
      </w:pPr>
    </w:p>
    <w:p w14:paraId="6606769A">
      <w:pPr>
        <w:pStyle w:val="3"/>
        <w:keepNext w:val="0"/>
        <w:keepLines w:val="0"/>
        <w:rPr>
          <w:rFonts w:ascii="Times New Roman" w:hAnsi="Times New Roman" w:cs="Times New Roman"/>
          <w:b/>
          <w:bCs/>
          <w:color w:val="auto"/>
          <w:sz w:val="28"/>
          <w:szCs w:val="28"/>
        </w:rPr>
      </w:pPr>
    </w:p>
    <w:p w14:paraId="3BBE1455">
      <w:pPr>
        <w:pStyle w:val="3"/>
        <w:keepNext w:val="0"/>
        <w:keepLines w:val="0"/>
        <w:rPr>
          <w:rFonts w:ascii="Times New Roman" w:hAnsi="Times New Roman" w:cs="Times New Roman"/>
          <w:b/>
          <w:bCs/>
          <w:color w:val="auto"/>
          <w:sz w:val="28"/>
          <w:szCs w:val="28"/>
        </w:rPr>
      </w:pPr>
    </w:p>
    <w:p w14:paraId="7EC2AF28">
      <w:pPr>
        <w:pStyle w:val="3"/>
        <w:keepNext w:val="0"/>
        <w:keepLines w:val="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VI Cox </w:t>
      </w:r>
      <w:r>
        <w:rPr>
          <w:rFonts w:hint="eastAsia" w:ascii="Times New Roman" w:hAnsi="Times New Roman" w:cs="Times New Roman"/>
          <w:b/>
          <w:bCs/>
          <w:color w:val="auto"/>
          <w:sz w:val="28"/>
          <w:szCs w:val="28"/>
        </w:rPr>
        <w:t>r</w:t>
      </w:r>
      <w:r>
        <w:rPr>
          <w:rFonts w:ascii="Times New Roman" w:hAnsi="Times New Roman" w:cs="Times New Roman"/>
          <w:b/>
          <w:bCs/>
          <w:color w:val="auto"/>
          <w:sz w:val="28"/>
          <w:szCs w:val="28"/>
        </w:rPr>
        <w:t xml:space="preserve">egression and </w:t>
      </w:r>
      <w:r>
        <w:rPr>
          <w:rFonts w:hint="eastAsia" w:ascii="Times New Roman" w:hAnsi="Times New Roman" w:cs="Times New Roman"/>
          <w:b/>
          <w:bCs/>
          <w:color w:val="auto"/>
          <w:sz w:val="28"/>
          <w:szCs w:val="28"/>
        </w:rPr>
        <w:t>c</w:t>
      </w:r>
      <w:r>
        <w:rPr>
          <w:rFonts w:ascii="Times New Roman" w:hAnsi="Times New Roman" w:cs="Times New Roman"/>
          <w:b/>
          <w:bCs/>
          <w:color w:val="auto"/>
          <w:sz w:val="28"/>
          <w:szCs w:val="28"/>
        </w:rPr>
        <w:t xml:space="preserve">ompeting </w:t>
      </w:r>
      <w:r>
        <w:rPr>
          <w:rFonts w:hint="eastAsia" w:ascii="Times New Roman" w:hAnsi="Times New Roman" w:cs="Times New Roman"/>
          <w:b/>
          <w:bCs/>
          <w:color w:val="auto"/>
          <w:sz w:val="28"/>
          <w:szCs w:val="28"/>
        </w:rPr>
        <w:t>r</w:t>
      </w:r>
      <w:r>
        <w:rPr>
          <w:rFonts w:ascii="Times New Roman" w:hAnsi="Times New Roman" w:cs="Times New Roman"/>
          <w:b/>
          <w:bCs/>
          <w:color w:val="auto"/>
          <w:sz w:val="28"/>
          <w:szCs w:val="28"/>
        </w:rPr>
        <w:t xml:space="preserve">isk </w:t>
      </w:r>
      <w:r>
        <w:rPr>
          <w:rFonts w:hint="eastAsia" w:ascii="Times New Roman" w:hAnsi="Times New Roman" w:cs="Times New Roman"/>
          <w:b/>
          <w:bCs/>
          <w:color w:val="auto"/>
          <w:sz w:val="28"/>
          <w:szCs w:val="28"/>
        </w:rPr>
        <w:t>m</w:t>
      </w:r>
      <w:r>
        <w:rPr>
          <w:rFonts w:ascii="Times New Roman" w:hAnsi="Times New Roman" w:cs="Times New Roman"/>
          <w:b/>
          <w:bCs/>
          <w:color w:val="auto"/>
          <w:sz w:val="28"/>
          <w:szCs w:val="28"/>
        </w:rPr>
        <w:t xml:space="preserve">odels for </w:t>
      </w:r>
      <w:r>
        <w:rPr>
          <w:rFonts w:hint="eastAsia" w:ascii="Times New Roman" w:hAnsi="Times New Roman" w:cs="Times New Roman"/>
          <w:b/>
          <w:bCs/>
          <w:color w:val="auto"/>
          <w:sz w:val="28"/>
          <w:szCs w:val="28"/>
        </w:rPr>
        <w:t>c</w:t>
      </w:r>
      <w:r>
        <w:rPr>
          <w:rFonts w:ascii="Times New Roman" w:hAnsi="Times New Roman" w:cs="Times New Roman"/>
          <w:b/>
          <w:bCs/>
          <w:color w:val="auto"/>
          <w:sz w:val="28"/>
          <w:szCs w:val="28"/>
        </w:rPr>
        <w:t xml:space="preserve">ardiovascular </w:t>
      </w:r>
      <w:r>
        <w:rPr>
          <w:rFonts w:hint="eastAsia" w:ascii="Times New Roman" w:hAnsi="Times New Roman" w:cs="Times New Roman"/>
          <w:b/>
          <w:bCs/>
          <w:color w:val="auto"/>
          <w:sz w:val="28"/>
          <w:szCs w:val="28"/>
        </w:rPr>
        <w:t>m</w:t>
      </w:r>
      <w:r>
        <w:rPr>
          <w:rFonts w:ascii="Times New Roman" w:hAnsi="Times New Roman" w:cs="Times New Roman"/>
          <w:b/>
          <w:bCs/>
          <w:color w:val="auto"/>
          <w:sz w:val="28"/>
          <w:szCs w:val="28"/>
        </w:rPr>
        <w:t>ortality</w:t>
      </w:r>
      <w:bookmarkEnd w:id="29"/>
      <w:r>
        <w:rPr>
          <w:rFonts w:ascii="Times New Roman" w:hAnsi="Times New Roman" w:cs="Times New Roman"/>
          <w:b/>
          <w:bCs/>
          <w:color w:val="auto"/>
          <w:sz w:val="28"/>
          <w:szCs w:val="28"/>
        </w:rPr>
        <w:t xml:space="preserve"> </w:t>
      </w:r>
    </w:p>
    <w:p w14:paraId="0DC69988">
      <w:pPr>
        <w:pStyle w:val="3"/>
        <w:rPr>
          <w:rFonts w:ascii="Times New Roman" w:hAnsi="Times New Roman" w:cs="Times New Roman" w:eastAsiaTheme="minorEastAsia"/>
          <w:b/>
          <w:bCs/>
          <w:color w:val="auto"/>
          <w:sz w:val="28"/>
          <w:szCs w:val="28"/>
        </w:rPr>
      </w:pPr>
    </w:p>
    <w:p w14:paraId="16FC9D99">
      <w:pPr>
        <w:pStyle w:val="4"/>
        <w:rPr>
          <w:rFonts w:ascii="Times New Roman" w:hAnsi="Times New Roman" w:cs="Times New Roman"/>
          <w:color w:val="auto"/>
          <w:sz w:val="24"/>
          <w:szCs w:val="24"/>
        </w:rPr>
      </w:pPr>
      <w:bookmarkStart w:id="30" w:name="_Toc218184826"/>
      <w:r>
        <w:rPr>
          <w:rFonts w:ascii="Times New Roman" w:hAnsi="Times New Roman" w:cs="Times New Roman"/>
          <w:b/>
          <w:bCs/>
          <w:color w:val="auto"/>
          <w:sz w:val="24"/>
          <w:szCs w:val="24"/>
        </w:rPr>
        <w:t>Table S1</w:t>
      </w:r>
      <w:r>
        <w:rPr>
          <w:rFonts w:hint="eastAsia" w:ascii="Times New Roman" w:hAnsi="Times New Roman" w:cs="Times New Roman"/>
          <w:b/>
          <w:bCs/>
          <w:color w:val="auto"/>
          <w:sz w:val="24"/>
          <w:szCs w:val="24"/>
        </w:rPr>
        <w:t>2</w:t>
      </w:r>
      <w:r>
        <w:rPr>
          <w:rFonts w:ascii="Times New Roman" w:hAnsi="Times New Roman" w:cs="Times New Roman"/>
          <w:b/>
          <w:bCs/>
          <w:color w:val="auto"/>
          <w:sz w:val="24"/>
          <w:szCs w:val="24"/>
          <w:lang w:bidi="ar"/>
        </w:rPr>
        <w:t xml:space="preserve"> </w:t>
      </w:r>
      <w:bookmarkStart w:id="31" w:name="_Hlk216973841"/>
      <w:r>
        <w:rPr>
          <w:rFonts w:ascii="Times New Roman" w:hAnsi="Times New Roman" w:cs="Times New Roman"/>
          <w:color w:val="auto"/>
          <w:sz w:val="24"/>
          <w:szCs w:val="24"/>
        </w:rPr>
        <w:t xml:space="preserve">Association of TyGFI with </w:t>
      </w:r>
      <w:r>
        <w:rPr>
          <w:rFonts w:hint="eastAsia" w:ascii="Times New Roman" w:hAnsi="Times New Roman" w:cs="Times New Roman"/>
          <w:color w:val="auto"/>
          <w:sz w:val="24"/>
          <w:szCs w:val="24"/>
        </w:rPr>
        <w:t>c</w:t>
      </w:r>
      <w:r>
        <w:rPr>
          <w:rFonts w:ascii="Times New Roman" w:hAnsi="Times New Roman" w:cs="Times New Roman"/>
          <w:color w:val="auto"/>
          <w:sz w:val="24"/>
          <w:szCs w:val="24"/>
        </w:rPr>
        <w:t xml:space="preserve">ardiovascular </w:t>
      </w:r>
      <w:r>
        <w:rPr>
          <w:rFonts w:hint="eastAsia" w:ascii="Times New Roman" w:hAnsi="Times New Roman" w:cs="Times New Roman"/>
          <w:color w:val="auto"/>
          <w:sz w:val="24"/>
          <w:szCs w:val="24"/>
        </w:rPr>
        <w:t>m</w:t>
      </w:r>
      <w:r>
        <w:rPr>
          <w:rFonts w:ascii="Times New Roman" w:hAnsi="Times New Roman" w:cs="Times New Roman"/>
          <w:color w:val="auto"/>
          <w:sz w:val="24"/>
          <w:szCs w:val="24"/>
        </w:rPr>
        <w:t xml:space="preserve">ortality </w:t>
      </w:r>
      <w:r>
        <w:rPr>
          <w:rFonts w:hint="eastAsia" w:ascii="Times New Roman" w:hAnsi="Times New Roman" w:cs="Times New Roman"/>
          <w:color w:val="auto"/>
          <w:sz w:val="24"/>
          <w:szCs w:val="24"/>
        </w:rPr>
        <w:t>a</w:t>
      </w:r>
      <w:r>
        <w:rPr>
          <w:rFonts w:ascii="Times New Roman" w:hAnsi="Times New Roman" w:cs="Times New Roman"/>
          <w:color w:val="auto"/>
          <w:sz w:val="24"/>
          <w:szCs w:val="24"/>
        </w:rPr>
        <w:t xml:space="preserve">ssessed by Cox </w:t>
      </w:r>
      <w:r>
        <w:rPr>
          <w:rFonts w:hint="eastAsia" w:ascii="Times New Roman" w:hAnsi="Times New Roman" w:cs="Times New Roman"/>
          <w:color w:val="auto"/>
          <w:sz w:val="24"/>
          <w:szCs w:val="24"/>
        </w:rPr>
        <w:t>r</w:t>
      </w:r>
      <w:r>
        <w:rPr>
          <w:rFonts w:ascii="Times New Roman" w:hAnsi="Times New Roman" w:cs="Times New Roman"/>
          <w:color w:val="auto"/>
          <w:sz w:val="24"/>
          <w:szCs w:val="24"/>
        </w:rPr>
        <w:t xml:space="preserve">egression and </w:t>
      </w:r>
      <w:r>
        <w:rPr>
          <w:rFonts w:hint="eastAsia" w:ascii="Times New Roman" w:hAnsi="Times New Roman" w:cs="Times New Roman"/>
          <w:color w:val="auto"/>
          <w:sz w:val="24"/>
          <w:szCs w:val="24"/>
        </w:rPr>
        <w:t>c</w:t>
      </w:r>
      <w:r>
        <w:rPr>
          <w:rFonts w:ascii="Times New Roman" w:hAnsi="Times New Roman" w:cs="Times New Roman"/>
          <w:color w:val="auto"/>
          <w:sz w:val="24"/>
          <w:szCs w:val="24"/>
        </w:rPr>
        <w:t xml:space="preserve">ompeting </w:t>
      </w:r>
      <w:r>
        <w:rPr>
          <w:rFonts w:hint="eastAsia" w:ascii="Times New Roman" w:hAnsi="Times New Roman" w:cs="Times New Roman"/>
          <w:color w:val="auto"/>
          <w:sz w:val="24"/>
          <w:szCs w:val="24"/>
        </w:rPr>
        <w:t>r</w:t>
      </w:r>
      <w:r>
        <w:rPr>
          <w:rFonts w:ascii="Times New Roman" w:hAnsi="Times New Roman" w:cs="Times New Roman"/>
          <w:color w:val="auto"/>
          <w:sz w:val="24"/>
          <w:szCs w:val="24"/>
        </w:rPr>
        <w:t xml:space="preserve">isk </w:t>
      </w:r>
      <w:r>
        <w:rPr>
          <w:rFonts w:hint="eastAsia" w:ascii="Times New Roman" w:hAnsi="Times New Roman" w:cs="Times New Roman"/>
          <w:color w:val="auto"/>
          <w:sz w:val="24"/>
          <w:szCs w:val="24"/>
        </w:rPr>
        <w:t>m</w:t>
      </w:r>
      <w:r>
        <w:rPr>
          <w:rFonts w:ascii="Times New Roman" w:hAnsi="Times New Roman" w:cs="Times New Roman"/>
          <w:color w:val="auto"/>
          <w:sz w:val="24"/>
          <w:szCs w:val="24"/>
        </w:rPr>
        <w:t xml:space="preserve">odels </w:t>
      </w:r>
      <w:bookmarkEnd w:id="30"/>
      <w:bookmarkEnd w:id="31"/>
    </w:p>
    <w:tbl>
      <w:tblPr>
        <w:tblStyle w:val="18"/>
        <w:tblW w:w="8897" w:type="dxa"/>
        <w:jc w:val="center"/>
        <w:tblLayout w:type="fixed"/>
        <w:tblCellMar>
          <w:top w:w="0" w:type="dxa"/>
          <w:left w:w="0" w:type="dxa"/>
          <w:bottom w:w="0" w:type="dxa"/>
          <w:right w:w="0" w:type="dxa"/>
        </w:tblCellMar>
      </w:tblPr>
      <w:tblGrid>
        <w:gridCol w:w="1761"/>
        <w:gridCol w:w="2204"/>
        <w:gridCol w:w="864"/>
        <w:gridCol w:w="3188"/>
        <w:gridCol w:w="880"/>
      </w:tblGrid>
      <w:tr w14:paraId="4BF93B21">
        <w:tblPrEx>
          <w:tblCellMar>
            <w:top w:w="0" w:type="dxa"/>
            <w:left w:w="0" w:type="dxa"/>
            <w:bottom w:w="0" w:type="dxa"/>
            <w:right w:w="0" w:type="dxa"/>
          </w:tblCellMar>
        </w:tblPrEx>
        <w:trPr>
          <w:trHeight w:val="675" w:hRule="atLeast"/>
          <w:tblHeader/>
          <w:jc w:val="center"/>
        </w:trPr>
        <w:tc>
          <w:tcPr>
            <w:tcW w:w="1761" w:type="dxa"/>
            <w:tcBorders>
              <w:top w:val="single" w:color="auto" w:sz="12" w:space="0"/>
              <w:bottom w:val="single" w:color="auto" w:sz="6" w:space="0"/>
            </w:tcBorders>
            <w:vAlign w:val="center"/>
          </w:tcPr>
          <w:p w14:paraId="7436A9FB">
            <w:pPr>
              <w:jc w:val="center"/>
              <w:rPr>
                <w:rFonts w:cs="Times New Roman"/>
                <w:b/>
                <w:bCs/>
                <w:color w:val="auto"/>
              </w:rPr>
            </w:pPr>
            <w:r>
              <w:rPr>
                <w:rFonts w:cs="Times New Roman"/>
                <w:b/>
                <w:bCs/>
                <w:color w:val="auto"/>
              </w:rPr>
              <w:t>Exposure</w:t>
            </w:r>
          </w:p>
        </w:tc>
        <w:tc>
          <w:tcPr>
            <w:tcW w:w="2204" w:type="dxa"/>
            <w:tcBorders>
              <w:top w:val="single" w:color="auto" w:sz="12" w:space="0"/>
              <w:bottom w:val="single" w:color="auto" w:sz="6" w:space="0"/>
            </w:tcBorders>
            <w:vAlign w:val="center"/>
          </w:tcPr>
          <w:p w14:paraId="7023F33F">
            <w:pPr>
              <w:jc w:val="center"/>
              <w:rPr>
                <w:rFonts w:cs="Times New Roman"/>
                <w:b/>
                <w:bCs/>
                <w:color w:val="auto"/>
              </w:rPr>
            </w:pPr>
            <w:r>
              <w:rPr>
                <w:rFonts w:cs="Times New Roman"/>
                <w:b/>
                <w:bCs/>
                <w:color w:val="auto"/>
              </w:rPr>
              <w:t xml:space="preserve">Cox Model HR </w:t>
            </w:r>
          </w:p>
          <w:p w14:paraId="2E37BBD6">
            <w:pPr>
              <w:jc w:val="center"/>
              <w:rPr>
                <w:rFonts w:cs="Times New Roman"/>
                <w:b/>
                <w:bCs/>
                <w:color w:val="auto"/>
              </w:rPr>
            </w:pPr>
            <w:r>
              <w:rPr>
                <w:rFonts w:cs="Times New Roman"/>
                <w:b/>
                <w:bCs/>
                <w:color w:val="auto"/>
              </w:rPr>
              <w:t>(95% CI)</w:t>
            </w:r>
          </w:p>
        </w:tc>
        <w:tc>
          <w:tcPr>
            <w:tcW w:w="864" w:type="dxa"/>
            <w:tcBorders>
              <w:top w:val="single" w:color="auto" w:sz="12" w:space="0"/>
              <w:bottom w:val="single" w:color="auto" w:sz="6" w:space="0"/>
            </w:tcBorders>
            <w:vAlign w:val="center"/>
          </w:tcPr>
          <w:p w14:paraId="2B2DD5A3">
            <w:pPr>
              <w:jc w:val="center"/>
              <w:rPr>
                <w:rFonts w:cs="Times New Roman"/>
                <w:b/>
                <w:bCs/>
                <w:color w:val="auto"/>
              </w:rPr>
            </w:pPr>
            <w:r>
              <w:rPr>
                <w:rFonts w:cs="Times New Roman"/>
                <w:b/>
                <w:bCs/>
                <w:i/>
                <w:iCs/>
                <w:color w:val="auto"/>
              </w:rPr>
              <w:t>P</w:t>
            </w:r>
            <w:r>
              <w:rPr>
                <w:rFonts w:cs="Times New Roman"/>
                <w:b/>
                <w:bCs/>
                <w:color w:val="auto"/>
              </w:rPr>
              <w:t xml:space="preserve"> value</w:t>
            </w:r>
          </w:p>
        </w:tc>
        <w:tc>
          <w:tcPr>
            <w:tcW w:w="3188" w:type="dxa"/>
            <w:tcBorders>
              <w:top w:val="single" w:color="auto" w:sz="12" w:space="0"/>
              <w:bottom w:val="single" w:color="auto" w:sz="6" w:space="0"/>
            </w:tcBorders>
            <w:vAlign w:val="center"/>
          </w:tcPr>
          <w:p w14:paraId="1869A057">
            <w:pPr>
              <w:jc w:val="center"/>
              <w:rPr>
                <w:rFonts w:cs="Times New Roman"/>
                <w:b/>
                <w:bCs/>
                <w:color w:val="auto"/>
              </w:rPr>
            </w:pPr>
            <w:r>
              <w:rPr>
                <w:rFonts w:cs="Times New Roman"/>
                <w:b/>
                <w:bCs/>
                <w:color w:val="auto"/>
              </w:rPr>
              <w:t>Competing Risk Model SHR (95% CI)</w:t>
            </w:r>
          </w:p>
        </w:tc>
        <w:tc>
          <w:tcPr>
            <w:tcW w:w="880" w:type="dxa"/>
            <w:tcBorders>
              <w:top w:val="single" w:color="auto" w:sz="12" w:space="0"/>
              <w:bottom w:val="single" w:color="auto" w:sz="6" w:space="0"/>
            </w:tcBorders>
            <w:vAlign w:val="center"/>
          </w:tcPr>
          <w:p w14:paraId="2738E015">
            <w:pPr>
              <w:jc w:val="center"/>
              <w:rPr>
                <w:rFonts w:cs="Times New Roman"/>
                <w:b/>
                <w:bCs/>
                <w:color w:val="auto"/>
              </w:rPr>
            </w:pPr>
            <w:r>
              <w:rPr>
                <w:rFonts w:cs="Times New Roman"/>
                <w:b/>
                <w:bCs/>
                <w:i/>
                <w:iCs/>
                <w:color w:val="auto"/>
              </w:rPr>
              <w:t>P</w:t>
            </w:r>
            <w:r>
              <w:rPr>
                <w:rFonts w:cs="Times New Roman"/>
                <w:b/>
                <w:bCs/>
                <w:color w:val="auto"/>
              </w:rPr>
              <w:t xml:space="preserve"> value</w:t>
            </w:r>
          </w:p>
        </w:tc>
      </w:tr>
      <w:tr w14:paraId="3FC6D00E">
        <w:tblPrEx>
          <w:tblCellMar>
            <w:top w:w="0" w:type="dxa"/>
            <w:left w:w="0" w:type="dxa"/>
            <w:bottom w:w="0" w:type="dxa"/>
            <w:right w:w="0" w:type="dxa"/>
          </w:tblCellMar>
        </w:tblPrEx>
        <w:trPr>
          <w:trHeight w:val="345" w:hRule="atLeast"/>
          <w:jc w:val="center"/>
        </w:trPr>
        <w:tc>
          <w:tcPr>
            <w:tcW w:w="1761" w:type="dxa"/>
            <w:tcBorders>
              <w:top w:val="single" w:color="auto" w:sz="6" w:space="0"/>
            </w:tcBorders>
            <w:vAlign w:val="center"/>
          </w:tcPr>
          <w:p w14:paraId="335E2EFD">
            <w:pPr>
              <w:jc w:val="center"/>
              <w:rPr>
                <w:rFonts w:cs="Times New Roman"/>
                <w:color w:val="auto"/>
              </w:rPr>
            </w:pPr>
            <w:r>
              <w:rPr>
                <w:rFonts w:cs="Times New Roman"/>
                <w:color w:val="auto"/>
              </w:rPr>
              <w:t>Continuous TyGFI</w:t>
            </w:r>
          </w:p>
        </w:tc>
        <w:tc>
          <w:tcPr>
            <w:tcW w:w="2204" w:type="dxa"/>
            <w:tcBorders>
              <w:top w:val="single" w:color="auto" w:sz="6" w:space="0"/>
            </w:tcBorders>
            <w:vAlign w:val="center"/>
          </w:tcPr>
          <w:p w14:paraId="3F3D7D1F">
            <w:pPr>
              <w:jc w:val="center"/>
              <w:rPr>
                <w:rFonts w:cs="Times New Roman"/>
                <w:color w:val="auto"/>
              </w:rPr>
            </w:pPr>
            <w:r>
              <w:rPr>
                <w:rFonts w:cs="Times New Roman"/>
                <w:color w:val="auto"/>
              </w:rPr>
              <w:t>1.52 (1.32-1.76)</w:t>
            </w:r>
          </w:p>
        </w:tc>
        <w:tc>
          <w:tcPr>
            <w:tcW w:w="864" w:type="dxa"/>
            <w:tcBorders>
              <w:top w:val="single" w:color="auto" w:sz="6" w:space="0"/>
            </w:tcBorders>
            <w:vAlign w:val="center"/>
          </w:tcPr>
          <w:p w14:paraId="34F5E69A">
            <w:pPr>
              <w:jc w:val="center"/>
              <w:rPr>
                <w:rFonts w:cs="Times New Roman"/>
                <w:color w:val="auto"/>
              </w:rPr>
            </w:pPr>
            <w:r>
              <w:rPr>
                <w:rFonts w:cs="Times New Roman"/>
                <w:color w:val="auto"/>
              </w:rPr>
              <w:t>&lt;0.001</w:t>
            </w:r>
          </w:p>
        </w:tc>
        <w:tc>
          <w:tcPr>
            <w:tcW w:w="3188" w:type="dxa"/>
            <w:tcBorders>
              <w:top w:val="single" w:color="auto" w:sz="6" w:space="0"/>
            </w:tcBorders>
            <w:vAlign w:val="center"/>
          </w:tcPr>
          <w:p w14:paraId="589C81B4">
            <w:pPr>
              <w:jc w:val="center"/>
              <w:rPr>
                <w:rFonts w:cs="Times New Roman"/>
                <w:color w:val="auto"/>
              </w:rPr>
            </w:pPr>
            <w:r>
              <w:rPr>
                <w:rFonts w:cs="Times New Roman"/>
                <w:color w:val="auto"/>
              </w:rPr>
              <w:t>1.19 (1.04-1.35)</w:t>
            </w:r>
          </w:p>
        </w:tc>
        <w:tc>
          <w:tcPr>
            <w:tcW w:w="880" w:type="dxa"/>
            <w:tcBorders>
              <w:top w:val="single" w:color="auto" w:sz="6" w:space="0"/>
            </w:tcBorders>
            <w:vAlign w:val="center"/>
          </w:tcPr>
          <w:p w14:paraId="0728B57A">
            <w:pPr>
              <w:jc w:val="center"/>
              <w:rPr>
                <w:rFonts w:cs="Times New Roman"/>
                <w:color w:val="auto"/>
              </w:rPr>
            </w:pPr>
            <w:r>
              <w:rPr>
                <w:rFonts w:cs="Times New Roman"/>
                <w:color w:val="auto"/>
              </w:rPr>
              <w:t>0.010</w:t>
            </w:r>
          </w:p>
        </w:tc>
      </w:tr>
      <w:tr w14:paraId="15721FF1">
        <w:tblPrEx>
          <w:tblCellMar>
            <w:top w:w="0" w:type="dxa"/>
            <w:left w:w="0" w:type="dxa"/>
            <w:bottom w:w="0" w:type="dxa"/>
            <w:right w:w="0" w:type="dxa"/>
          </w:tblCellMar>
        </w:tblPrEx>
        <w:trPr>
          <w:trHeight w:val="345" w:hRule="atLeast"/>
          <w:jc w:val="center"/>
        </w:trPr>
        <w:tc>
          <w:tcPr>
            <w:tcW w:w="1761" w:type="dxa"/>
            <w:vAlign w:val="center"/>
          </w:tcPr>
          <w:p w14:paraId="49286E8B">
            <w:pPr>
              <w:jc w:val="center"/>
              <w:rPr>
                <w:rFonts w:cs="Times New Roman"/>
                <w:color w:val="auto"/>
              </w:rPr>
            </w:pPr>
            <w:r>
              <w:rPr>
                <w:rFonts w:cs="Times New Roman"/>
                <w:color w:val="auto"/>
              </w:rPr>
              <w:t>TyGFI tertiles</w:t>
            </w:r>
          </w:p>
        </w:tc>
        <w:tc>
          <w:tcPr>
            <w:tcW w:w="2204" w:type="dxa"/>
            <w:vAlign w:val="center"/>
          </w:tcPr>
          <w:p w14:paraId="2F25B2F3">
            <w:pPr>
              <w:jc w:val="center"/>
              <w:rPr>
                <w:rFonts w:cs="Times New Roman"/>
                <w:color w:val="auto"/>
              </w:rPr>
            </w:pPr>
          </w:p>
        </w:tc>
        <w:tc>
          <w:tcPr>
            <w:tcW w:w="864" w:type="dxa"/>
            <w:vAlign w:val="center"/>
          </w:tcPr>
          <w:p w14:paraId="544ECFB2">
            <w:pPr>
              <w:jc w:val="center"/>
              <w:rPr>
                <w:rFonts w:cs="Times New Roman"/>
                <w:color w:val="auto"/>
              </w:rPr>
            </w:pPr>
          </w:p>
        </w:tc>
        <w:tc>
          <w:tcPr>
            <w:tcW w:w="3188" w:type="dxa"/>
            <w:vAlign w:val="center"/>
          </w:tcPr>
          <w:p w14:paraId="6E82BB13">
            <w:pPr>
              <w:jc w:val="center"/>
              <w:rPr>
                <w:rFonts w:cs="Times New Roman"/>
                <w:color w:val="auto"/>
              </w:rPr>
            </w:pPr>
          </w:p>
        </w:tc>
        <w:tc>
          <w:tcPr>
            <w:tcW w:w="880" w:type="dxa"/>
            <w:vAlign w:val="center"/>
          </w:tcPr>
          <w:p w14:paraId="284FB8D2">
            <w:pPr>
              <w:jc w:val="center"/>
              <w:rPr>
                <w:rFonts w:cs="Times New Roman"/>
                <w:color w:val="auto"/>
              </w:rPr>
            </w:pPr>
          </w:p>
        </w:tc>
      </w:tr>
      <w:tr w14:paraId="5255C068">
        <w:tblPrEx>
          <w:tblCellMar>
            <w:top w:w="0" w:type="dxa"/>
            <w:left w:w="0" w:type="dxa"/>
            <w:bottom w:w="0" w:type="dxa"/>
            <w:right w:w="0" w:type="dxa"/>
          </w:tblCellMar>
        </w:tblPrEx>
        <w:trPr>
          <w:trHeight w:val="345" w:hRule="atLeast"/>
          <w:jc w:val="center"/>
        </w:trPr>
        <w:tc>
          <w:tcPr>
            <w:tcW w:w="1761" w:type="dxa"/>
            <w:vAlign w:val="center"/>
          </w:tcPr>
          <w:p w14:paraId="5640173F">
            <w:pPr>
              <w:jc w:val="center"/>
              <w:rPr>
                <w:rFonts w:cs="Times New Roman"/>
                <w:color w:val="auto"/>
              </w:rPr>
            </w:pPr>
            <w:r>
              <w:rPr>
                <w:rFonts w:cs="Times New Roman"/>
                <w:color w:val="auto"/>
              </w:rPr>
              <w:t>T1 (0.08-0.82)</w:t>
            </w:r>
          </w:p>
        </w:tc>
        <w:tc>
          <w:tcPr>
            <w:tcW w:w="2204" w:type="dxa"/>
            <w:vAlign w:val="center"/>
          </w:tcPr>
          <w:p w14:paraId="73C8BCA7">
            <w:pPr>
              <w:jc w:val="center"/>
              <w:rPr>
                <w:rFonts w:cs="Times New Roman"/>
                <w:color w:val="auto"/>
              </w:rPr>
            </w:pPr>
            <w:r>
              <w:rPr>
                <w:rFonts w:cs="Times New Roman"/>
                <w:color w:val="auto"/>
              </w:rPr>
              <w:t>Reference</w:t>
            </w:r>
          </w:p>
        </w:tc>
        <w:tc>
          <w:tcPr>
            <w:tcW w:w="864" w:type="dxa"/>
            <w:vAlign w:val="center"/>
          </w:tcPr>
          <w:p w14:paraId="76FA3AAA">
            <w:pPr>
              <w:jc w:val="center"/>
              <w:rPr>
                <w:rFonts w:cs="Times New Roman"/>
                <w:color w:val="auto"/>
              </w:rPr>
            </w:pPr>
            <w:r>
              <w:rPr>
                <w:rFonts w:cs="Times New Roman"/>
                <w:color w:val="auto"/>
              </w:rPr>
              <w:t>-</w:t>
            </w:r>
          </w:p>
        </w:tc>
        <w:tc>
          <w:tcPr>
            <w:tcW w:w="3188" w:type="dxa"/>
            <w:vAlign w:val="center"/>
          </w:tcPr>
          <w:p w14:paraId="78A99074">
            <w:pPr>
              <w:jc w:val="center"/>
              <w:rPr>
                <w:rFonts w:cs="Times New Roman"/>
                <w:color w:val="auto"/>
              </w:rPr>
            </w:pPr>
            <w:r>
              <w:rPr>
                <w:rFonts w:cs="Times New Roman"/>
                <w:color w:val="auto"/>
              </w:rPr>
              <w:t>Reference</w:t>
            </w:r>
          </w:p>
        </w:tc>
        <w:tc>
          <w:tcPr>
            <w:tcW w:w="880" w:type="dxa"/>
            <w:vAlign w:val="center"/>
          </w:tcPr>
          <w:p w14:paraId="1C17A65B">
            <w:pPr>
              <w:jc w:val="center"/>
              <w:rPr>
                <w:rFonts w:cs="Times New Roman"/>
                <w:color w:val="auto"/>
              </w:rPr>
            </w:pPr>
            <w:r>
              <w:rPr>
                <w:rFonts w:cs="Times New Roman"/>
                <w:color w:val="auto"/>
              </w:rPr>
              <w:t>-</w:t>
            </w:r>
          </w:p>
        </w:tc>
      </w:tr>
      <w:tr w14:paraId="4D33A315">
        <w:tblPrEx>
          <w:tblCellMar>
            <w:top w:w="0" w:type="dxa"/>
            <w:left w:w="0" w:type="dxa"/>
            <w:bottom w:w="0" w:type="dxa"/>
            <w:right w:w="0" w:type="dxa"/>
          </w:tblCellMar>
        </w:tblPrEx>
        <w:trPr>
          <w:trHeight w:val="345" w:hRule="atLeast"/>
          <w:jc w:val="center"/>
        </w:trPr>
        <w:tc>
          <w:tcPr>
            <w:tcW w:w="1761" w:type="dxa"/>
            <w:vAlign w:val="center"/>
          </w:tcPr>
          <w:p w14:paraId="3EC33D55">
            <w:pPr>
              <w:jc w:val="center"/>
              <w:rPr>
                <w:rFonts w:cs="Times New Roman"/>
                <w:color w:val="auto"/>
              </w:rPr>
            </w:pPr>
            <w:r>
              <w:rPr>
                <w:rFonts w:cs="Times New Roman"/>
                <w:color w:val="auto"/>
              </w:rPr>
              <w:t>T2 (0.82-1.49)</w:t>
            </w:r>
          </w:p>
        </w:tc>
        <w:tc>
          <w:tcPr>
            <w:tcW w:w="2204" w:type="dxa"/>
            <w:vAlign w:val="center"/>
          </w:tcPr>
          <w:p w14:paraId="6314C0C4">
            <w:pPr>
              <w:jc w:val="center"/>
              <w:rPr>
                <w:rFonts w:cs="Times New Roman"/>
                <w:color w:val="auto"/>
              </w:rPr>
            </w:pPr>
            <w:r>
              <w:rPr>
                <w:rFonts w:cs="Times New Roman"/>
                <w:color w:val="auto"/>
              </w:rPr>
              <w:t>1.58 (1.09-2.30)</w:t>
            </w:r>
          </w:p>
        </w:tc>
        <w:tc>
          <w:tcPr>
            <w:tcW w:w="864" w:type="dxa"/>
            <w:vAlign w:val="center"/>
          </w:tcPr>
          <w:p w14:paraId="2E3405B5">
            <w:pPr>
              <w:jc w:val="center"/>
              <w:rPr>
                <w:rFonts w:cs="Times New Roman"/>
                <w:color w:val="auto"/>
              </w:rPr>
            </w:pPr>
            <w:r>
              <w:rPr>
                <w:rFonts w:cs="Times New Roman"/>
                <w:color w:val="auto"/>
              </w:rPr>
              <w:t>0.017</w:t>
            </w:r>
          </w:p>
        </w:tc>
        <w:tc>
          <w:tcPr>
            <w:tcW w:w="3188" w:type="dxa"/>
            <w:vAlign w:val="center"/>
          </w:tcPr>
          <w:p w14:paraId="1CCBB6D0">
            <w:pPr>
              <w:jc w:val="center"/>
              <w:rPr>
                <w:rFonts w:cs="Times New Roman"/>
                <w:color w:val="auto"/>
              </w:rPr>
            </w:pPr>
            <w:r>
              <w:rPr>
                <w:rFonts w:cs="Times New Roman"/>
                <w:color w:val="auto"/>
              </w:rPr>
              <w:t>1.34 (0.87-2.06)</w:t>
            </w:r>
          </w:p>
        </w:tc>
        <w:tc>
          <w:tcPr>
            <w:tcW w:w="880" w:type="dxa"/>
            <w:vAlign w:val="center"/>
          </w:tcPr>
          <w:p w14:paraId="4E311D08">
            <w:pPr>
              <w:jc w:val="center"/>
              <w:rPr>
                <w:rFonts w:cs="Times New Roman"/>
                <w:color w:val="auto"/>
              </w:rPr>
            </w:pPr>
            <w:r>
              <w:rPr>
                <w:rFonts w:cs="Times New Roman"/>
                <w:color w:val="auto"/>
              </w:rPr>
              <w:t>0.181</w:t>
            </w:r>
          </w:p>
        </w:tc>
      </w:tr>
      <w:tr w14:paraId="34307364">
        <w:tblPrEx>
          <w:tblCellMar>
            <w:top w:w="0" w:type="dxa"/>
            <w:left w:w="0" w:type="dxa"/>
            <w:bottom w:w="0" w:type="dxa"/>
            <w:right w:w="0" w:type="dxa"/>
          </w:tblCellMar>
        </w:tblPrEx>
        <w:trPr>
          <w:trHeight w:val="345" w:hRule="atLeast"/>
          <w:jc w:val="center"/>
        </w:trPr>
        <w:tc>
          <w:tcPr>
            <w:tcW w:w="1761" w:type="dxa"/>
            <w:tcBorders>
              <w:bottom w:val="single" w:color="auto" w:sz="12" w:space="0"/>
            </w:tcBorders>
            <w:vAlign w:val="center"/>
          </w:tcPr>
          <w:p w14:paraId="51043B0A">
            <w:pPr>
              <w:jc w:val="center"/>
              <w:rPr>
                <w:rFonts w:cs="Times New Roman"/>
                <w:color w:val="auto"/>
              </w:rPr>
            </w:pPr>
            <w:r>
              <w:rPr>
                <w:rFonts w:cs="Times New Roman"/>
                <w:color w:val="auto"/>
              </w:rPr>
              <w:t>T3 (1.49-5.98)</w:t>
            </w:r>
          </w:p>
        </w:tc>
        <w:tc>
          <w:tcPr>
            <w:tcW w:w="2204" w:type="dxa"/>
            <w:tcBorders>
              <w:bottom w:val="single" w:color="auto" w:sz="12" w:space="0"/>
            </w:tcBorders>
            <w:vAlign w:val="center"/>
          </w:tcPr>
          <w:p w14:paraId="2A59C361">
            <w:pPr>
              <w:jc w:val="center"/>
              <w:rPr>
                <w:rFonts w:cs="Times New Roman"/>
                <w:color w:val="auto"/>
              </w:rPr>
            </w:pPr>
            <w:r>
              <w:rPr>
                <w:rFonts w:cs="Times New Roman"/>
                <w:color w:val="auto"/>
              </w:rPr>
              <w:t>3.14 (2.18-4.52)</w:t>
            </w:r>
          </w:p>
        </w:tc>
        <w:tc>
          <w:tcPr>
            <w:tcW w:w="864" w:type="dxa"/>
            <w:tcBorders>
              <w:bottom w:val="single" w:color="auto" w:sz="12" w:space="0"/>
            </w:tcBorders>
            <w:vAlign w:val="center"/>
          </w:tcPr>
          <w:p w14:paraId="50A9246C">
            <w:pPr>
              <w:jc w:val="center"/>
              <w:rPr>
                <w:rFonts w:cs="Times New Roman"/>
                <w:color w:val="auto"/>
              </w:rPr>
            </w:pPr>
            <w:r>
              <w:rPr>
                <w:rFonts w:cs="Times New Roman"/>
                <w:color w:val="auto"/>
              </w:rPr>
              <w:t>&lt;0.001</w:t>
            </w:r>
          </w:p>
        </w:tc>
        <w:tc>
          <w:tcPr>
            <w:tcW w:w="3188" w:type="dxa"/>
            <w:tcBorders>
              <w:bottom w:val="single" w:color="auto" w:sz="12" w:space="0"/>
            </w:tcBorders>
            <w:vAlign w:val="center"/>
          </w:tcPr>
          <w:p w14:paraId="03E72851">
            <w:pPr>
              <w:jc w:val="center"/>
              <w:rPr>
                <w:rFonts w:cs="Times New Roman"/>
                <w:color w:val="auto"/>
              </w:rPr>
            </w:pPr>
            <w:r>
              <w:rPr>
                <w:rFonts w:cs="Times New Roman"/>
                <w:color w:val="auto"/>
              </w:rPr>
              <w:t>2.18 (1.43-3.34)</w:t>
            </w:r>
          </w:p>
        </w:tc>
        <w:tc>
          <w:tcPr>
            <w:tcW w:w="880" w:type="dxa"/>
            <w:tcBorders>
              <w:bottom w:val="single" w:color="auto" w:sz="12" w:space="0"/>
            </w:tcBorders>
            <w:vAlign w:val="center"/>
          </w:tcPr>
          <w:p w14:paraId="5602602D">
            <w:pPr>
              <w:jc w:val="center"/>
              <w:rPr>
                <w:rFonts w:cs="Times New Roman"/>
                <w:color w:val="auto"/>
              </w:rPr>
            </w:pPr>
            <w:r>
              <w:rPr>
                <w:rFonts w:cs="Times New Roman"/>
                <w:color w:val="auto"/>
              </w:rPr>
              <w:t>&lt;0.001</w:t>
            </w:r>
          </w:p>
        </w:tc>
      </w:tr>
    </w:tbl>
    <w:p w14:paraId="41C7A363">
      <w:pPr>
        <w:rPr>
          <w:rFonts w:cs="Times New Roman"/>
          <w:color w:val="auto"/>
        </w:rPr>
      </w:pPr>
      <w:r>
        <w:rPr>
          <w:rFonts w:hint="eastAsia" w:cs="Times New Roman"/>
          <w:color w:val="auto"/>
        </w:rPr>
        <w:t>A</w:t>
      </w:r>
      <w:r>
        <w:rPr>
          <w:rFonts w:cs="Times New Roman"/>
          <w:color w:val="auto"/>
        </w:rPr>
        <w:t xml:space="preserve">djusted for age, sex, race, marital status, education level, smoking status, alcohol consumption, BMI, hypertension, stroke history, eGFR, and poverty-income ratio. </w:t>
      </w:r>
      <w:r>
        <w:rPr>
          <w:rFonts w:hint="eastAsia" w:cs="Times New Roman"/>
          <w:color w:val="auto"/>
        </w:rPr>
        <w:t xml:space="preserve">TyGFI was analyzed both as a continuous variable and a categorical variable with T1 set as the reference group. </w:t>
      </w:r>
    </w:p>
    <w:p w14:paraId="22D3E190">
      <w:pPr>
        <w:rPr>
          <w:rFonts w:cs="Times New Roman"/>
          <w:color w:val="auto"/>
        </w:rPr>
      </w:pPr>
      <w:r>
        <w:rPr>
          <w:rFonts w:hint="eastAsia" w:cs="Times New Roman"/>
          <w:color w:val="auto"/>
        </w:rPr>
        <w:t>Abbreviations: CI, confidence interval; CVD, cardiovascular disease; eGFR, estimated glomerular filtration rate; HR, hazard ratio; BMI, body mass index; PIR, poverty-income ratio; SHR, subdistribution hazard ratio; T, tertiles; TyGFI, TyGFrailty index.</w:t>
      </w:r>
    </w:p>
    <w:p w14:paraId="35810790"/>
    <w:p w14:paraId="320BE645">
      <w:pPr>
        <w:pStyle w:val="3"/>
        <w:rPr>
          <w:rFonts w:ascii="Times New Roman" w:hAnsi="Times New Roman" w:cs="Times New Roman" w:eastAsiaTheme="minorEastAsia"/>
          <w:b/>
          <w:bCs/>
          <w:color w:val="auto"/>
          <w:sz w:val="28"/>
          <w:szCs w:val="28"/>
        </w:rPr>
      </w:pPr>
    </w:p>
    <w:p w14:paraId="0D8DBF6F">
      <w:pPr>
        <w:pStyle w:val="3"/>
        <w:rPr>
          <w:rFonts w:ascii="Times New Roman" w:hAnsi="Times New Roman" w:cs="Times New Roman" w:eastAsiaTheme="minorEastAsia"/>
          <w:b/>
          <w:bCs/>
          <w:color w:val="auto"/>
          <w:sz w:val="28"/>
          <w:szCs w:val="28"/>
        </w:rPr>
      </w:pPr>
    </w:p>
    <w:p w14:paraId="11F5BB0D">
      <w:pPr>
        <w:pStyle w:val="3"/>
        <w:rPr>
          <w:rFonts w:ascii="Times New Roman" w:hAnsi="Times New Roman" w:cs="Times New Roman" w:eastAsiaTheme="minorEastAsia"/>
          <w:b/>
          <w:bCs/>
          <w:color w:val="auto"/>
          <w:sz w:val="28"/>
          <w:szCs w:val="28"/>
        </w:rPr>
      </w:pPr>
    </w:p>
    <w:p w14:paraId="1B159E44">
      <w:pPr>
        <w:pStyle w:val="3"/>
        <w:rPr>
          <w:rFonts w:ascii="Times New Roman" w:hAnsi="Times New Roman" w:cs="Times New Roman" w:eastAsiaTheme="minorEastAsia"/>
          <w:b/>
          <w:bCs/>
          <w:color w:val="auto"/>
          <w:sz w:val="28"/>
          <w:szCs w:val="28"/>
        </w:rPr>
      </w:pPr>
    </w:p>
    <w:p w14:paraId="2765678D">
      <w:pPr>
        <w:pStyle w:val="3"/>
        <w:rPr>
          <w:rFonts w:ascii="Times New Roman" w:hAnsi="Times New Roman" w:cs="Times New Roman" w:eastAsiaTheme="minorEastAsia"/>
          <w:b/>
          <w:bCs/>
          <w:color w:val="auto"/>
          <w:sz w:val="28"/>
          <w:szCs w:val="28"/>
        </w:rPr>
      </w:pPr>
    </w:p>
    <w:p w14:paraId="784265AF">
      <w:pPr>
        <w:pStyle w:val="3"/>
        <w:rPr>
          <w:rFonts w:ascii="Times New Roman" w:hAnsi="Times New Roman" w:cs="Times New Roman" w:eastAsiaTheme="minorEastAsia"/>
          <w:b/>
          <w:bCs/>
          <w:color w:val="auto"/>
          <w:sz w:val="28"/>
          <w:szCs w:val="28"/>
        </w:rPr>
      </w:pPr>
    </w:p>
    <w:p w14:paraId="2643E622">
      <w:pPr>
        <w:pStyle w:val="3"/>
        <w:rPr>
          <w:rFonts w:ascii="Times New Roman" w:hAnsi="Times New Roman" w:cs="Times New Roman" w:eastAsiaTheme="minorEastAsia"/>
          <w:b/>
          <w:bCs/>
          <w:color w:val="auto"/>
          <w:sz w:val="28"/>
          <w:szCs w:val="28"/>
        </w:rPr>
      </w:pPr>
    </w:p>
    <w:p w14:paraId="15E06E10">
      <w:pPr>
        <w:pStyle w:val="3"/>
        <w:rPr>
          <w:rFonts w:ascii="Times New Roman" w:hAnsi="Times New Roman" w:cs="Times New Roman" w:eastAsiaTheme="minorEastAsia"/>
          <w:b/>
          <w:bCs/>
          <w:color w:val="auto"/>
          <w:sz w:val="28"/>
          <w:szCs w:val="28"/>
        </w:rPr>
      </w:pPr>
    </w:p>
    <w:p w14:paraId="5DEB08C5">
      <w:pPr>
        <w:pStyle w:val="3"/>
        <w:rPr>
          <w:rFonts w:ascii="Times New Roman" w:hAnsi="Times New Roman" w:cs="Times New Roman" w:eastAsiaTheme="minorEastAsia"/>
          <w:b/>
          <w:bCs/>
          <w:color w:val="auto"/>
          <w:sz w:val="28"/>
          <w:szCs w:val="28"/>
        </w:rPr>
      </w:pPr>
    </w:p>
    <w:p w14:paraId="1CBC46CF">
      <w:pPr>
        <w:pStyle w:val="3"/>
        <w:rPr>
          <w:rFonts w:ascii="Times New Roman" w:hAnsi="Times New Roman" w:cs="Times New Roman" w:eastAsiaTheme="minorEastAsia"/>
          <w:b/>
          <w:bCs/>
          <w:color w:val="auto"/>
          <w:sz w:val="28"/>
          <w:szCs w:val="28"/>
        </w:rPr>
      </w:pPr>
    </w:p>
    <w:p w14:paraId="7DF5337C">
      <w:pPr>
        <w:pStyle w:val="3"/>
        <w:rPr>
          <w:rFonts w:ascii="Times New Roman" w:hAnsi="Times New Roman" w:cs="Times New Roman" w:eastAsiaTheme="minorEastAsia"/>
          <w:b/>
          <w:bCs/>
          <w:color w:val="auto"/>
          <w:sz w:val="28"/>
          <w:szCs w:val="28"/>
        </w:rPr>
      </w:pPr>
    </w:p>
    <w:p w14:paraId="42C51668">
      <w:pPr>
        <w:pStyle w:val="3"/>
        <w:keepNext w:val="0"/>
        <w:keepLines w:val="0"/>
        <w:rPr>
          <w:rFonts w:ascii="Times New Roman" w:hAnsi="Times New Roman" w:cs="Times New Roman" w:eastAsiaTheme="minorEastAsia"/>
          <w:b/>
          <w:bCs/>
          <w:color w:val="auto"/>
          <w:sz w:val="28"/>
          <w:szCs w:val="28"/>
        </w:rPr>
      </w:pPr>
    </w:p>
    <w:p w14:paraId="1DF95F16">
      <w:pPr>
        <w:pStyle w:val="3"/>
        <w:keepNext w:val="0"/>
        <w:keepLines w:val="0"/>
        <w:rPr>
          <w:rFonts w:ascii="Times New Roman" w:hAnsi="Times New Roman" w:cs="Times New Roman" w:eastAsiaTheme="minorEastAsia"/>
          <w:b/>
          <w:bCs/>
          <w:color w:val="auto"/>
          <w:sz w:val="28"/>
          <w:szCs w:val="28"/>
        </w:rPr>
      </w:pPr>
    </w:p>
    <w:p w14:paraId="02C19787">
      <w:pPr>
        <w:pStyle w:val="3"/>
        <w:keepNext w:val="0"/>
        <w:keepLines w:val="0"/>
        <w:rPr>
          <w:rFonts w:ascii="Times New Roman" w:hAnsi="Times New Roman" w:cs="Times New Roman" w:eastAsiaTheme="minorEastAsia"/>
          <w:b/>
          <w:bCs/>
          <w:color w:val="auto"/>
          <w:sz w:val="28"/>
          <w:szCs w:val="28"/>
        </w:rPr>
      </w:pPr>
      <w:bookmarkStart w:id="32" w:name="_Toc218184827"/>
      <w:r>
        <w:rPr>
          <w:rFonts w:ascii="Times New Roman" w:hAnsi="Times New Roman" w:cs="Times New Roman" w:eastAsiaTheme="minorEastAsia"/>
          <w:b/>
          <w:bCs/>
          <w:color w:val="auto"/>
          <w:sz w:val="28"/>
          <w:szCs w:val="28"/>
        </w:rPr>
        <w:t>VI</w:t>
      </w:r>
      <w:r>
        <w:rPr>
          <w:rFonts w:hint="eastAsia" w:ascii="Times New Roman" w:hAnsi="Times New Roman" w:cs="Times New Roman" w:eastAsiaTheme="minorEastAsia"/>
          <w:b/>
          <w:bCs/>
          <w:color w:val="auto"/>
          <w:sz w:val="28"/>
          <w:szCs w:val="28"/>
        </w:rPr>
        <w:t>I</w:t>
      </w:r>
      <w:r>
        <w:rPr>
          <w:rFonts w:ascii="Times New Roman" w:hAnsi="Times New Roman" w:cs="Times New Roman" w:eastAsiaTheme="minorEastAsia"/>
          <w:b/>
          <w:bCs/>
          <w:color w:val="auto"/>
          <w:sz w:val="28"/>
          <w:szCs w:val="28"/>
        </w:rPr>
        <w:t xml:space="preserve">.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Threshold </w:t>
      </w:r>
      <w:r>
        <w:rPr>
          <w:rFonts w:hint="eastAsia" w:ascii="Times New Roman" w:hAnsi="Times New Roman" w:cs="Times New Roman"/>
          <w:b/>
          <w:bCs/>
          <w:color w:val="auto"/>
          <w:sz w:val="28"/>
          <w:szCs w:val="28"/>
        </w:rPr>
        <w:t>e</w:t>
      </w:r>
      <w:r>
        <w:rPr>
          <w:rFonts w:ascii="Times New Roman" w:hAnsi="Times New Roman" w:cs="Times New Roman"/>
          <w:b/>
          <w:bCs/>
          <w:color w:val="auto"/>
          <w:sz w:val="28"/>
          <w:szCs w:val="28"/>
        </w:rPr>
        <w:t xml:space="preserve">ffect </w:t>
      </w:r>
      <w:r>
        <w:rPr>
          <w:rFonts w:hint="eastAsia" w:ascii="Times New Roman" w:hAnsi="Times New Roman" w:cs="Times New Roman"/>
          <w:b/>
          <w:bCs/>
          <w:color w:val="auto"/>
          <w:sz w:val="28"/>
          <w:szCs w:val="28"/>
        </w:rPr>
        <w:t>a</w:t>
      </w:r>
      <w:r>
        <w:rPr>
          <w:rFonts w:ascii="Times New Roman" w:hAnsi="Times New Roman" w:cs="Times New Roman"/>
          <w:b/>
          <w:bCs/>
          <w:color w:val="auto"/>
          <w:sz w:val="28"/>
          <w:szCs w:val="28"/>
        </w:rPr>
        <w:t xml:space="preserve">nalyses of TyGFI </w:t>
      </w:r>
      <w:r>
        <w:rPr>
          <w:rFonts w:ascii="Times New Roman" w:hAnsi="Times New Roman" w:cs="Times New Roman" w:eastAsiaTheme="minorEastAsia"/>
          <w:b/>
          <w:bCs/>
          <w:color w:val="auto"/>
          <w:sz w:val="28"/>
          <w:szCs w:val="28"/>
        </w:rPr>
        <w:t>and</w:t>
      </w:r>
      <w:r>
        <w:rPr>
          <w:rFonts w:ascii="Times New Roman" w:hAnsi="Times New Roman" w:cs="Times New Roman" w:eastAsiaTheme="minorEastAsia"/>
          <w:b/>
          <w:bCs/>
          <w:color w:val="auto"/>
          <w:sz w:val="28"/>
          <w:szCs w:val="28"/>
        </w:rPr>
        <w:fldChar w:fldCharType="end"/>
      </w:r>
      <w:r>
        <w:rPr>
          <w:rFonts w:ascii="Times New Roman" w:hAnsi="Times New Roman" w:cs="Times New Roman" w:eastAsiaTheme="minorEastAsia"/>
          <w:b/>
          <w:bCs/>
          <w:color w:val="auto"/>
          <w:sz w:val="28"/>
          <w:szCs w:val="28"/>
        </w:rPr>
        <w:t xml:space="preserve"> mortality</w:t>
      </w:r>
      <w:bookmarkEnd w:id="32"/>
    </w:p>
    <w:bookmarkEnd w:id="26"/>
    <w:p w14:paraId="57DEC2ED">
      <w:pPr>
        <w:pStyle w:val="4"/>
        <w:rPr>
          <w:rFonts w:ascii="Times New Roman" w:hAnsi="Times New Roman" w:cs="Times New Roman"/>
          <w:b/>
          <w:color w:val="auto"/>
          <w:sz w:val="24"/>
          <w:szCs w:val="24"/>
        </w:rPr>
      </w:pPr>
    </w:p>
    <w:p w14:paraId="17E8D060">
      <w:pPr>
        <w:pStyle w:val="4"/>
        <w:rPr>
          <w:rFonts w:ascii="Times New Roman" w:hAnsi="Times New Roman" w:cs="Times New Roman"/>
          <w:color w:val="auto"/>
          <w:sz w:val="24"/>
          <w:szCs w:val="24"/>
        </w:rPr>
      </w:pPr>
      <w:bookmarkStart w:id="33" w:name="_Toc218184828"/>
      <w:r>
        <w:rPr>
          <w:rFonts w:ascii="Times New Roman" w:hAnsi="Times New Roman" w:cs="Times New Roman"/>
          <w:b/>
          <w:color w:val="auto"/>
          <w:sz w:val="24"/>
          <w:szCs w:val="24"/>
        </w:rPr>
        <w:t>Table S1</w:t>
      </w:r>
      <w:r>
        <w:rPr>
          <w:rFonts w:hint="eastAsia" w:ascii="Times New Roman" w:hAnsi="Times New Roman" w:cs="Times New Roman"/>
          <w:b/>
          <w:color w:val="auto"/>
          <w:sz w:val="24"/>
          <w:szCs w:val="24"/>
        </w:rPr>
        <w:t>3</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Threshold effect analysis of the TyGFI and all-cause mortality</w:t>
      </w:r>
      <w:bookmarkEnd w:id="33"/>
      <w:r>
        <w:rPr>
          <w:rFonts w:ascii="Times New Roman" w:hAnsi="Times New Roman" w:cs="Times New Roman"/>
          <w:color w:val="auto"/>
          <w:sz w:val="24"/>
          <w:szCs w:val="24"/>
        </w:rPr>
        <w:t xml:space="preserve"> </w:t>
      </w:r>
    </w:p>
    <w:tbl>
      <w:tblPr>
        <w:tblStyle w:val="18"/>
        <w:tblW w:w="9159" w:type="dxa"/>
        <w:jc w:val="center"/>
        <w:tblLayout w:type="fixed"/>
        <w:tblCellMar>
          <w:top w:w="0" w:type="dxa"/>
          <w:left w:w="108" w:type="dxa"/>
          <w:bottom w:w="0" w:type="dxa"/>
          <w:right w:w="108" w:type="dxa"/>
        </w:tblCellMar>
      </w:tblPr>
      <w:tblGrid>
        <w:gridCol w:w="3432"/>
        <w:gridCol w:w="1743"/>
        <w:gridCol w:w="1051"/>
        <w:gridCol w:w="1893"/>
        <w:gridCol w:w="1040"/>
      </w:tblGrid>
      <w:tr w14:paraId="215D5F9E">
        <w:tblPrEx>
          <w:tblCellMar>
            <w:top w:w="0" w:type="dxa"/>
            <w:left w:w="108" w:type="dxa"/>
            <w:bottom w:w="0" w:type="dxa"/>
            <w:right w:w="108" w:type="dxa"/>
          </w:tblCellMar>
        </w:tblPrEx>
        <w:trPr>
          <w:trHeight w:val="355" w:hRule="atLeast"/>
          <w:jc w:val="center"/>
        </w:trPr>
        <w:tc>
          <w:tcPr>
            <w:tcW w:w="3432" w:type="dxa"/>
            <w:vMerge w:val="restart"/>
            <w:tcBorders>
              <w:top w:val="single" w:color="auto" w:sz="12" w:space="0"/>
            </w:tcBorders>
            <w:shd w:val="clear" w:color="auto" w:fill="FFFFFF" w:themeFill="background1"/>
          </w:tcPr>
          <w:p w14:paraId="598EA7EC">
            <w:pPr>
              <w:rPr>
                <w:b/>
                <w:bCs/>
                <w:color w:val="auto"/>
                <w:sz w:val="21"/>
                <w:szCs w:val="21"/>
              </w:rPr>
            </w:pPr>
            <w:r>
              <w:rPr>
                <w:b/>
                <w:bCs/>
                <w:color w:val="auto"/>
                <w:sz w:val="21"/>
                <w:szCs w:val="21"/>
              </w:rPr>
              <w:t>Models</w:t>
            </w:r>
          </w:p>
        </w:tc>
        <w:tc>
          <w:tcPr>
            <w:tcW w:w="2794" w:type="dxa"/>
            <w:gridSpan w:val="2"/>
            <w:tcBorders>
              <w:top w:val="single" w:color="auto" w:sz="12" w:space="0"/>
              <w:bottom w:val="single" w:color="auto" w:sz="6" w:space="0"/>
            </w:tcBorders>
            <w:shd w:val="clear" w:color="auto" w:fill="FFFFFF" w:themeFill="background1"/>
          </w:tcPr>
          <w:p w14:paraId="50CCF9A7">
            <w:pPr>
              <w:jc w:val="center"/>
              <w:rPr>
                <w:b/>
                <w:bCs/>
                <w:color w:val="auto"/>
                <w:sz w:val="21"/>
                <w:szCs w:val="21"/>
              </w:rPr>
            </w:pPr>
            <w:r>
              <w:rPr>
                <w:b/>
                <w:bCs/>
                <w:color w:val="auto"/>
                <w:sz w:val="21"/>
                <w:szCs w:val="21"/>
              </w:rPr>
              <w:t>Per-unit increase</w:t>
            </w:r>
          </w:p>
        </w:tc>
        <w:tc>
          <w:tcPr>
            <w:tcW w:w="2933" w:type="dxa"/>
            <w:gridSpan w:val="2"/>
            <w:tcBorders>
              <w:top w:val="single" w:color="auto" w:sz="12" w:space="0"/>
              <w:bottom w:val="single" w:color="auto" w:sz="6" w:space="0"/>
            </w:tcBorders>
            <w:shd w:val="clear" w:color="auto" w:fill="FFFFFF" w:themeFill="background1"/>
          </w:tcPr>
          <w:p w14:paraId="62924B3D">
            <w:pPr>
              <w:jc w:val="center"/>
              <w:rPr>
                <w:b/>
                <w:bCs/>
                <w:color w:val="auto"/>
                <w:sz w:val="21"/>
                <w:szCs w:val="21"/>
              </w:rPr>
            </w:pPr>
            <w:r>
              <w:rPr>
                <w:b/>
                <w:bCs/>
                <w:color w:val="auto"/>
                <w:sz w:val="21"/>
                <w:szCs w:val="21"/>
              </w:rPr>
              <w:t>Per-SD increase</w:t>
            </w:r>
          </w:p>
        </w:tc>
      </w:tr>
      <w:tr w14:paraId="7FF0C49A">
        <w:tblPrEx>
          <w:tblCellMar>
            <w:top w:w="0" w:type="dxa"/>
            <w:left w:w="108" w:type="dxa"/>
            <w:bottom w:w="0" w:type="dxa"/>
            <w:right w:w="108" w:type="dxa"/>
          </w:tblCellMar>
        </w:tblPrEx>
        <w:trPr>
          <w:trHeight w:val="689" w:hRule="atLeast"/>
          <w:jc w:val="center"/>
        </w:trPr>
        <w:tc>
          <w:tcPr>
            <w:tcW w:w="3432" w:type="dxa"/>
            <w:vMerge w:val="continue"/>
            <w:tcBorders>
              <w:bottom w:val="single" w:color="auto" w:sz="6" w:space="0"/>
            </w:tcBorders>
            <w:shd w:val="clear" w:color="auto" w:fill="FFFFFF" w:themeFill="background1"/>
            <w:vAlign w:val="center"/>
          </w:tcPr>
          <w:p w14:paraId="1629FEED">
            <w:pPr>
              <w:rPr>
                <w:b/>
                <w:bCs/>
                <w:color w:val="auto"/>
                <w:sz w:val="21"/>
                <w:szCs w:val="21"/>
              </w:rPr>
            </w:pPr>
          </w:p>
        </w:tc>
        <w:tc>
          <w:tcPr>
            <w:tcW w:w="1743" w:type="dxa"/>
            <w:tcBorders>
              <w:top w:val="single" w:color="auto" w:sz="6" w:space="0"/>
              <w:bottom w:val="single" w:color="auto" w:sz="6" w:space="0"/>
            </w:tcBorders>
            <w:shd w:val="clear" w:color="auto" w:fill="FFFFFF" w:themeFill="background1"/>
            <w:vAlign w:val="center"/>
          </w:tcPr>
          <w:p w14:paraId="64258B5C">
            <w:pPr>
              <w:jc w:val="center"/>
              <w:rPr>
                <w:b/>
                <w:bCs/>
                <w:color w:val="auto"/>
                <w:sz w:val="21"/>
                <w:szCs w:val="21"/>
              </w:rPr>
            </w:pPr>
            <w:r>
              <w:rPr>
                <w:rFonts w:hint="eastAsia"/>
                <w:b/>
                <w:bCs/>
                <w:color w:val="auto"/>
                <w:sz w:val="21"/>
                <w:szCs w:val="21"/>
              </w:rPr>
              <w:t>H</w:t>
            </w:r>
            <w:r>
              <w:rPr>
                <w:b/>
                <w:bCs/>
                <w:color w:val="auto"/>
                <w:sz w:val="21"/>
                <w:szCs w:val="21"/>
              </w:rPr>
              <w:t>R (95%CI)</w:t>
            </w:r>
          </w:p>
        </w:tc>
        <w:tc>
          <w:tcPr>
            <w:tcW w:w="1051" w:type="dxa"/>
            <w:tcBorders>
              <w:top w:val="single" w:color="auto" w:sz="6" w:space="0"/>
              <w:bottom w:val="single" w:color="auto" w:sz="6" w:space="0"/>
            </w:tcBorders>
            <w:shd w:val="clear" w:color="auto" w:fill="FFFFFF" w:themeFill="background1"/>
            <w:vAlign w:val="center"/>
          </w:tcPr>
          <w:p w14:paraId="0F602A48">
            <w:pPr>
              <w:jc w:val="center"/>
              <w:rPr>
                <w:b/>
                <w:bCs/>
                <w:color w:val="auto"/>
                <w:sz w:val="21"/>
                <w:szCs w:val="21"/>
              </w:rPr>
            </w:pPr>
            <w:r>
              <w:rPr>
                <w:b/>
                <w:bCs/>
                <w:i/>
                <w:color w:val="auto"/>
                <w:sz w:val="21"/>
                <w:szCs w:val="21"/>
              </w:rPr>
              <w:t>P</w:t>
            </w:r>
            <w:r>
              <w:rPr>
                <w:b/>
                <w:bCs/>
                <w:color w:val="auto"/>
                <w:sz w:val="21"/>
                <w:szCs w:val="21"/>
              </w:rPr>
              <w:t xml:space="preserve"> value</w:t>
            </w:r>
          </w:p>
        </w:tc>
        <w:tc>
          <w:tcPr>
            <w:tcW w:w="1893" w:type="dxa"/>
            <w:tcBorders>
              <w:top w:val="single" w:color="auto" w:sz="6" w:space="0"/>
              <w:bottom w:val="single" w:color="auto" w:sz="6" w:space="0"/>
            </w:tcBorders>
            <w:shd w:val="clear" w:color="auto" w:fill="FFFFFF" w:themeFill="background1"/>
            <w:vAlign w:val="center"/>
          </w:tcPr>
          <w:p w14:paraId="7742C82C">
            <w:pPr>
              <w:jc w:val="center"/>
              <w:rPr>
                <w:b/>
                <w:bCs/>
                <w:color w:val="auto"/>
                <w:sz w:val="21"/>
                <w:szCs w:val="21"/>
              </w:rPr>
            </w:pPr>
            <w:r>
              <w:rPr>
                <w:rFonts w:hint="eastAsia"/>
                <w:b/>
                <w:bCs/>
                <w:color w:val="auto"/>
                <w:sz w:val="21"/>
                <w:szCs w:val="21"/>
              </w:rPr>
              <w:t>H</w:t>
            </w:r>
            <w:r>
              <w:rPr>
                <w:b/>
                <w:bCs/>
                <w:color w:val="auto"/>
                <w:sz w:val="21"/>
                <w:szCs w:val="21"/>
              </w:rPr>
              <w:t>R (95%CI)</w:t>
            </w:r>
          </w:p>
        </w:tc>
        <w:tc>
          <w:tcPr>
            <w:tcW w:w="1040" w:type="dxa"/>
            <w:tcBorders>
              <w:top w:val="single" w:color="auto" w:sz="6" w:space="0"/>
              <w:bottom w:val="single" w:color="auto" w:sz="6" w:space="0"/>
            </w:tcBorders>
            <w:shd w:val="clear" w:color="auto" w:fill="FFFFFF" w:themeFill="background1"/>
            <w:vAlign w:val="center"/>
          </w:tcPr>
          <w:p w14:paraId="58062CC7">
            <w:pPr>
              <w:jc w:val="center"/>
              <w:rPr>
                <w:b/>
                <w:bCs/>
                <w:color w:val="auto"/>
                <w:sz w:val="21"/>
                <w:szCs w:val="21"/>
              </w:rPr>
            </w:pPr>
            <w:r>
              <w:rPr>
                <w:b/>
                <w:bCs/>
                <w:i/>
                <w:color w:val="auto"/>
                <w:sz w:val="21"/>
                <w:szCs w:val="21"/>
              </w:rPr>
              <w:t>P</w:t>
            </w:r>
            <w:r>
              <w:rPr>
                <w:b/>
                <w:bCs/>
                <w:color w:val="auto"/>
                <w:sz w:val="21"/>
                <w:szCs w:val="21"/>
              </w:rPr>
              <w:t xml:space="preserve"> value</w:t>
            </w:r>
          </w:p>
        </w:tc>
      </w:tr>
      <w:tr w14:paraId="5FFFC474">
        <w:tblPrEx>
          <w:tblCellMar>
            <w:top w:w="0" w:type="dxa"/>
            <w:left w:w="108" w:type="dxa"/>
            <w:bottom w:w="0" w:type="dxa"/>
            <w:right w:w="108" w:type="dxa"/>
          </w:tblCellMar>
        </w:tblPrEx>
        <w:trPr>
          <w:trHeight w:val="355" w:hRule="atLeast"/>
          <w:jc w:val="center"/>
        </w:trPr>
        <w:tc>
          <w:tcPr>
            <w:tcW w:w="3432" w:type="dxa"/>
            <w:tcBorders>
              <w:top w:val="single" w:color="auto" w:sz="6" w:space="0"/>
            </w:tcBorders>
          </w:tcPr>
          <w:p w14:paraId="52B340E1">
            <w:pPr>
              <w:rPr>
                <w:bCs/>
                <w:color w:val="auto"/>
                <w:sz w:val="21"/>
                <w:szCs w:val="21"/>
              </w:rPr>
            </w:pPr>
            <w:r>
              <w:rPr>
                <w:b/>
                <w:bCs/>
                <w:color w:val="auto"/>
                <w:sz w:val="21"/>
                <w:szCs w:val="21"/>
              </w:rPr>
              <w:t>Turning point (K)</w:t>
            </w:r>
          </w:p>
        </w:tc>
        <w:tc>
          <w:tcPr>
            <w:tcW w:w="2794" w:type="dxa"/>
            <w:gridSpan w:val="2"/>
            <w:tcBorders>
              <w:top w:val="single" w:color="auto" w:sz="6" w:space="0"/>
            </w:tcBorders>
          </w:tcPr>
          <w:p w14:paraId="41CCD82C">
            <w:pPr>
              <w:ind w:firstLine="630" w:firstLineChars="300"/>
              <w:rPr>
                <w:bCs/>
                <w:color w:val="auto"/>
                <w:sz w:val="21"/>
                <w:szCs w:val="21"/>
              </w:rPr>
            </w:pPr>
            <w:r>
              <w:rPr>
                <w:color w:val="auto"/>
                <w:sz w:val="21"/>
                <w:szCs w:val="21"/>
              </w:rPr>
              <w:t>2.29</w:t>
            </w:r>
          </w:p>
        </w:tc>
        <w:tc>
          <w:tcPr>
            <w:tcW w:w="2933" w:type="dxa"/>
            <w:gridSpan w:val="2"/>
            <w:tcBorders>
              <w:top w:val="single" w:color="auto" w:sz="6" w:space="0"/>
            </w:tcBorders>
          </w:tcPr>
          <w:p w14:paraId="6A8DE10E">
            <w:pPr>
              <w:ind w:firstLine="630" w:firstLineChars="300"/>
              <w:rPr>
                <w:bCs/>
                <w:color w:val="auto"/>
                <w:sz w:val="21"/>
                <w:szCs w:val="21"/>
              </w:rPr>
            </w:pPr>
            <w:r>
              <w:rPr>
                <w:bCs/>
                <w:color w:val="auto"/>
                <w:sz w:val="21"/>
                <w:szCs w:val="21"/>
              </w:rPr>
              <w:t>1.04</w:t>
            </w:r>
          </w:p>
        </w:tc>
      </w:tr>
      <w:tr w14:paraId="4C5EC0EA">
        <w:tblPrEx>
          <w:tblCellMar>
            <w:top w:w="0" w:type="dxa"/>
            <w:left w:w="108" w:type="dxa"/>
            <w:bottom w:w="0" w:type="dxa"/>
            <w:right w:w="108" w:type="dxa"/>
          </w:tblCellMar>
        </w:tblPrEx>
        <w:trPr>
          <w:trHeight w:val="679" w:hRule="atLeast"/>
          <w:jc w:val="center"/>
        </w:trPr>
        <w:tc>
          <w:tcPr>
            <w:tcW w:w="3432" w:type="dxa"/>
            <w:vAlign w:val="center"/>
          </w:tcPr>
          <w:p w14:paraId="72208555">
            <w:pPr>
              <w:rPr>
                <w:b/>
                <w:color w:val="auto"/>
                <w:sz w:val="21"/>
                <w:szCs w:val="21"/>
              </w:rPr>
            </w:pPr>
            <w:r>
              <w:rPr>
                <w:rFonts w:hint="eastAsia"/>
                <w:b/>
                <w:bCs/>
                <w:color w:val="auto"/>
                <w:sz w:val="21"/>
                <w:szCs w:val="21"/>
              </w:rPr>
              <w:t>TyGFI</w:t>
            </w:r>
            <w:r>
              <w:rPr>
                <w:b/>
                <w:bCs/>
                <w:color w:val="auto"/>
                <w:sz w:val="21"/>
                <w:szCs w:val="21"/>
              </w:rPr>
              <w:t xml:space="preserve"> &lt; K</w:t>
            </w:r>
          </w:p>
        </w:tc>
        <w:tc>
          <w:tcPr>
            <w:tcW w:w="1743" w:type="dxa"/>
            <w:vAlign w:val="center"/>
          </w:tcPr>
          <w:p w14:paraId="64A7FCFF">
            <w:pPr>
              <w:jc w:val="center"/>
              <w:rPr>
                <w:bCs/>
                <w:color w:val="auto"/>
                <w:sz w:val="21"/>
                <w:szCs w:val="21"/>
              </w:rPr>
            </w:pPr>
            <w:r>
              <w:rPr>
                <w:bCs/>
                <w:color w:val="auto"/>
                <w:sz w:val="21"/>
                <w:szCs w:val="21"/>
              </w:rPr>
              <w:t>2.16</w:t>
            </w:r>
            <w:r>
              <w:rPr>
                <w:rFonts w:hint="eastAsia"/>
                <w:bCs/>
                <w:color w:val="auto"/>
                <w:sz w:val="21"/>
                <w:szCs w:val="21"/>
              </w:rPr>
              <w:t xml:space="preserve"> </w:t>
            </w:r>
            <w:r>
              <w:rPr>
                <w:bCs/>
                <w:color w:val="auto"/>
                <w:sz w:val="21"/>
                <w:szCs w:val="21"/>
              </w:rPr>
              <w:t>(1.87,</w:t>
            </w:r>
            <w:r>
              <w:rPr>
                <w:rFonts w:hint="eastAsia"/>
                <w:bCs/>
                <w:color w:val="auto"/>
                <w:sz w:val="21"/>
                <w:szCs w:val="21"/>
              </w:rPr>
              <w:t xml:space="preserve"> </w:t>
            </w:r>
            <w:r>
              <w:rPr>
                <w:bCs/>
                <w:color w:val="auto"/>
                <w:sz w:val="21"/>
                <w:szCs w:val="21"/>
              </w:rPr>
              <w:t>2.49)</w:t>
            </w:r>
          </w:p>
        </w:tc>
        <w:tc>
          <w:tcPr>
            <w:tcW w:w="1051" w:type="dxa"/>
            <w:vAlign w:val="center"/>
          </w:tcPr>
          <w:p w14:paraId="1BA1AADD">
            <w:pPr>
              <w:rPr>
                <w:bCs/>
                <w:color w:val="auto"/>
                <w:sz w:val="21"/>
                <w:szCs w:val="21"/>
              </w:rPr>
            </w:pPr>
            <w:r>
              <w:rPr>
                <w:bCs/>
                <w:color w:val="auto"/>
                <w:sz w:val="21"/>
                <w:szCs w:val="21"/>
              </w:rPr>
              <w:t>&lt; 0.001</w:t>
            </w:r>
          </w:p>
        </w:tc>
        <w:tc>
          <w:tcPr>
            <w:tcW w:w="1893" w:type="dxa"/>
            <w:vAlign w:val="center"/>
          </w:tcPr>
          <w:p w14:paraId="2424AD2A">
            <w:pPr>
              <w:jc w:val="center"/>
              <w:rPr>
                <w:bCs/>
                <w:color w:val="auto"/>
                <w:sz w:val="21"/>
                <w:szCs w:val="21"/>
              </w:rPr>
            </w:pPr>
            <w:r>
              <w:rPr>
                <w:bCs/>
                <w:color w:val="auto"/>
                <w:sz w:val="21"/>
                <w:szCs w:val="21"/>
              </w:rPr>
              <w:t>2.01</w:t>
            </w:r>
            <w:r>
              <w:rPr>
                <w:rFonts w:hint="eastAsia"/>
                <w:bCs/>
                <w:color w:val="auto"/>
                <w:sz w:val="21"/>
                <w:szCs w:val="21"/>
              </w:rPr>
              <w:t xml:space="preserve"> </w:t>
            </w:r>
            <w:r>
              <w:rPr>
                <w:bCs/>
                <w:color w:val="auto"/>
                <w:sz w:val="21"/>
                <w:szCs w:val="21"/>
              </w:rPr>
              <w:t>(1.7</w:t>
            </w:r>
            <w:r>
              <w:rPr>
                <w:rFonts w:hint="eastAsia"/>
                <w:bCs/>
                <w:color w:val="auto"/>
                <w:sz w:val="21"/>
                <w:szCs w:val="21"/>
              </w:rPr>
              <w:t>7</w:t>
            </w:r>
            <w:r>
              <w:rPr>
                <w:bCs/>
                <w:color w:val="auto"/>
                <w:sz w:val="21"/>
                <w:szCs w:val="21"/>
              </w:rPr>
              <w:t>,2.2</w:t>
            </w:r>
            <w:r>
              <w:rPr>
                <w:rFonts w:hint="eastAsia"/>
                <w:bCs/>
                <w:color w:val="auto"/>
                <w:sz w:val="21"/>
                <w:szCs w:val="21"/>
              </w:rPr>
              <w:t>9</w:t>
            </w:r>
            <w:r>
              <w:rPr>
                <w:bCs/>
                <w:color w:val="auto"/>
                <w:sz w:val="21"/>
                <w:szCs w:val="21"/>
              </w:rPr>
              <w:t>)</w:t>
            </w:r>
          </w:p>
        </w:tc>
        <w:tc>
          <w:tcPr>
            <w:tcW w:w="1040" w:type="dxa"/>
            <w:vAlign w:val="center"/>
          </w:tcPr>
          <w:p w14:paraId="2E13E5AC">
            <w:pPr>
              <w:jc w:val="center"/>
              <w:rPr>
                <w:bCs/>
                <w:color w:val="auto"/>
                <w:sz w:val="21"/>
                <w:szCs w:val="21"/>
              </w:rPr>
            </w:pPr>
            <w:r>
              <w:rPr>
                <w:bCs/>
                <w:color w:val="auto"/>
                <w:sz w:val="21"/>
                <w:szCs w:val="21"/>
              </w:rPr>
              <w:t>&lt; 0.001</w:t>
            </w:r>
          </w:p>
        </w:tc>
      </w:tr>
      <w:tr w14:paraId="44879307">
        <w:tblPrEx>
          <w:tblCellMar>
            <w:top w:w="0" w:type="dxa"/>
            <w:left w:w="108" w:type="dxa"/>
            <w:bottom w:w="0" w:type="dxa"/>
            <w:right w:w="108" w:type="dxa"/>
          </w:tblCellMar>
        </w:tblPrEx>
        <w:trPr>
          <w:trHeight w:val="679" w:hRule="atLeast"/>
          <w:jc w:val="center"/>
        </w:trPr>
        <w:tc>
          <w:tcPr>
            <w:tcW w:w="3432" w:type="dxa"/>
            <w:vAlign w:val="center"/>
          </w:tcPr>
          <w:p w14:paraId="6A1BAB25">
            <w:pPr>
              <w:rPr>
                <w:b/>
                <w:color w:val="auto"/>
                <w:sz w:val="21"/>
                <w:szCs w:val="21"/>
              </w:rPr>
            </w:pPr>
            <w:r>
              <w:rPr>
                <w:rFonts w:hint="eastAsia"/>
                <w:b/>
                <w:bCs/>
                <w:color w:val="auto"/>
                <w:sz w:val="21"/>
                <w:szCs w:val="21"/>
              </w:rPr>
              <w:t>TyGFI</w:t>
            </w:r>
            <w:r>
              <w:rPr>
                <w:b/>
                <w:bCs/>
                <w:color w:val="auto"/>
                <w:sz w:val="21"/>
                <w:szCs w:val="21"/>
              </w:rPr>
              <w:t>≥ K</w:t>
            </w:r>
          </w:p>
        </w:tc>
        <w:tc>
          <w:tcPr>
            <w:tcW w:w="1743" w:type="dxa"/>
            <w:vAlign w:val="center"/>
          </w:tcPr>
          <w:p w14:paraId="428197FD">
            <w:pPr>
              <w:jc w:val="center"/>
              <w:rPr>
                <w:bCs/>
                <w:color w:val="auto"/>
                <w:sz w:val="21"/>
                <w:szCs w:val="21"/>
              </w:rPr>
            </w:pPr>
            <w:r>
              <w:rPr>
                <w:bCs/>
                <w:color w:val="auto"/>
                <w:sz w:val="21"/>
                <w:szCs w:val="21"/>
              </w:rPr>
              <w:t>1.3</w:t>
            </w:r>
            <w:r>
              <w:rPr>
                <w:rFonts w:hint="eastAsia"/>
                <w:bCs/>
                <w:color w:val="auto"/>
                <w:sz w:val="21"/>
                <w:szCs w:val="21"/>
              </w:rPr>
              <w:t>4</w:t>
            </w:r>
            <w:r>
              <w:rPr>
                <w:bCs/>
                <w:color w:val="auto"/>
                <w:sz w:val="21"/>
                <w:szCs w:val="21"/>
              </w:rPr>
              <w:t xml:space="preserve"> (1.1</w:t>
            </w:r>
            <w:r>
              <w:rPr>
                <w:rFonts w:hint="eastAsia"/>
                <w:bCs/>
                <w:color w:val="auto"/>
                <w:sz w:val="21"/>
                <w:szCs w:val="21"/>
              </w:rPr>
              <w:t>4</w:t>
            </w:r>
            <w:r>
              <w:rPr>
                <w:bCs/>
                <w:color w:val="auto"/>
                <w:sz w:val="21"/>
                <w:szCs w:val="21"/>
              </w:rPr>
              <w:t>,1.5</w:t>
            </w:r>
            <w:r>
              <w:rPr>
                <w:rFonts w:hint="eastAsia"/>
                <w:bCs/>
                <w:color w:val="auto"/>
                <w:sz w:val="21"/>
                <w:szCs w:val="21"/>
              </w:rPr>
              <w:t>7</w:t>
            </w:r>
            <w:r>
              <w:rPr>
                <w:bCs/>
                <w:color w:val="auto"/>
                <w:sz w:val="21"/>
                <w:szCs w:val="21"/>
              </w:rPr>
              <w:t>)</w:t>
            </w:r>
          </w:p>
        </w:tc>
        <w:tc>
          <w:tcPr>
            <w:tcW w:w="1051" w:type="dxa"/>
            <w:vAlign w:val="center"/>
          </w:tcPr>
          <w:p w14:paraId="00B08DD2">
            <w:pPr>
              <w:rPr>
                <w:bCs/>
                <w:color w:val="auto"/>
                <w:sz w:val="21"/>
                <w:szCs w:val="21"/>
              </w:rPr>
            </w:pPr>
            <w:r>
              <w:rPr>
                <w:bCs/>
                <w:color w:val="auto"/>
                <w:sz w:val="21"/>
                <w:szCs w:val="21"/>
              </w:rPr>
              <w:t>&lt; 0.001</w:t>
            </w:r>
          </w:p>
        </w:tc>
        <w:tc>
          <w:tcPr>
            <w:tcW w:w="1893" w:type="dxa"/>
            <w:vAlign w:val="center"/>
          </w:tcPr>
          <w:p w14:paraId="103D5AA7">
            <w:pPr>
              <w:jc w:val="center"/>
              <w:rPr>
                <w:bCs/>
                <w:color w:val="auto"/>
                <w:sz w:val="21"/>
                <w:szCs w:val="21"/>
              </w:rPr>
            </w:pPr>
            <w:r>
              <w:rPr>
                <w:bCs/>
                <w:color w:val="auto"/>
                <w:sz w:val="21"/>
                <w:szCs w:val="21"/>
              </w:rPr>
              <w:t>1.3 (1.1</w:t>
            </w:r>
            <w:r>
              <w:rPr>
                <w:rFonts w:hint="eastAsia"/>
                <w:bCs/>
                <w:color w:val="auto"/>
                <w:sz w:val="21"/>
                <w:szCs w:val="21"/>
              </w:rPr>
              <w:t>3</w:t>
            </w:r>
            <w:r>
              <w:rPr>
                <w:bCs/>
                <w:color w:val="auto"/>
                <w:sz w:val="21"/>
                <w:szCs w:val="21"/>
              </w:rPr>
              <w:t>,1.50)</w:t>
            </w:r>
          </w:p>
        </w:tc>
        <w:tc>
          <w:tcPr>
            <w:tcW w:w="1040" w:type="dxa"/>
            <w:vAlign w:val="center"/>
          </w:tcPr>
          <w:p w14:paraId="1CCB7656">
            <w:pPr>
              <w:jc w:val="center"/>
              <w:rPr>
                <w:bCs/>
                <w:color w:val="auto"/>
                <w:sz w:val="21"/>
                <w:szCs w:val="21"/>
              </w:rPr>
            </w:pPr>
            <w:r>
              <w:rPr>
                <w:bCs/>
                <w:color w:val="auto"/>
                <w:sz w:val="21"/>
                <w:szCs w:val="21"/>
              </w:rPr>
              <w:t>&lt; 0.001</w:t>
            </w:r>
          </w:p>
        </w:tc>
      </w:tr>
      <w:tr w14:paraId="2D14F874">
        <w:tblPrEx>
          <w:tblCellMar>
            <w:top w:w="0" w:type="dxa"/>
            <w:left w:w="108" w:type="dxa"/>
            <w:bottom w:w="0" w:type="dxa"/>
            <w:right w:w="108" w:type="dxa"/>
          </w:tblCellMar>
        </w:tblPrEx>
        <w:trPr>
          <w:trHeight w:val="344" w:hRule="atLeast"/>
          <w:jc w:val="center"/>
        </w:trPr>
        <w:tc>
          <w:tcPr>
            <w:tcW w:w="3432" w:type="dxa"/>
          </w:tcPr>
          <w:p w14:paraId="20204435">
            <w:pPr>
              <w:rPr>
                <w:b/>
                <w:bCs/>
                <w:color w:val="auto"/>
                <w:sz w:val="21"/>
                <w:szCs w:val="21"/>
              </w:rPr>
            </w:pPr>
            <w:r>
              <w:rPr>
                <w:b/>
                <w:bCs/>
                <w:i/>
                <w:iCs/>
                <w:color w:val="auto"/>
                <w:sz w:val="21"/>
                <w:szCs w:val="21"/>
              </w:rPr>
              <w:t xml:space="preserve">P </w:t>
            </w:r>
            <w:r>
              <w:rPr>
                <w:b/>
                <w:bCs/>
                <w:color w:val="auto"/>
                <w:sz w:val="21"/>
                <w:szCs w:val="21"/>
              </w:rPr>
              <w:t>value for LRT test</w:t>
            </w:r>
          </w:p>
        </w:tc>
        <w:tc>
          <w:tcPr>
            <w:tcW w:w="1743" w:type="dxa"/>
          </w:tcPr>
          <w:p w14:paraId="10E55A28">
            <w:pPr>
              <w:rPr>
                <w:bCs/>
                <w:color w:val="auto"/>
                <w:sz w:val="21"/>
                <w:szCs w:val="21"/>
              </w:rPr>
            </w:pPr>
          </w:p>
        </w:tc>
        <w:tc>
          <w:tcPr>
            <w:tcW w:w="1051" w:type="dxa"/>
          </w:tcPr>
          <w:p w14:paraId="49C06D26">
            <w:pPr>
              <w:rPr>
                <w:bCs/>
                <w:color w:val="auto"/>
                <w:sz w:val="21"/>
                <w:szCs w:val="21"/>
              </w:rPr>
            </w:pPr>
            <w:r>
              <w:rPr>
                <w:bCs/>
                <w:color w:val="auto"/>
                <w:sz w:val="21"/>
                <w:szCs w:val="21"/>
              </w:rPr>
              <w:t>&lt; 0.001</w:t>
            </w:r>
          </w:p>
        </w:tc>
        <w:tc>
          <w:tcPr>
            <w:tcW w:w="1893" w:type="dxa"/>
          </w:tcPr>
          <w:p w14:paraId="7628229E">
            <w:pPr>
              <w:rPr>
                <w:bCs/>
                <w:color w:val="auto"/>
                <w:sz w:val="21"/>
                <w:szCs w:val="21"/>
              </w:rPr>
            </w:pPr>
          </w:p>
        </w:tc>
        <w:tc>
          <w:tcPr>
            <w:tcW w:w="1040" w:type="dxa"/>
          </w:tcPr>
          <w:p w14:paraId="7CC5031A">
            <w:pPr>
              <w:jc w:val="center"/>
              <w:rPr>
                <w:bCs/>
                <w:color w:val="auto"/>
                <w:sz w:val="21"/>
                <w:szCs w:val="21"/>
              </w:rPr>
            </w:pPr>
            <w:r>
              <w:rPr>
                <w:bCs/>
                <w:color w:val="auto"/>
                <w:sz w:val="21"/>
                <w:szCs w:val="21"/>
              </w:rPr>
              <w:t>&lt; 0.001</w:t>
            </w:r>
          </w:p>
        </w:tc>
      </w:tr>
      <w:tr w14:paraId="67FA8FC2">
        <w:tblPrEx>
          <w:tblCellMar>
            <w:top w:w="0" w:type="dxa"/>
            <w:left w:w="108" w:type="dxa"/>
            <w:bottom w:w="0" w:type="dxa"/>
            <w:right w:w="108" w:type="dxa"/>
          </w:tblCellMar>
        </w:tblPrEx>
        <w:trPr>
          <w:trHeight w:val="355" w:hRule="atLeast"/>
          <w:jc w:val="center"/>
        </w:trPr>
        <w:tc>
          <w:tcPr>
            <w:tcW w:w="3432" w:type="dxa"/>
            <w:tcBorders>
              <w:bottom w:val="single" w:color="auto" w:sz="12" w:space="0"/>
            </w:tcBorders>
          </w:tcPr>
          <w:p w14:paraId="188C454C">
            <w:pPr>
              <w:rPr>
                <w:b/>
                <w:bCs/>
                <w:color w:val="auto"/>
                <w:sz w:val="21"/>
                <w:szCs w:val="21"/>
              </w:rPr>
            </w:pPr>
            <w:r>
              <w:rPr>
                <w:b/>
                <w:bCs/>
                <w:color w:val="auto"/>
                <w:sz w:val="21"/>
                <w:szCs w:val="21"/>
              </w:rPr>
              <w:t>95% CI for turning point</w:t>
            </w:r>
          </w:p>
        </w:tc>
        <w:tc>
          <w:tcPr>
            <w:tcW w:w="2794" w:type="dxa"/>
            <w:gridSpan w:val="2"/>
            <w:tcBorders>
              <w:bottom w:val="single" w:color="auto" w:sz="12" w:space="0"/>
            </w:tcBorders>
          </w:tcPr>
          <w:p w14:paraId="584B2F34">
            <w:pPr>
              <w:ind w:firstLine="420" w:firstLineChars="200"/>
              <w:rPr>
                <w:bCs/>
                <w:color w:val="auto"/>
                <w:sz w:val="21"/>
                <w:szCs w:val="21"/>
              </w:rPr>
            </w:pPr>
            <w:r>
              <w:rPr>
                <w:color w:val="auto"/>
                <w:sz w:val="21"/>
                <w:szCs w:val="21"/>
              </w:rPr>
              <w:t>2.23,</w:t>
            </w:r>
            <w:r>
              <w:rPr>
                <w:rFonts w:hint="eastAsia"/>
                <w:color w:val="auto"/>
                <w:sz w:val="21"/>
                <w:szCs w:val="21"/>
              </w:rPr>
              <w:t xml:space="preserve"> </w:t>
            </w:r>
            <w:r>
              <w:rPr>
                <w:color w:val="auto"/>
                <w:sz w:val="21"/>
                <w:szCs w:val="21"/>
              </w:rPr>
              <w:t>2.3</w:t>
            </w:r>
            <w:r>
              <w:rPr>
                <w:rFonts w:hint="eastAsia"/>
                <w:color w:val="auto"/>
                <w:sz w:val="21"/>
                <w:szCs w:val="21"/>
              </w:rPr>
              <w:t>5</w:t>
            </w:r>
          </w:p>
        </w:tc>
        <w:tc>
          <w:tcPr>
            <w:tcW w:w="2933" w:type="dxa"/>
            <w:gridSpan w:val="2"/>
            <w:tcBorders>
              <w:bottom w:val="single" w:color="auto" w:sz="12" w:space="0"/>
            </w:tcBorders>
          </w:tcPr>
          <w:p w14:paraId="575EB961">
            <w:pPr>
              <w:ind w:firstLine="420" w:firstLineChars="200"/>
              <w:rPr>
                <w:bCs/>
                <w:color w:val="auto"/>
                <w:sz w:val="21"/>
                <w:szCs w:val="21"/>
              </w:rPr>
            </w:pPr>
            <w:r>
              <w:rPr>
                <w:bCs/>
                <w:color w:val="auto"/>
                <w:sz w:val="21"/>
                <w:szCs w:val="21"/>
              </w:rPr>
              <w:t>0.9</w:t>
            </w:r>
            <w:r>
              <w:rPr>
                <w:rFonts w:hint="eastAsia"/>
                <w:bCs/>
                <w:color w:val="auto"/>
                <w:sz w:val="21"/>
                <w:szCs w:val="21"/>
              </w:rPr>
              <w:t>8</w:t>
            </w:r>
            <w:r>
              <w:rPr>
                <w:bCs/>
                <w:color w:val="auto"/>
                <w:sz w:val="21"/>
                <w:szCs w:val="21"/>
              </w:rPr>
              <w:t>,1.1</w:t>
            </w:r>
            <w:r>
              <w:rPr>
                <w:rFonts w:hint="eastAsia"/>
                <w:bCs/>
                <w:color w:val="auto"/>
                <w:sz w:val="21"/>
                <w:szCs w:val="21"/>
              </w:rPr>
              <w:t>1</w:t>
            </w:r>
          </w:p>
        </w:tc>
      </w:tr>
    </w:tbl>
    <w:p w14:paraId="1269F74C">
      <w:pPr>
        <w:rPr>
          <w:color w:val="EE0000"/>
        </w:rPr>
      </w:pPr>
      <w:r>
        <w:t xml:space="preserve">Data were presented as </w:t>
      </w:r>
      <w:r>
        <w:rPr>
          <w:rFonts w:hint="eastAsia"/>
        </w:rPr>
        <w:t>H</w:t>
      </w:r>
      <w:r>
        <w:t xml:space="preserve">R (95% CI) </w:t>
      </w:r>
      <w:r>
        <w:rPr>
          <w:rFonts w:hint="eastAsia"/>
        </w:rPr>
        <w:t xml:space="preserve">and </w:t>
      </w:r>
      <w:r>
        <w:rPr>
          <w:i/>
          <w:iCs/>
        </w:rPr>
        <w:t>P</w:t>
      </w:r>
      <w:r>
        <w:t xml:space="preserve"> value</w:t>
      </w:r>
      <w:r>
        <w:rPr>
          <w:rFonts w:hint="eastAsia"/>
        </w:rPr>
        <w:t>.</w:t>
      </w:r>
      <w:r>
        <w:t xml:space="preserve"> Adjusted for </w:t>
      </w:r>
      <w:r>
        <w:rPr>
          <w:color w:val="auto"/>
        </w:rPr>
        <w:t xml:space="preserve">age, sex, race, </w:t>
      </w:r>
      <w:r>
        <w:rPr>
          <w:rFonts w:hint="eastAsia"/>
          <w:color w:val="auto"/>
        </w:rPr>
        <w:t xml:space="preserve">BMI, </w:t>
      </w:r>
      <w:r>
        <w:rPr>
          <w:color w:val="auto"/>
        </w:rPr>
        <w:t>marital status,</w:t>
      </w:r>
      <w:r>
        <w:rPr>
          <w:rFonts w:hint="eastAsia"/>
          <w:color w:val="auto"/>
        </w:rPr>
        <w:t xml:space="preserve"> PIR, education, smoke, drink, eGFR, hypertension, stroke</w:t>
      </w:r>
      <w:r>
        <w:t xml:space="preserve">. CI, confidence interval; </w:t>
      </w:r>
      <w:r>
        <w:rPr>
          <w:rFonts w:hint="eastAsia"/>
        </w:rPr>
        <w:t>H</w:t>
      </w:r>
      <w:r>
        <w:t xml:space="preserve">R, </w:t>
      </w:r>
      <w:r>
        <w:rPr>
          <w:rFonts w:hint="eastAsia"/>
        </w:rPr>
        <w:t>hazard</w:t>
      </w:r>
      <w:r>
        <w:t xml:space="preserve"> ratio; LRT, logarithm likelihood ratio test. </w:t>
      </w:r>
    </w:p>
    <w:p w14:paraId="0640CEB8">
      <w:pPr>
        <w:rPr>
          <w:b/>
          <w:bCs/>
        </w:rPr>
      </w:pPr>
      <w:r>
        <w:rPr>
          <w:b/>
          <w:bCs/>
        </w:rPr>
        <w:t xml:space="preserve"> </w:t>
      </w:r>
    </w:p>
    <w:p w14:paraId="7F470D7B">
      <w:pPr>
        <w:pStyle w:val="4"/>
        <w:rPr>
          <w:rFonts w:ascii="Times New Roman" w:hAnsi="Times New Roman" w:cs="Times New Roman"/>
          <w:sz w:val="24"/>
          <w:szCs w:val="24"/>
        </w:rPr>
      </w:pPr>
      <w:bookmarkStart w:id="34" w:name="_Toc218184829"/>
      <w:r>
        <w:rPr>
          <w:rFonts w:ascii="Times New Roman" w:hAnsi="Times New Roman" w:cs="Times New Roman"/>
          <w:b/>
          <w:color w:val="auto"/>
          <w:sz w:val="24"/>
          <w:szCs w:val="24"/>
        </w:rPr>
        <w:t>Table S1</w:t>
      </w:r>
      <w:r>
        <w:rPr>
          <w:rFonts w:hint="eastAsia" w:ascii="Times New Roman" w:hAnsi="Times New Roman" w:cs="Times New Roman"/>
          <w:b/>
          <w:color w:val="auto"/>
          <w:sz w:val="24"/>
          <w:szCs w:val="24"/>
        </w:rPr>
        <w:t>4</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Threshold effect analysis of the TyGFI and CVD mortality</w:t>
      </w:r>
      <w:bookmarkEnd w:id="34"/>
      <w:r>
        <w:rPr>
          <w:rFonts w:ascii="Times New Roman" w:hAnsi="Times New Roman" w:cs="Times New Roman"/>
          <w:sz w:val="24"/>
          <w:szCs w:val="24"/>
        </w:rPr>
        <w:t xml:space="preserve"> </w:t>
      </w:r>
    </w:p>
    <w:tbl>
      <w:tblPr>
        <w:tblStyle w:val="18"/>
        <w:tblW w:w="9178" w:type="dxa"/>
        <w:jc w:val="center"/>
        <w:tblLayout w:type="fixed"/>
        <w:tblCellMar>
          <w:top w:w="0" w:type="dxa"/>
          <w:left w:w="108" w:type="dxa"/>
          <w:bottom w:w="0" w:type="dxa"/>
          <w:right w:w="108" w:type="dxa"/>
        </w:tblCellMar>
      </w:tblPr>
      <w:tblGrid>
        <w:gridCol w:w="3439"/>
        <w:gridCol w:w="1747"/>
        <w:gridCol w:w="1053"/>
        <w:gridCol w:w="1898"/>
        <w:gridCol w:w="1041"/>
      </w:tblGrid>
      <w:tr w14:paraId="68A0D894">
        <w:tblPrEx>
          <w:tblCellMar>
            <w:top w:w="0" w:type="dxa"/>
            <w:left w:w="108" w:type="dxa"/>
            <w:bottom w:w="0" w:type="dxa"/>
            <w:right w:w="108" w:type="dxa"/>
          </w:tblCellMar>
        </w:tblPrEx>
        <w:trPr>
          <w:trHeight w:val="357" w:hRule="atLeast"/>
          <w:jc w:val="center"/>
        </w:trPr>
        <w:tc>
          <w:tcPr>
            <w:tcW w:w="3439" w:type="dxa"/>
            <w:vMerge w:val="restart"/>
            <w:tcBorders>
              <w:top w:val="single" w:color="auto" w:sz="12" w:space="0"/>
            </w:tcBorders>
            <w:shd w:val="clear" w:color="auto" w:fill="FFFFFF" w:themeFill="background1"/>
          </w:tcPr>
          <w:p w14:paraId="63DD2111">
            <w:pPr>
              <w:rPr>
                <w:b/>
                <w:bCs/>
                <w:color w:val="auto"/>
                <w:sz w:val="21"/>
                <w:szCs w:val="21"/>
              </w:rPr>
            </w:pPr>
            <w:r>
              <w:rPr>
                <w:b/>
                <w:bCs/>
                <w:color w:val="auto"/>
                <w:sz w:val="21"/>
                <w:szCs w:val="21"/>
              </w:rPr>
              <w:t>Models</w:t>
            </w:r>
          </w:p>
        </w:tc>
        <w:tc>
          <w:tcPr>
            <w:tcW w:w="2800" w:type="dxa"/>
            <w:gridSpan w:val="2"/>
            <w:tcBorders>
              <w:top w:val="single" w:color="auto" w:sz="12" w:space="0"/>
              <w:bottom w:val="single" w:color="auto" w:sz="6" w:space="0"/>
            </w:tcBorders>
            <w:shd w:val="clear" w:color="auto" w:fill="FFFFFF" w:themeFill="background1"/>
          </w:tcPr>
          <w:p w14:paraId="354A6CE8">
            <w:pPr>
              <w:jc w:val="center"/>
              <w:rPr>
                <w:b/>
                <w:bCs/>
                <w:color w:val="auto"/>
                <w:sz w:val="21"/>
                <w:szCs w:val="21"/>
              </w:rPr>
            </w:pPr>
            <w:r>
              <w:rPr>
                <w:b/>
                <w:bCs/>
                <w:color w:val="auto"/>
                <w:sz w:val="21"/>
                <w:szCs w:val="21"/>
              </w:rPr>
              <w:t>Per-unit increase</w:t>
            </w:r>
          </w:p>
        </w:tc>
        <w:tc>
          <w:tcPr>
            <w:tcW w:w="2939" w:type="dxa"/>
            <w:gridSpan w:val="2"/>
            <w:tcBorders>
              <w:top w:val="single" w:color="auto" w:sz="12" w:space="0"/>
              <w:bottom w:val="single" w:color="auto" w:sz="6" w:space="0"/>
            </w:tcBorders>
            <w:shd w:val="clear" w:color="auto" w:fill="FFFFFF" w:themeFill="background1"/>
          </w:tcPr>
          <w:p w14:paraId="0340D10F">
            <w:pPr>
              <w:jc w:val="center"/>
              <w:rPr>
                <w:b/>
                <w:bCs/>
                <w:color w:val="auto"/>
                <w:sz w:val="21"/>
                <w:szCs w:val="21"/>
              </w:rPr>
            </w:pPr>
            <w:r>
              <w:rPr>
                <w:b/>
                <w:bCs/>
                <w:color w:val="auto"/>
                <w:sz w:val="21"/>
                <w:szCs w:val="21"/>
              </w:rPr>
              <w:t>Per-SD increase</w:t>
            </w:r>
          </w:p>
        </w:tc>
      </w:tr>
      <w:tr w14:paraId="27298DAF">
        <w:tblPrEx>
          <w:tblCellMar>
            <w:top w:w="0" w:type="dxa"/>
            <w:left w:w="108" w:type="dxa"/>
            <w:bottom w:w="0" w:type="dxa"/>
            <w:right w:w="108" w:type="dxa"/>
          </w:tblCellMar>
        </w:tblPrEx>
        <w:trPr>
          <w:trHeight w:val="694" w:hRule="atLeast"/>
          <w:jc w:val="center"/>
        </w:trPr>
        <w:tc>
          <w:tcPr>
            <w:tcW w:w="3439" w:type="dxa"/>
            <w:vMerge w:val="continue"/>
            <w:tcBorders>
              <w:bottom w:val="single" w:color="auto" w:sz="6" w:space="0"/>
            </w:tcBorders>
            <w:shd w:val="clear" w:color="auto" w:fill="FFFFFF" w:themeFill="background1"/>
            <w:vAlign w:val="center"/>
          </w:tcPr>
          <w:p w14:paraId="7DA1A571">
            <w:pPr>
              <w:rPr>
                <w:b/>
                <w:bCs/>
                <w:color w:val="auto"/>
                <w:sz w:val="21"/>
                <w:szCs w:val="21"/>
              </w:rPr>
            </w:pPr>
          </w:p>
        </w:tc>
        <w:tc>
          <w:tcPr>
            <w:tcW w:w="1747" w:type="dxa"/>
            <w:tcBorders>
              <w:top w:val="single" w:color="auto" w:sz="6" w:space="0"/>
              <w:bottom w:val="single" w:color="auto" w:sz="6" w:space="0"/>
            </w:tcBorders>
            <w:shd w:val="clear" w:color="auto" w:fill="FFFFFF" w:themeFill="background1"/>
            <w:vAlign w:val="center"/>
          </w:tcPr>
          <w:p w14:paraId="3D54E4AD">
            <w:pPr>
              <w:rPr>
                <w:b/>
                <w:bCs/>
                <w:color w:val="auto"/>
                <w:sz w:val="21"/>
                <w:szCs w:val="21"/>
              </w:rPr>
            </w:pPr>
            <w:r>
              <w:rPr>
                <w:rFonts w:hint="eastAsia"/>
                <w:b/>
                <w:bCs/>
                <w:color w:val="auto"/>
                <w:sz w:val="21"/>
                <w:szCs w:val="21"/>
              </w:rPr>
              <w:t>H</w:t>
            </w:r>
            <w:r>
              <w:rPr>
                <w:b/>
                <w:bCs/>
                <w:color w:val="auto"/>
                <w:sz w:val="21"/>
                <w:szCs w:val="21"/>
              </w:rPr>
              <w:t>R (95%CI)</w:t>
            </w:r>
          </w:p>
        </w:tc>
        <w:tc>
          <w:tcPr>
            <w:tcW w:w="1053" w:type="dxa"/>
            <w:tcBorders>
              <w:top w:val="single" w:color="auto" w:sz="6" w:space="0"/>
              <w:bottom w:val="single" w:color="auto" w:sz="6" w:space="0"/>
            </w:tcBorders>
            <w:shd w:val="clear" w:color="auto" w:fill="FFFFFF" w:themeFill="background1"/>
            <w:vAlign w:val="center"/>
          </w:tcPr>
          <w:p w14:paraId="7CD587CD">
            <w:pPr>
              <w:rPr>
                <w:b/>
                <w:bCs/>
                <w:color w:val="auto"/>
                <w:sz w:val="21"/>
                <w:szCs w:val="21"/>
              </w:rPr>
            </w:pPr>
            <w:r>
              <w:rPr>
                <w:b/>
                <w:bCs/>
                <w:i/>
                <w:color w:val="auto"/>
                <w:sz w:val="21"/>
                <w:szCs w:val="21"/>
              </w:rPr>
              <w:t>P</w:t>
            </w:r>
            <w:r>
              <w:rPr>
                <w:b/>
                <w:bCs/>
                <w:color w:val="auto"/>
                <w:sz w:val="21"/>
                <w:szCs w:val="21"/>
              </w:rPr>
              <w:t xml:space="preserve"> value</w:t>
            </w:r>
          </w:p>
        </w:tc>
        <w:tc>
          <w:tcPr>
            <w:tcW w:w="1898" w:type="dxa"/>
            <w:tcBorders>
              <w:top w:val="single" w:color="auto" w:sz="6" w:space="0"/>
              <w:bottom w:val="single" w:color="auto" w:sz="6" w:space="0"/>
            </w:tcBorders>
            <w:shd w:val="clear" w:color="auto" w:fill="FFFFFF" w:themeFill="background1"/>
            <w:vAlign w:val="center"/>
          </w:tcPr>
          <w:p w14:paraId="26C7C434">
            <w:pPr>
              <w:ind w:firstLine="105" w:firstLineChars="50"/>
              <w:rPr>
                <w:b/>
                <w:bCs/>
                <w:color w:val="auto"/>
                <w:sz w:val="21"/>
                <w:szCs w:val="21"/>
              </w:rPr>
            </w:pPr>
            <w:r>
              <w:rPr>
                <w:rFonts w:hint="eastAsia"/>
                <w:b/>
                <w:bCs/>
                <w:color w:val="auto"/>
                <w:sz w:val="21"/>
                <w:szCs w:val="21"/>
              </w:rPr>
              <w:t>H</w:t>
            </w:r>
            <w:r>
              <w:rPr>
                <w:b/>
                <w:bCs/>
                <w:color w:val="auto"/>
                <w:sz w:val="21"/>
                <w:szCs w:val="21"/>
              </w:rPr>
              <w:t>R (95%CI)</w:t>
            </w:r>
          </w:p>
        </w:tc>
        <w:tc>
          <w:tcPr>
            <w:tcW w:w="1041" w:type="dxa"/>
            <w:tcBorders>
              <w:top w:val="single" w:color="auto" w:sz="6" w:space="0"/>
              <w:bottom w:val="single" w:color="auto" w:sz="6" w:space="0"/>
            </w:tcBorders>
            <w:shd w:val="clear" w:color="auto" w:fill="FFFFFF" w:themeFill="background1"/>
            <w:vAlign w:val="center"/>
          </w:tcPr>
          <w:p w14:paraId="58BEB4C3">
            <w:pPr>
              <w:rPr>
                <w:b/>
                <w:bCs/>
                <w:color w:val="auto"/>
                <w:sz w:val="21"/>
                <w:szCs w:val="21"/>
              </w:rPr>
            </w:pPr>
            <w:r>
              <w:rPr>
                <w:b/>
                <w:bCs/>
                <w:i/>
                <w:color w:val="auto"/>
                <w:sz w:val="21"/>
                <w:szCs w:val="21"/>
              </w:rPr>
              <w:t>P</w:t>
            </w:r>
            <w:r>
              <w:rPr>
                <w:b/>
                <w:bCs/>
                <w:color w:val="auto"/>
                <w:sz w:val="21"/>
                <w:szCs w:val="21"/>
              </w:rPr>
              <w:t xml:space="preserve"> value</w:t>
            </w:r>
          </w:p>
        </w:tc>
      </w:tr>
      <w:tr w14:paraId="3790896C">
        <w:tblPrEx>
          <w:tblCellMar>
            <w:top w:w="0" w:type="dxa"/>
            <w:left w:w="108" w:type="dxa"/>
            <w:bottom w:w="0" w:type="dxa"/>
            <w:right w:w="108" w:type="dxa"/>
          </w:tblCellMar>
        </w:tblPrEx>
        <w:trPr>
          <w:trHeight w:val="357" w:hRule="atLeast"/>
          <w:jc w:val="center"/>
        </w:trPr>
        <w:tc>
          <w:tcPr>
            <w:tcW w:w="3439" w:type="dxa"/>
            <w:tcBorders>
              <w:top w:val="single" w:color="auto" w:sz="6" w:space="0"/>
            </w:tcBorders>
          </w:tcPr>
          <w:p w14:paraId="002D3B2F">
            <w:pPr>
              <w:rPr>
                <w:bCs/>
                <w:color w:val="auto"/>
                <w:sz w:val="21"/>
                <w:szCs w:val="21"/>
              </w:rPr>
            </w:pPr>
            <w:r>
              <w:rPr>
                <w:b/>
                <w:bCs/>
                <w:color w:val="auto"/>
                <w:sz w:val="21"/>
                <w:szCs w:val="21"/>
              </w:rPr>
              <w:t>Turning point (K)</w:t>
            </w:r>
          </w:p>
        </w:tc>
        <w:tc>
          <w:tcPr>
            <w:tcW w:w="2800" w:type="dxa"/>
            <w:gridSpan w:val="2"/>
            <w:tcBorders>
              <w:top w:val="single" w:color="auto" w:sz="6" w:space="0"/>
            </w:tcBorders>
          </w:tcPr>
          <w:p w14:paraId="62442DEC">
            <w:pPr>
              <w:ind w:firstLine="525" w:firstLineChars="250"/>
              <w:rPr>
                <w:bCs/>
                <w:color w:val="auto"/>
                <w:sz w:val="21"/>
                <w:szCs w:val="21"/>
              </w:rPr>
            </w:pPr>
            <w:r>
              <w:rPr>
                <w:color w:val="auto"/>
                <w:sz w:val="21"/>
                <w:szCs w:val="21"/>
              </w:rPr>
              <w:t>2.1</w:t>
            </w:r>
            <w:r>
              <w:rPr>
                <w:rFonts w:hint="eastAsia"/>
                <w:color w:val="auto"/>
                <w:sz w:val="21"/>
                <w:szCs w:val="21"/>
              </w:rPr>
              <w:t>9</w:t>
            </w:r>
          </w:p>
        </w:tc>
        <w:tc>
          <w:tcPr>
            <w:tcW w:w="2939" w:type="dxa"/>
            <w:gridSpan w:val="2"/>
            <w:tcBorders>
              <w:top w:val="single" w:color="auto" w:sz="6" w:space="0"/>
            </w:tcBorders>
          </w:tcPr>
          <w:p w14:paraId="6CA2AB3F">
            <w:pPr>
              <w:ind w:firstLine="525" w:firstLineChars="250"/>
              <w:rPr>
                <w:bCs/>
                <w:color w:val="auto"/>
                <w:sz w:val="21"/>
                <w:szCs w:val="21"/>
              </w:rPr>
            </w:pPr>
            <w:r>
              <w:rPr>
                <w:bCs/>
                <w:color w:val="auto"/>
                <w:sz w:val="21"/>
                <w:szCs w:val="21"/>
              </w:rPr>
              <w:t>0.93</w:t>
            </w:r>
          </w:p>
        </w:tc>
      </w:tr>
      <w:tr w14:paraId="048C8290">
        <w:tblPrEx>
          <w:tblCellMar>
            <w:top w:w="0" w:type="dxa"/>
            <w:left w:w="108" w:type="dxa"/>
            <w:bottom w:w="0" w:type="dxa"/>
            <w:right w:w="108" w:type="dxa"/>
          </w:tblCellMar>
        </w:tblPrEx>
        <w:trPr>
          <w:trHeight w:val="684" w:hRule="atLeast"/>
          <w:jc w:val="center"/>
        </w:trPr>
        <w:tc>
          <w:tcPr>
            <w:tcW w:w="3439" w:type="dxa"/>
            <w:vAlign w:val="center"/>
          </w:tcPr>
          <w:p w14:paraId="3EF4BFB0">
            <w:pPr>
              <w:rPr>
                <w:b/>
                <w:color w:val="auto"/>
                <w:sz w:val="21"/>
                <w:szCs w:val="21"/>
              </w:rPr>
            </w:pPr>
            <w:r>
              <w:rPr>
                <w:rFonts w:hint="eastAsia"/>
                <w:b/>
                <w:bCs/>
                <w:color w:val="auto"/>
                <w:sz w:val="21"/>
                <w:szCs w:val="21"/>
              </w:rPr>
              <w:t>TyGFI</w:t>
            </w:r>
            <w:r>
              <w:rPr>
                <w:b/>
                <w:bCs/>
                <w:color w:val="auto"/>
                <w:sz w:val="21"/>
                <w:szCs w:val="21"/>
              </w:rPr>
              <w:t xml:space="preserve"> &lt; K</w:t>
            </w:r>
          </w:p>
        </w:tc>
        <w:tc>
          <w:tcPr>
            <w:tcW w:w="1747" w:type="dxa"/>
            <w:vAlign w:val="center"/>
          </w:tcPr>
          <w:p w14:paraId="4E6A9967">
            <w:pPr>
              <w:rPr>
                <w:bCs/>
                <w:color w:val="auto"/>
                <w:sz w:val="21"/>
                <w:szCs w:val="21"/>
              </w:rPr>
            </w:pPr>
            <w:r>
              <w:rPr>
                <w:bCs/>
                <w:color w:val="auto"/>
                <w:sz w:val="21"/>
                <w:szCs w:val="21"/>
              </w:rPr>
              <w:t>2.49 (1.88,</w:t>
            </w:r>
            <w:r>
              <w:rPr>
                <w:rFonts w:hint="eastAsia"/>
                <w:bCs/>
                <w:color w:val="auto"/>
                <w:sz w:val="21"/>
                <w:szCs w:val="21"/>
              </w:rPr>
              <w:t xml:space="preserve"> </w:t>
            </w:r>
            <w:r>
              <w:rPr>
                <w:bCs/>
                <w:color w:val="auto"/>
                <w:sz w:val="21"/>
                <w:szCs w:val="21"/>
              </w:rPr>
              <w:t xml:space="preserve">3.30) </w:t>
            </w:r>
          </w:p>
        </w:tc>
        <w:tc>
          <w:tcPr>
            <w:tcW w:w="1053" w:type="dxa"/>
            <w:vAlign w:val="center"/>
          </w:tcPr>
          <w:p w14:paraId="6A8BF5C8">
            <w:pPr>
              <w:jc w:val="center"/>
              <w:rPr>
                <w:bCs/>
                <w:color w:val="auto"/>
                <w:sz w:val="21"/>
                <w:szCs w:val="21"/>
              </w:rPr>
            </w:pPr>
            <w:r>
              <w:rPr>
                <w:bCs/>
                <w:color w:val="auto"/>
                <w:sz w:val="21"/>
                <w:szCs w:val="21"/>
              </w:rPr>
              <w:t>&lt; 0.001</w:t>
            </w:r>
          </w:p>
        </w:tc>
        <w:tc>
          <w:tcPr>
            <w:tcW w:w="1898" w:type="dxa"/>
            <w:vAlign w:val="center"/>
          </w:tcPr>
          <w:p w14:paraId="1660F30B">
            <w:pPr>
              <w:jc w:val="center"/>
              <w:rPr>
                <w:bCs/>
                <w:color w:val="auto"/>
                <w:sz w:val="21"/>
                <w:szCs w:val="21"/>
              </w:rPr>
            </w:pPr>
            <w:r>
              <w:rPr>
                <w:bCs/>
                <w:color w:val="auto"/>
                <w:sz w:val="21"/>
                <w:szCs w:val="21"/>
              </w:rPr>
              <w:t>2.2</w:t>
            </w:r>
            <w:r>
              <w:rPr>
                <w:rFonts w:hint="eastAsia"/>
                <w:bCs/>
                <w:color w:val="auto"/>
                <w:sz w:val="21"/>
                <w:szCs w:val="21"/>
              </w:rPr>
              <w:t xml:space="preserve">9 </w:t>
            </w:r>
            <w:r>
              <w:rPr>
                <w:bCs/>
                <w:color w:val="auto"/>
                <w:sz w:val="21"/>
                <w:szCs w:val="21"/>
              </w:rPr>
              <w:t>(1.77,2.95)</w:t>
            </w:r>
          </w:p>
        </w:tc>
        <w:tc>
          <w:tcPr>
            <w:tcW w:w="1041" w:type="dxa"/>
            <w:vAlign w:val="center"/>
          </w:tcPr>
          <w:p w14:paraId="2058AA5D">
            <w:pPr>
              <w:jc w:val="center"/>
              <w:rPr>
                <w:bCs/>
                <w:color w:val="auto"/>
                <w:sz w:val="21"/>
                <w:szCs w:val="21"/>
              </w:rPr>
            </w:pPr>
            <w:r>
              <w:rPr>
                <w:bCs/>
                <w:color w:val="auto"/>
                <w:sz w:val="21"/>
                <w:szCs w:val="21"/>
              </w:rPr>
              <w:t>&lt; 0.001</w:t>
            </w:r>
          </w:p>
        </w:tc>
      </w:tr>
      <w:tr w14:paraId="2C4FD82F">
        <w:tblPrEx>
          <w:tblCellMar>
            <w:top w:w="0" w:type="dxa"/>
            <w:left w:w="108" w:type="dxa"/>
            <w:bottom w:w="0" w:type="dxa"/>
            <w:right w:w="108" w:type="dxa"/>
          </w:tblCellMar>
        </w:tblPrEx>
        <w:trPr>
          <w:trHeight w:val="684" w:hRule="atLeast"/>
          <w:jc w:val="center"/>
        </w:trPr>
        <w:tc>
          <w:tcPr>
            <w:tcW w:w="3439" w:type="dxa"/>
            <w:vAlign w:val="center"/>
          </w:tcPr>
          <w:p w14:paraId="1D797A73">
            <w:pPr>
              <w:rPr>
                <w:b/>
                <w:color w:val="auto"/>
                <w:sz w:val="21"/>
                <w:szCs w:val="21"/>
              </w:rPr>
            </w:pPr>
            <w:r>
              <w:rPr>
                <w:rFonts w:hint="eastAsia"/>
                <w:b/>
                <w:bCs/>
                <w:color w:val="auto"/>
                <w:sz w:val="21"/>
                <w:szCs w:val="21"/>
              </w:rPr>
              <w:t>TyGFI</w:t>
            </w:r>
            <w:r>
              <w:rPr>
                <w:b/>
                <w:bCs/>
                <w:color w:val="auto"/>
                <w:sz w:val="21"/>
                <w:szCs w:val="21"/>
              </w:rPr>
              <w:t>≥ K</w:t>
            </w:r>
          </w:p>
        </w:tc>
        <w:tc>
          <w:tcPr>
            <w:tcW w:w="1747" w:type="dxa"/>
            <w:vAlign w:val="center"/>
          </w:tcPr>
          <w:p w14:paraId="585B40BA">
            <w:pPr>
              <w:rPr>
                <w:bCs/>
                <w:color w:val="auto"/>
                <w:sz w:val="21"/>
                <w:szCs w:val="21"/>
              </w:rPr>
            </w:pPr>
            <w:r>
              <w:rPr>
                <w:bCs/>
                <w:color w:val="auto"/>
                <w:sz w:val="21"/>
                <w:szCs w:val="21"/>
              </w:rPr>
              <w:t>1.2</w:t>
            </w:r>
            <w:r>
              <w:rPr>
                <w:rFonts w:hint="eastAsia"/>
                <w:bCs/>
                <w:color w:val="auto"/>
                <w:sz w:val="21"/>
                <w:szCs w:val="21"/>
              </w:rPr>
              <w:t xml:space="preserve">1 </w:t>
            </w:r>
            <w:r>
              <w:rPr>
                <w:bCs/>
                <w:color w:val="auto"/>
                <w:sz w:val="21"/>
                <w:szCs w:val="21"/>
              </w:rPr>
              <w:t>(0.9</w:t>
            </w:r>
            <w:r>
              <w:rPr>
                <w:rFonts w:hint="eastAsia"/>
                <w:bCs/>
                <w:color w:val="auto"/>
                <w:sz w:val="21"/>
                <w:szCs w:val="21"/>
              </w:rPr>
              <w:t>3</w:t>
            </w:r>
            <w:r>
              <w:rPr>
                <w:bCs/>
                <w:color w:val="auto"/>
                <w:sz w:val="21"/>
                <w:szCs w:val="21"/>
              </w:rPr>
              <w:t>,1.5</w:t>
            </w:r>
            <w:r>
              <w:rPr>
                <w:rFonts w:hint="eastAsia"/>
                <w:bCs/>
                <w:color w:val="auto"/>
                <w:sz w:val="21"/>
                <w:szCs w:val="21"/>
              </w:rPr>
              <w:t>8</w:t>
            </w:r>
            <w:r>
              <w:rPr>
                <w:bCs/>
                <w:color w:val="auto"/>
                <w:sz w:val="21"/>
                <w:szCs w:val="21"/>
              </w:rPr>
              <w:t xml:space="preserve">) </w:t>
            </w:r>
          </w:p>
        </w:tc>
        <w:tc>
          <w:tcPr>
            <w:tcW w:w="1053" w:type="dxa"/>
            <w:vAlign w:val="center"/>
          </w:tcPr>
          <w:p w14:paraId="3FCF0D31">
            <w:pPr>
              <w:jc w:val="center"/>
              <w:rPr>
                <w:bCs/>
                <w:color w:val="auto"/>
                <w:sz w:val="21"/>
                <w:szCs w:val="21"/>
              </w:rPr>
            </w:pPr>
            <w:r>
              <w:rPr>
                <w:bCs/>
                <w:color w:val="auto"/>
                <w:sz w:val="21"/>
                <w:szCs w:val="21"/>
              </w:rPr>
              <w:t>0.166</w:t>
            </w:r>
          </w:p>
        </w:tc>
        <w:tc>
          <w:tcPr>
            <w:tcW w:w="1898" w:type="dxa"/>
            <w:vAlign w:val="center"/>
          </w:tcPr>
          <w:p w14:paraId="0539E0AE">
            <w:pPr>
              <w:jc w:val="center"/>
              <w:rPr>
                <w:bCs/>
                <w:color w:val="auto"/>
                <w:sz w:val="21"/>
                <w:szCs w:val="21"/>
              </w:rPr>
            </w:pPr>
            <w:r>
              <w:rPr>
                <w:bCs/>
                <w:color w:val="auto"/>
                <w:sz w:val="21"/>
                <w:szCs w:val="21"/>
              </w:rPr>
              <w:t>1.1</w:t>
            </w:r>
            <w:r>
              <w:rPr>
                <w:rFonts w:hint="eastAsia"/>
                <w:bCs/>
                <w:color w:val="auto"/>
                <w:sz w:val="21"/>
                <w:szCs w:val="21"/>
              </w:rPr>
              <w:t>9</w:t>
            </w:r>
            <w:r>
              <w:rPr>
                <w:bCs/>
                <w:color w:val="auto"/>
                <w:sz w:val="21"/>
                <w:szCs w:val="21"/>
              </w:rPr>
              <w:t xml:space="preserve"> (0.93,1.51)</w:t>
            </w:r>
          </w:p>
        </w:tc>
        <w:tc>
          <w:tcPr>
            <w:tcW w:w="1041" w:type="dxa"/>
            <w:vAlign w:val="center"/>
          </w:tcPr>
          <w:p w14:paraId="186D1874">
            <w:pPr>
              <w:jc w:val="center"/>
              <w:rPr>
                <w:bCs/>
                <w:color w:val="auto"/>
                <w:sz w:val="21"/>
                <w:szCs w:val="21"/>
              </w:rPr>
            </w:pPr>
            <w:r>
              <w:rPr>
                <w:bCs/>
                <w:color w:val="auto"/>
                <w:sz w:val="21"/>
                <w:szCs w:val="21"/>
              </w:rPr>
              <w:t>0.167</w:t>
            </w:r>
          </w:p>
        </w:tc>
      </w:tr>
      <w:tr w14:paraId="5C325274">
        <w:tblPrEx>
          <w:tblCellMar>
            <w:top w:w="0" w:type="dxa"/>
            <w:left w:w="108" w:type="dxa"/>
            <w:bottom w:w="0" w:type="dxa"/>
            <w:right w:w="108" w:type="dxa"/>
          </w:tblCellMar>
        </w:tblPrEx>
        <w:trPr>
          <w:trHeight w:val="347" w:hRule="atLeast"/>
          <w:jc w:val="center"/>
        </w:trPr>
        <w:tc>
          <w:tcPr>
            <w:tcW w:w="3439" w:type="dxa"/>
          </w:tcPr>
          <w:p w14:paraId="0E2545D7">
            <w:pPr>
              <w:rPr>
                <w:b/>
                <w:bCs/>
                <w:color w:val="auto"/>
                <w:sz w:val="21"/>
                <w:szCs w:val="21"/>
              </w:rPr>
            </w:pPr>
            <w:r>
              <w:rPr>
                <w:b/>
                <w:bCs/>
                <w:i/>
                <w:iCs/>
                <w:color w:val="auto"/>
                <w:sz w:val="21"/>
                <w:szCs w:val="21"/>
              </w:rPr>
              <w:t xml:space="preserve">P </w:t>
            </w:r>
            <w:r>
              <w:rPr>
                <w:b/>
                <w:bCs/>
                <w:color w:val="auto"/>
                <w:sz w:val="21"/>
                <w:szCs w:val="21"/>
              </w:rPr>
              <w:t>value for LRT test</w:t>
            </w:r>
          </w:p>
        </w:tc>
        <w:tc>
          <w:tcPr>
            <w:tcW w:w="1747" w:type="dxa"/>
          </w:tcPr>
          <w:p w14:paraId="46F4F683">
            <w:pPr>
              <w:rPr>
                <w:bCs/>
                <w:color w:val="auto"/>
                <w:sz w:val="21"/>
                <w:szCs w:val="21"/>
              </w:rPr>
            </w:pPr>
          </w:p>
        </w:tc>
        <w:tc>
          <w:tcPr>
            <w:tcW w:w="1053" w:type="dxa"/>
          </w:tcPr>
          <w:p w14:paraId="3EA1DC47">
            <w:pPr>
              <w:jc w:val="center"/>
              <w:rPr>
                <w:bCs/>
                <w:color w:val="auto"/>
                <w:sz w:val="21"/>
                <w:szCs w:val="21"/>
              </w:rPr>
            </w:pPr>
            <w:r>
              <w:rPr>
                <w:bCs/>
                <w:color w:val="auto"/>
                <w:sz w:val="21"/>
                <w:szCs w:val="21"/>
              </w:rPr>
              <w:t>&lt; 0.001</w:t>
            </w:r>
          </w:p>
        </w:tc>
        <w:tc>
          <w:tcPr>
            <w:tcW w:w="1898" w:type="dxa"/>
          </w:tcPr>
          <w:p w14:paraId="628C5DB7">
            <w:pPr>
              <w:rPr>
                <w:bCs/>
                <w:color w:val="auto"/>
                <w:sz w:val="21"/>
                <w:szCs w:val="21"/>
              </w:rPr>
            </w:pPr>
          </w:p>
        </w:tc>
        <w:tc>
          <w:tcPr>
            <w:tcW w:w="1041" w:type="dxa"/>
          </w:tcPr>
          <w:p w14:paraId="3DF43216">
            <w:pPr>
              <w:jc w:val="center"/>
              <w:rPr>
                <w:bCs/>
                <w:color w:val="auto"/>
                <w:sz w:val="21"/>
                <w:szCs w:val="21"/>
              </w:rPr>
            </w:pPr>
            <w:r>
              <w:rPr>
                <w:bCs/>
                <w:color w:val="auto"/>
                <w:sz w:val="21"/>
                <w:szCs w:val="21"/>
              </w:rPr>
              <w:t>&lt;0.001</w:t>
            </w:r>
          </w:p>
        </w:tc>
      </w:tr>
      <w:tr w14:paraId="68A3A081">
        <w:tblPrEx>
          <w:tblCellMar>
            <w:top w:w="0" w:type="dxa"/>
            <w:left w:w="108" w:type="dxa"/>
            <w:bottom w:w="0" w:type="dxa"/>
            <w:right w:w="108" w:type="dxa"/>
          </w:tblCellMar>
        </w:tblPrEx>
        <w:trPr>
          <w:trHeight w:val="357" w:hRule="atLeast"/>
          <w:jc w:val="center"/>
        </w:trPr>
        <w:tc>
          <w:tcPr>
            <w:tcW w:w="3439" w:type="dxa"/>
            <w:tcBorders>
              <w:bottom w:val="single" w:color="auto" w:sz="12" w:space="0"/>
            </w:tcBorders>
          </w:tcPr>
          <w:p w14:paraId="11920B87">
            <w:pPr>
              <w:rPr>
                <w:b/>
                <w:bCs/>
                <w:color w:val="auto"/>
                <w:sz w:val="21"/>
                <w:szCs w:val="21"/>
              </w:rPr>
            </w:pPr>
            <w:r>
              <w:rPr>
                <w:b/>
                <w:bCs/>
                <w:color w:val="auto"/>
                <w:sz w:val="21"/>
                <w:szCs w:val="21"/>
              </w:rPr>
              <w:t>95% CI for turning point</w:t>
            </w:r>
          </w:p>
        </w:tc>
        <w:tc>
          <w:tcPr>
            <w:tcW w:w="2800" w:type="dxa"/>
            <w:gridSpan w:val="2"/>
            <w:tcBorders>
              <w:bottom w:val="single" w:color="auto" w:sz="12" w:space="0"/>
            </w:tcBorders>
          </w:tcPr>
          <w:p w14:paraId="2AD0F649">
            <w:pPr>
              <w:ind w:firstLine="210" w:firstLineChars="100"/>
              <w:rPr>
                <w:bCs/>
                <w:color w:val="auto"/>
                <w:sz w:val="21"/>
                <w:szCs w:val="21"/>
              </w:rPr>
            </w:pPr>
            <w:r>
              <w:rPr>
                <w:color w:val="auto"/>
                <w:sz w:val="21"/>
                <w:szCs w:val="21"/>
              </w:rPr>
              <w:t>2.12,</w:t>
            </w:r>
            <w:r>
              <w:rPr>
                <w:rFonts w:hint="eastAsia"/>
                <w:color w:val="auto"/>
                <w:sz w:val="21"/>
                <w:szCs w:val="21"/>
              </w:rPr>
              <w:t xml:space="preserve"> </w:t>
            </w:r>
            <w:r>
              <w:rPr>
                <w:color w:val="auto"/>
                <w:sz w:val="21"/>
                <w:szCs w:val="21"/>
              </w:rPr>
              <w:t>2.25</w:t>
            </w:r>
          </w:p>
        </w:tc>
        <w:tc>
          <w:tcPr>
            <w:tcW w:w="2939" w:type="dxa"/>
            <w:gridSpan w:val="2"/>
            <w:tcBorders>
              <w:bottom w:val="single" w:color="auto" w:sz="12" w:space="0"/>
            </w:tcBorders>
          </w:tcPr>
          <w:p w14:paraId="2D8529DC">
            <w:pPr>
              <w:ind w:firstLine="315" w:firstLineChars="150"/>
              <w:rPr>
                <w:bCs/>
                <w:color w:val="auto"/>
                <w:sz w:val="21"/>
                <w:szCs w:val="21"/>
              </w:rPr>
            </w:pPr>
            <w:r>
              <w:rPr>
                <w:bCs/>
                <w:color w:val="auto"/>
                <w:sz w:val="21"/>
                <w:szCs w:val="21"/>
              </w:rPr>
              <w:t>0.86</w:t>
            </w:r>
            <w:r>
              <w:rPr>
                <w:rFonts w:hint="eastAsia"/>
                <w:bCs/>
                <w:color w:val="auto"/>
                <w:sz w:val="21"/>
                <w:szCs w:val="21"/>
              </w:rPr>
              <w:t xml:space="preserve">, </w:t>
            </w:r>
            <w:r>
              <w:rPr>
                <w:bCs/>
                <w:color w:val="auto"/>
                <w:sz w:val="21"/>
                <w:szCs w:val="21"/>
              </w:rPr>
              <w:t>1.0</w:t>
            </w:r>
            <w:r>
              <w:rPr>
                <w:rFonts w:hint="eastAsia"/>
                <w:bCs/>
                <w:color w:val="auto"/>
                <w:sz w:val="21"/>
                <w:szCs w:val="21"/>
              </w:rPr>
              <w:t>1</w:t>
            </w:r>
          </w:p>
        </w:tc>
      </w:tr>
    </w:tbl>
    <w:p w14:paraId="68516EEB">
      <w:pPr>
        <w:rPr>
          <w:color w:val="EE0000"/>
        </w:rPr>
      </w:pPr>
      <w:r>
        <w:t xml:space="preserve">Data were presented as </w:t>
      </w:r>
      <w:r>
        <w:rPr>
          <w:rFonts w:hint="eastAsia"/>
        </w:rPr>
        <w:t>H</w:t>
      </w:r>
      <w:r>
        <w:t xml:space="preserve">R (95% CI) </w:t>
      </w:r>
      <w:r>
        <w:rPr>
          <w:rFonts w:hint="eastAsia"/>
        </w:rPr>
        <w:t xml:space="preserve">and </w:t>
      </w:r>
      <w:r>
        <w:rPr>
          <w:i/>
          <w:iCs/>
        </w:rPr>
        <w:t>P</w:t>
      </w:r>
      <w:r>
        <w:t xml:space="preserve"> value</w:t>
      </w:r>
      <w:r>
        <w:rPr>
          <w:rFonts w:hint="eastAsia"/>
        </w:rPr>
        <w:t>.</w:t>
      </w:r>
      <w:r>
        <w:t xml:space="preserve"> Adjusted for </w:t>
      </w:r>
      <w:r>
        <w:rPr>
          <w:color w:val="auto"/>
        </w:rPr>
        <w:t xml:space="preserve">age, sex, race, </w:t>
      </w:r>
      <w:r>
        <w:rPr>
          <w:rFonts w:hint="eastAsia"/>
          <w:color w:val="auto"/>
        </w:rPr>
        <w:t xml:space="preserve">BMI, </w:t>
      </w:r>
      <w:r>
        <w:rPr>
          <w:color w:val="auto"/>
        </w:rPr>
        <w:t>marital status,</w:t>
      </w:r>
      <w:r>
        <w:rPr>
          <w:rFonts w:hint="eastAsia"/>
          <w:color w:val="auto"/>
        </w:rPr>
        <w:t xml:space="preserve"> PIR, education, smoke, drink, eGFR, hypertension, stroke</w:t>
      </w:r>
      <w:r>
        <w:t xml:space="preserve">. CI, confidence interval; </w:t>
      </w:r>
      <w:r>
        <w:rPr>
          <w:rFonts w:hint="eastAsia"/>
        </w:rPr>
        <w:t>H</w:t>
      </w:r>
      <w:r>
        <w:t xml:space="preserve">R, </w:t>
      </w:r>
      <w:r>
        <w:rPr>
          <w:rFonts w:hint="eastAsia"/>
        </w:rPr>
        <w:t>hazard</w:t>
      </w:r>
      <w:r>
        <w:t xml:space="preserve"> ratio; LRT, logarithm likelihood ratio test. </w:t>
      </w:r>
    </w:p>
    <w:p w14:paraId="17192975">
      <w:pPr>
        <w:rPr>
          <w:rFonts w:cs="Times New Roman"/>
          <w:lang w:bidi="ar"/>
        </w:rPr>
      </w:pPr>
    </w:p>
    <w:p w14:paraId="3B581930">
      <w:pPr>
        <w:pStyle w:val="3"/>
        <w:keepNext w:val="0"/>
        <w:keepLines w:val="0"/>
        <w:rPr>
          <w:rFonts w:ascii="Times New Roman" w:hAnsi="Times New Roman" w:cs="Times New Roman" w:eastAsiaTheme="minorEastAsia"/>
          <w:b/>
          <w:bCs/>
          <w:color w:val="auto"/>
          <w:sz w:val="28"/>
          <w:szCs w:val="28"/>
        </w:rPr>
      </w:pPr>
    </w:p>
    <w:p w14:paraId="3DCB1C4E">
      <w:pPr>
        <w:pStyle w:val="3"/>
        <w:keepNext w:val="0"/>
        <w:keepLines w:val="0"/>
        <w:rPr>
          <w:rFonts w:ascii="Times New Roman" w:hAnsi="Times New Roman" w:cs="Times New Roman" w:eastAsiaTheme="minorEastAsia"/>
          <w:b/>
          <w:bCs/>
          <w:color w:val="auto"/>
          <w:sz w:val="28"/>
          <w:szCs w:val="28"/>
        </w:rPr>
      </w:pPr>
    </w:p>
    <w:p w14:paraId="3409BC52">
      <w:pPr>
        <w:pStyle w:val="3"/>
        <w:keepNext w:val="0"/>
        <w:keepLines w:val="0"/>
        <w:rPr>
          <w:rFonts w:ascii="Times New Roman" w:hAnsi="Times New Roman" w:cs="Times New Roman" w:eastAsiaTheme="minorEastAsia"/>
          <w:b/>
          <w:bCs/>
          <w:color w:val="auto"/>
          <w:sz w:val="28"/>
          <w:szCs w:val="28"/>
        </w:rPr>
      </w:pPr>
    </w:p>
    <w:p w14:paraId="748A6369">
      <w:pPr>
        <w:pStyle w:val="3"/>
        <w:keepNext w:val="0"/>
        <w:keepLines w:val="0"/>
        <w:rPr>
          <w:rFonts w:ascii="Times New Roman" w:hAnsi="Times New Roman" w:cs="Times New Roman" w:eastAsiaTheme="minorEastAsia"/>
          <w:b/>
          <w:bCs/>
          <w:color w:val="auto"/>
          <w:sz w:val="28"/>
          <w:szCs w:val="28"/>
        </w:rPr>
      </w:pPr>
    </w:p>
    <w:p w14:paraId="7C14BA3D">
      <w:pPr>
        <w:pStyle w:val="3"/>
        <w:keepNext w:val="0"/>
        <w:keepLines w:val="0"/>
        <w:rPr>
          <w:rFonts w:ascii="Times New Roman" w:hAnsi="Times New Roman" w:cs="Times New Roman"/>
          <w:b/>
          <w:bCs/>
          <w:color w:val="auto"/>
          <w:sz w:val="28"/>
          <w:szCs w:val="28"/>
        </w:rPr>
      </w:pPr>
      <w:bookmarkStart w:id="35" w:name="_Toc218184830"/>
      <w:r>
        <w:rPr>
          <w:rFonts w:ascii="Times New Roman" w:hAnsi="Times New Roman" w:cs="Times New Roman" w:eastAsiaTheme="minorEastAsia"/>
          <w:b/>
          <w:bCs/>
          <w:color w:val="auto"/>
          <w:sz w:val="28"/>
          <w:szCs w:val="28"/>
        </w:rPr>
        <w:t>VII</w:t>
      </w:r>
      <w:r>
        <w:rPr>
          <w:rFonts w:hint="eastAsia" w:ascii="Times New Roman" w:hAnsi="Times New Roman" w:cs="Times New Roman" w:eastAsiaTheme="minorEastAsia"/>
          <w:b/>
          <w:bCs/>
          <w:color w:val="auto"/>
          <w:sz w:val="28"/>
          <w:szCs w:val="28"/>
        </w:rPr>
        <w:t>I</w:t>
      </w:r>
      <w:r>
        <w:rPr>
          <w:rFonts w:ascii="Times New Roman" w:hAnsi="Times New Roman" w:cs="Times New Roman" w:eastAsiaTheme="minorEastAsia"/>
          <w:b/>
          <w:bCs/>
          <w:color w:val="auto"/>
          <w:sz w:val="28"/>
          <w:szCs w:val="28"/>
        </w:rPr>
        <w:t xml:space="preserve">.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Proportional </w:t>
      </w:r>
      <w:r>
        <w:rPr>
          <w:rFonts w:hint="eastAsia" w:ascii="Times New Roman" w:hAnsi="Times New Roman" w:cs="Times New Roman"/>
          <w:b/>
          <w:bCs/>
          <w:color w:val="auto"/>
          <w:sz w:val="28"/>
          <w:szCs w:val="28"/>
        </w:rPr>
        <w:t>h</w:t>
      </w:r>
      <w:r>
        <w:rPr>
          <w:rFonts w:ascii="Times New Roman" w:hAnsi="Times New Roman" w:cs="Times New Roman"/>
          <w:b/>
          <w:bCs/>
          <w:color w:val="auto"/>
          <w:sz w:val="28"/>
          <w:szCs w:val="28"/>
        </w:rPr>
        <w:t xml:space="preserve">azards </w:t>
      </w:r>
      <w:r>
        <w:rPr>
          <w:rFonts w:hint="eastAsia" w:ascii="Times New Roman" w:hAnsi="Times New Roman" w:cs="Times New Roman"/>
          <w:b/>
          <w:bCs/>
          <w:color w:val="auto"/>
          <w:sz w:val="28"/>
          <w:szCs w:val="28"/>
        </w:rPr>
        <w:t>a</w:t>
      </w:r>
      <w:r>
        <w:rPr>
          <w:rFonts w:ascii="Times New Roman" w:hAnsi="Times New Roman" w:cs="Times New Roman"/>
          <w:b/>
          <w:bCs/>
          <w:color w:val="auto"/>
          <w:sz w:val="28"/>
          <w:szCs w:val="28"/>
        </w:rPr>
        <w:t xml:space="preserve">ssumption </w:t>
      </w:r>
      <w:r>
        <w:rPr>
          <w:rFonts w:hint="eastAsia" w:ascii="Times New Roman" w:hAnsi="Times New Roman" w:cs="Times New Roman"/>
          <w:b/>
          <w:bCs/>
          <w:color w:val="auto"/>
          <w:sz w:val="28"/>
          <w:szCs w:val="28"/>
        </w:rPr>
        <w:t>t</w:t>
      </w:r>
      <w:r>
        <w:rPr>
          <w:rFonts w:ascii="Times New Roman" w:hAnsi="Times New Roman" w:cs="Times New Roman"/>
          <w:b/>
          <w:bCs/>
          <w:color w:val="auto"/>
          <w:sz w:val="28"/>
          <w:szCs w:val="28"/>
        </w:rPr>
        <w:t>est</w:t>
      </w:r>
      <w:bookmarkEnd w:id="35"/>
      <w:r>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fldChar w:fldCharType="end"/>
      </w:r>
    </w:p>
    <w:p w14:paraId="4239A32E">
      <w:pPr>
        <w:pStyle w:val="4"/>
        <w:rPr>
          <w:rFonts w:ascii="Times New Roman" w:hAnsi="Times New Roman" w:cs="Times New Roman"/>
          <w:b/>
          <w:bCs/>
          <w:color w:val="auto"/>
          <w:sz w:val="24"/>
          <w:szCs w:val="24"/>
        </w:rPr>
      </w:pPr>
    </w:p>
    <w:p w14:paraId="383600A4">
      <w:pPr>
        <w:pStyle w:val="4"/>
        <w:rPr>
          <w:rFonts w:ascii="Times New Roman" w:hAnsi="Times New Roman" w:cs="Times New Roman"/>
          <w:color w:val="auto"/>
          <w:sz w:val="24"/>
          <w:szCs w:val="24"/>
        </w:rPr>
      </w:pPr>
      <w:bookmarkStart w:id="36" w:name="_Toc218184831"/>
      <w:r>
        <w:rPr>
          <w:rFonts w:ascii="Times New Roman" w:hAnsi="Times New Roman" w:cs="Times New Roman"/>
          <w:b/>
          <w:bCs/>
          <w:color w:val="auto"/>
          <w:sz w:val="24"/>
          <w:szCs w:val="24"/>
        </w:rPr>
        <w:t>Table S1</w:t>
      </w:r>
      <w:r>
        <w:rPr>
          <w:rFonts w:hint="eastAsia" w:ascii="Times New Roman" w:hAnsi="Times New Roman" w:cs="Times New Roman"/>
          <w:b/>
          <w:bCs/>
          <w:color w:val="auto"/>
          <w:sz w:val="24"/>
          <w:szCs w:val="24"/>
        </w:rPr>
        <w:t>5</w:t>
      </w:r>
      <w:r>
        <w:rPr>
          <w:rFonts w:ascii="Times New Roman" w:hAnsi="Times New Roman" w:cs="Times New Roman"/>
          <w:color w:val="auto"/>
          <w:sz w:val="24"/>
          <w:szCs w:val="24"/>
        </w:rPr>
        <w:t xml:space="preserve"> Schoenfeld </w:t>
      </w:r>
      <w:r>
        <w:rPr>
          <w:rFonts w:hint="eastAsia" w:ascii="Times New Roman" w:hAnsi="Times New Roman" w:cs="Times New Roman"/>
          <w:color w:val="auto"/>
          <w:sz w:val="24"/>
          <w:szCs w:val="24"/>
        </w:rPr>
        <w:t>r</w:t>
      </w:r>
      <w:r>
        <w:rPr>
          <w:rFonts w:ascii="Times New Roman" w:hAnsi="Times New Roman" w:cs="Times New Roman"/>
          <w:color w:val="auto"/>
          <w:sz w:val="24"/>
          <w:szCs w:val="24"/>
        </w:rPr>
        <w:t xml:space="preserve">esidual </w:t>
      </w:r>
      <w:r>
        <w:rPr>
          <w:rFonts w:hint="eastAsia" w:ascii="Times New Roman" w:hAnsi="Times New Roman" w:cs="Times New Roman"/>
          <w:color w:val="auto"/>
          <w:sz w:val="24"/>
          <w:szCs w:val="24"/>
        </w:rPr>
        <w:t>t</w:t>
      </w:r>
      <w:r>
        <w:rPr>
          <w:rFonts w:ascii="Times New Roman" w:hAnsi="Times New Roman" w:cs="Times New Roman"/>
          <w:color w:val="auto"/>
          <w:sz w:val="24"/>
          <w:szCs w:val="24"/>
        </w:rPr>
        <w:t xml:space="preserve">ests for </w:t>
      </w:r>
      <w:r>
        <w:rPr>
          <w:rFonts w:hint="eastAsia" w:ascii="Times New Roman" w:hAnsi="Times New Roman" w:cs="Times New Roman"/>
          <w:color w:val="auto"/>
          <w:sz w:val="24"/>
          <w:szCs w:val="24"/>
        </w:rPr>
        <w:t>p</w:t>
      </w:r>
      <w:r>
        <w:rPr>
          <w:rFonts w:ascii="Times New Roman" w:hAnsi="Times New Roman" w:cs="Times New Roman"/>
          <w:color w:val="auto"/>
          <w:sz w:val="24"/>
          <w:szCs w:val="24"/>
        </w:rPr>
        <w:t xml:space="preserve">roportional </w:t>
      </w:r>
      <w:r>
        <w:rPr>
          <w:rFonts w:hint="eastAsia" w:ascii="Times New Roman" w:hAnsi="Times New Roman" w:cs="Times New Roman"/>
          <w:color w:val="auto"/>
          <w:sz w:val="24"/>
          <w:szCs w:val="24"/>
        </w:rPr>
        <w:t>h</w:t>
      </w:r>
      <w:r>
        <w:rPr>
          <w:rFonts w:ascii="Times New Roman" w:hAnsi="Times New Roman" w:cs="Times New Roman"/>
          <w:color w:val="auto"/>
          <w:sz w:val="24"/>
          <w:szCs w:val="24"/>
        </w:rPr>
        <w:t xml:space="preserve">azards </w:t>
      </w:r>
      <w:r>
        <w:rPr>
          <w:rFonts w:hint="eastAsia" w:ascii="Times New Roman" w:hAnsi="Times New Roman" w:cs="Times New Roman"/>
          <w:color w:val="auto"/>
          <w:sz w:val="24"/>
          <w:szCs w:val="24"/>
        </w:rPr>
        <w:t>a</w:t>
      </w:r>
      <w:r>
        <w:rPr>
          <w:rFonts w:ascii="Times New Roman" w:hAnsi="Times New Roman" w:cs="Times New Roman"/>
          <w:color w:val="auto"/>
          <w:sz w:val="24"/>
          <w:szCs w:val="24"/>
        </w:rPr>
        <w:t>ssumption</w:t>
      </w:r>
      <w:bookmarkEnd w:id="36"/>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4"/>
        <w:gridCol w:w="1571"/>
        <w:gridCol w:w="1556"/>
        <w:gridCol w:w="1583"/>
        <w:gridCol w:w="1558"/>
      </w:tblGrid>
      <w:tr w14:paraId="3F4A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tcBorders>
              <w:top w:val="single" w:color="auto" w:sz="12" w:space="0"/>
            </w:tcBorders>
          </w:tcPr>
          <w:p w14:paraId="0AC360C2">
            <w:pPr>
              <w:jc w:val="center"/>
            </w:pPr>
            <w:r>
              <w:rPr>
                <w:rFonts w:cs="Times New Roman"/>
                <w:color w:val="000000"/>
                <w:kern w:val="0"/>
              </w:rPr>
              <w:t>Variable</w:t>
            </w:r>
            <w:r>
              <w:rPr>
                <w:rFonts w:hint="eastAsia" w:cs="Times New Roman"/>
                <w:color w:val="000000"/>
                <w:kern w:val="0"/>
              </w:rPr>
              <w:t>s</w:t>
            </w:r>
          </w:p>
        </w:tc>
        <w:tc>
          <w:tcPr>
            <w:tcW w:w="3127" w:type="dxa"/>
            <w:gridSpan w:val="2"/>
            <w:tcBorders>
              <w:top w:val="single" w:color="auto" w:sz="12" w:space="0"/>
              <w:bottom w:val="single" w:color="auto" w:sz="6" w:space="0"/>
            </w:tcBorders>
          </w:tcPr>
          <w:p w14:paraId="0463A967">
            <w:pPr>
              <w:jc w:val="center"/>
            </w:pPr>
            <w:r>
              <w:t>All-cause Mortality</w:t>
            </w:r>
          </w:p>
        </w:tc>
        <w:tc>
          <w:tcPr>
            <w:tcW w:w="3141" w:type="dxa"/>
            <w:gridSpan w:val="2"/>
            <w:tcBorders>
              <w:top w:val="single" w:color="auto" w:sz="12" w:space="0"/>
              <w:bottom w:val="single" w:color="auto" w:sz="6" w:space="0"/>
            </w:tcBorders>
          </w:tcPr>
          <w:p w14:paraId="7E668D5C">
            <w:pPr>
              <w:jc w:val="center"/>
            </w:pPr>
            <w:r>
              <w:rPr>
                <w:rFonts w:hint="eastAsia"/>
              </w:rPr>
              <w:t>CVD</w:t>
            </w:r>
            <w:r>
              <w:t xml:space="preserve"> Mortality</w:t>
            </w:r>
          </w:p>
        </w:tc>
      </w:tr>
      <w:tr w14:paraId="2BA7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tcBorders>
              <w:bottom w:val="single" w:color="auto" w:sz="6" w:space="0"/>
            </w:tcBorders>
          </w:tcPr>
          <w:p w14:paraId="159882C5">
            <w:pPr>
              <w:jc w:val="center"/>
            </w:pPr>
          </w:p>
        </w:tc>
        <w:tc>
          <w:tcPr>
            <w:tcW w:w="1571" w:type="dxa"/>
            <w:tcBorders>
              <w:top w:val="single" w:color="auto" w:sz="6" w:space="0"/>
              <w:bottom w:val="single" w:color="auto" w:sz="6" w:space="0"/>
            </w:tcBorders>
          </w:tcPr>
          <w:p w14:paraId="16DD89C0">
            <w:pPr>
              <w:jc w:val="center"/>
            </w:pPr>
            <w:r>
              <w:t>Chi-square</w:t>
            </w:r>
          </w:p>
        </w:tc>
        <w:tc>
          <w:tcPr>
            <w:tcW w:w="1556" w:type="dxa"/>
            <w:tcBorders>
              <w:top w:val="single" w:color="auto" w:sz="6" w:space="0"/>
              <w:bottom w:val="single" w:color="auto" w:sz="6" w:space="0"/>
            </w:tcBorders>
          </w:tcPr>
          <w:p w14:paraId="4BFA377B">
            <w:pPr>
              <w:jc w:val="center"/>
            </w:pPr>
            <w:r>
              <w:rPr>
                <w:i/>
                <w:iCs/>
              </w:rPr>
              <w:t>P</w:t>
            </w:r>
            <w:r>
              <w:t>-value</w:t>
            </w:r>
          </w:p>
        </w:tc>
        <w:tc>
          <w:tcPr>
            <w:tcW w:w="1583" w:type="dxa"/>
            <w:tcBorders>
              <w:top w:val="single" w:color="auto" w:sz="6" w:space="0"/>
              <w:bottom w:val="single" w:color="auto" w:sz="6" w:space="0"/>
            </w:tcBorders>
          </w:tcPr>
          <w:p w14:paraId="592F5461">
            <w:pPr>
              <w:jc w:val="center"/>
            </w:pPr>
            <w:r>
              <w:t>Chi-square</w:t>
            </w:r>
          </w:p>
        </w:tc>
        <w:tc>
          <w:tcPr>
            <w:tcW w:w="1558" w:type="dxa"/>
            <w:tcBorders>
              <w:top w:val="single" w:color="auto" w:sz="6" w:space="0"/>
              <w:bottom w:val="single" w:color="auto" w:sz="6" w:space="0"/>
            </w:tcBorders>
          </w:tcPr>
          <w:p w14:paraId="07C50042">
            <w:pPr>
              <w:jc w:val="center"/>
            </w:pPr>
            <w:r>
              <w:rPr>
                <w:i/>
                <w:iCs/>
              </w:rPr>
              <w:t>P</w:t>
            </w:r>
            <w:r>
              <w:t>-value</w:t>
            </w:r>
          </w:p>
        </w:tc>
      </w:tr>
      <w:tr w14:paraId="02F9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tcBorders>
              <w:top w:val="single" w:color="auto" w:sz="6" w:space="0"/>
            </w:tcBorders>
            <w:vAlign w:val="center"/>
          </w:tcPr>
          <w:p w14:paraId="565EBAD7">
            <w:pPr>
              <w:jc w:val="center"/>
            </w:pPr>
            <w:r>
              <w:rPr>
                <w:rFonts w:hint="eastAsia"/>
                <w:color w:val="000000"/>
                <w:sz w:val="22"/>
                <w:szCs w:val="22"/>
              </w:rPr>
              <w:t>TyGFI</w:t>
            </w:r>
          </w:p>
        </w:tc>
        <w:tc>
          <w:tcPr>
            <w:tcW w:w="1571" w:type="dxa"/>
            <w:tcBorders>
              <w:top w:val="single" w:color="auto" w:sz="6" w:space="0"/>
            </w:tcBorders>
            <w:vAlign w:val="center"/>
          </w:tcPr>
          <w:p w14:paraId="0B32A320">
            <w:pPr>
              <w:jc w:val="center"/>
            </w:pPr>
            <w:r>
              <w:rPr>
                <w:rFonts w:hint="eastAsia"/>
                <w:color w:val="000000"/>
                <w:sz w:val="22"/>
                <w:szCs w:val="22"/>
              </w:rPr>
              <w:t>0.814</w:t>
            </w:r>
          </w:p>
        </w:tc>
        <w:tc>
          <w:tcPr>
            <w:tcW w:w="1556" w:type="dxa"/>
            <w:tcBorders>
              <w:top w:val="single" w:color="auto" w:sz="6" w:space="0"/>
            </w:tcBorders>
            <w:vAlign w:val="center"/>
          </w:tcPr>
          <w:p w14:paraId="30A8AE02">
            <w:pPr>
              <w:jc w:val="center"/>
            </w:pPr>
            <w:r>
              <w:rPr>
                <w:rFonts w:hint="eastAsia"/>
                <w:color w:val="000000"/>
                <w:sz w:val="22"/>
                <w:szCs w:val="22"/>
              </w:rPr>
              <w:t>0.367</w:t>
            </w:r>
          </w:p>
        </w:tc>
        <w:tc>
          <w:tcPr>
            <w:tcW w:w="1583" w:type="dxa"/>
            <w:tcBorders>
              <w:top w:val="single" w:color="auto" w:sz="6" w:space="0"/>
            </w:tcBorders>
            <w:vAlign w:val="center"/>
          </w:tcPr>
          <w:p w14:paraId="52286315">
            <w:pPr>
              <w:jc w:val="center"/>
            </w:pPr>
            <w:r>
              <w:rPr>
                <w:rFonts w:hint="eastAsia"/>
                <w:color w:val="000000"/>
                <w:sz w:val="22"/>
                <w:szCs w:val="22"/>
              </w:rPr>
              <w:t>1.226</w:t>
            </w:r>
          </w:p>
        </w:tc>
        <w:tc>
          <w:tcPr>
            <w:tcW w:w="1558" w:type="dxa"/>
            <w:tcBorders>
              <w:top w:val="single" w:color="auto" w:sz="6" w:space="0"/>
            </w:tcBorders>
            <w:vAlign w:val="center"/>
          </w:tcPr>
          <w:p w14:paraId="726E0D18">
            <w:pPr>
              <w:jc w:val="center"/>
            </w:pPr>
            <w:r>
              <w:rPr>
                <w:rFonts w:hint="eastAsia"/>
                <w:color w:val="000000"/>
                <w:sz w:val="22"/>
                <w:szCs w:val="22"/>
              </w:rPr>
              <w:t>0.268</w:t>
            </w:r>
          </w:p>
        </w:tc>
      </w:tr>
      <w:tr w14:paraId="2106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2FBA9413">
            <w:pPr>
              <w:jc w:val="center"/>
              <w:rPr>
                <w:color w:val="000000"/>
                <w:sz w:val="22"/>
                <w:szCs w:val="22"/>
              </w:rPr>
            </w:pPr>
            <w:r>
              <w:rPr>
                <w:rFonts w:hint="eastAsia"/>
                <w:color w:val="000000"/>
                <w:sz w:val="22"/>
                <w:szCs w:val="22"/>
              </w:rPr>
              <w:t>Age</w:t>
            </w:r>
          </w:p>
        </w:tc>
        <w:tc>
          <w:tcPr>
            <w:tcW w:w="1571" w:type="dxa"/>
            <w:vAlign w:val="center"/>
          </w:tcPr>
          <w:p w14:paraId="23CF692F">
            <w:pPr>
              <w:jc w:val="center"/>
              <w:rPr>
                <w:color w:val="000000"/>
                <w:sz w:val="22"/>
                <w:szCs w:val="22"/>
              </w:rPr>
            </w:pPr>
            <w:r>
              <w:rPr>
                <w:rFonts w:hint="eastAsia"/>
                <w:color w:val="000000"/>
                <w:sz w:val="22"/>
                <w:szCs w:val="22"/>
              </w:rPr>
              <w:t>4.012</w:t>
            </w:r>
          </w:p>
        </w:tc>
        <w:tc>
          <w:tcPr>
            <w:tcW w:w="1556" w:type="dxa"/>
            <w:vAlign w:val="center"/>
          </w:tcPr>
          <w:p w14:paraId="6702F71B">
            <w:pPr>
              <w:jc w:val="center"/>
              <w:rPr>
                <w:color w:val="000000"/>
                <w:sz w:val="22"/>
                <w:szCs w:val="22"/>
              </w:rPr>
            </w:pPr>
            <w:r>
              <w:rPr>
                <w:rFonts w:hint="eastAsia"/>
                <w:color w:val="000000"/>
                <w:sz w:val="22"/>
                <w:szCs w:val="22"/>
              </w:rPr>
              <w:t>0.26</w:t>
            </w:r>
          </w:p>
        </w:tc>
        <w:tc>
          <w:tcPr>
            <w:tcW w:w="1583" w:type="dxa"/>
            <w:vAlign w:val="center"/>
          </w:tcPr>
          <w:p w14:paraId="77CEA823">
            <w:pPr>
              <w:jc w:val="center"/>
              <w:rPr>
                <w:color w:val="000000"/>
                <w:sz w:val="22"/>
                <w:szCs w:val="22"/>
              </w:rPr>
            </w:pPr>
            <w:r>
              <w:rPr>
                <w:rFonts w:hint="eastAsia"/>
                <w:color w:val="000000"/>
                <w:sz w:val="22"/>
                <w:szCs w:val="22"/>
              </w:rPr>
              <w:t>4.366</w:t>
            </w:r>
          </w:p>
        </w:tc>
        <w:tc>
          <w:tcPr>
            <w:tcW w:w="1558" w:type="dxa"/>
            <w:vAlign w:val="center"/>
          </w:tcPr>
          <w:p w14:paraId="4E15450B">
            <w:pPr>
              <w:jc w:val="center"/>
              <w:rPr>
                <w:color w:val="000000"/>
                <w:sz w:val="22"/>
                <w:szCs w:val="22"/>
              </w:rPr>
            </w:pPr>
            <w:r>
              <w:rPr>
                <w:rFonts w:hint="eastAsia"/>
                <w:color w:val="000000"/>
                <w:sz w:val="22"/>
                <w:szCs w:val="22"/>
              </w:rPr>
              <w:t>0.225</w:t>
            </w:r>
          </w:p>
        </w:tc>
      </w:tr>
      <w:tr w14:paraId="0CB3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155F22DD">
            <w:pPr>
              <w:jc w:val="center"/>
            </w:pPr>
            <w:r>
              <w:rPr>
                <w:rFonts w:hint="eastAsia"/>
                <w:color w:val="000000"/>
                <w:sz w:val="22"/>
                <w:szCs w:val="22"/>
              </w:rPr>
              <w:t>Sex</w:t>
            </w:r>
          </w:p>
        </w:tc>
        <w:tc>
          <w:tcPr>
            <w:tcW w:w="1571" w:type="dxa"/>
            <w:vAlign w:val="center"/>
          </w:tcPr>
          <w:p w14:paraId="7DC934E6">
            <w:pPr>
              <w:jc w:val="center"/>
            </w:pPr>
            <w:r>
              <w:rPr>
                <w:rFonts w:hint="eastAsia"/>
                <w:color w:val="000000"/>
                <w:sz w:val="22"/>
                <w:szCs w:val="22"/>
              </w:rPr>
              <w:t>2.474</w:t>
            </w:r>
          </w:p>
        </w:tc>
        <w:tc>
          <w:tcPr>
            <w:tcW w:w="1556" w:type="dxa"/>
            <w:vAlign w:val="center"/>
          </w:tcPr>
          <w:p w14:paraId="2AFF59BC">
            <w:pPr>
              <w:jc w:val="center"/>
            </w:pPr>
            <w:r>
              <w:rPr>
                <w:rFonts w:hint="eastAsia"/>
                <w:color w:val="000000"/>
                <w:sz w:val="22"/>
                <w:szCs w:val="22"/>
              </w:rPr>
              <w:t>0.116</w:t>
            </w:r>
          </w:p>
        </w:tc>
        <w:tc>
          <w:tcPr>
            <w:tcW w:w="1583" w:type="dxa"/>
            <w:vAlign w:val="center"/>
          </w:tcPr>
          <w:p w14:paraId="212256A4">
            <w:pPr>
              <w:jc w:val="center"/>
            </w:pPr>
            <w:r>
              <w:rPr>
                <w:rFonts w:hint="eastAsia"/>
                <w:color w:val="000000"/>
                <w:sz w:val="22"/>
                <w:szCs w:val="22"/>
              </w:rPr>
              <w:t>1.385</w:t>
            </w:r>
          </w:p>
        </w:tc>
        <w:tc>
          <w:tcPr>
            <w:tcW w:w="1558" w:type="dxa"/>
            <w:vAlign w:val="center"/>
          </w:tcPr>
          <w:p w14:paraId="3D62A726">
            <w:pPr>
              <w:jc w:val="center"/>
            </w:pPr>
            <w:r>
              <w:rPr>
                <w:rFonts w:hint="eastAsia"/>
                <w:color w:val="000000"/>
                <w:sz w:val="22"/>
                <w:szCs w:val="22"/>
              </w:rPr>
              <w:t>0.239</w:t>
            </w:r>
          </w:p>
        </w:tc>
      </w:tr>
      <w:tr w14:paraId="77F0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4F028F1E">
            <w:pPr>
              <w:jc w:val="center"/>
            </w:pPr>
            <w:r>
              <w:rPr>
                <w:rFonts w:hint="eastAsia"/>
                <w:color w:val="000000"/>
                <w:sz w:val="22"/>
                <w:szCs w:val="22"/>
              </w:rPr>
              <w:t>Race</w:t>
            </w:r>
          </w:p>
        </w:tc>
        <w:tc>
          <w:tcPr>
            <w:tcW w:w="1571" w:type="dxa"/>
            <w:vAlign w:val="center"/>
          </w:tcPr>
          <w:p w14:paraId="30395122">
            <w:pPr>
              <w:jc w:val="center"/>
            </w:pPr>
            <w:r>
              <w:rPr>
                <w:rFonts w:hint="eastAsia"/>
                <w:color w:val="000000"/>
                <w:sz w:val="22"/>
                <w:szCs w:val="22"/>
              </w:rPr>
              <w:t>5.932</w:t>
            </w:r>
          </w:p>
        </w:tc>
        <w:tc>
          <w:tcPr>
            <w:tcW w:w="1556" w:type="dxa"/>
            <w:vAlign w:val="center"/>
          </w:tcPr>
          <w:p w14:paraId="21EA5A06">
            <w:pPr>
              <w:jc w:val="center"/>
            </w:pPr>
            <w:r>
              <w:rPr>
                <w:rFonts w:hint="eastAsia"/>
                <w:color w:val="000000"/>
                <w:sz w:val="22"/>
                <w:szCs w:val="22"/>
              </w:rPr>
              <w:t>0.204</w:t>
            </w:r>
          </w:p>
        </w:tc>
        <w:tc>
          <w:tcPr>
            <w:tcW w:w="1583" w:type="dxa"/>
            <w:vAlign w:val="center"/>
          </w:tcPr>
          <w:p w14:paraId="368C5566">
            <w:pPr>
              <w:jc w:val="center"/>
            </w:pPr>
            <w:r>
              <w:rPr>
                <w:rFonts w:hint="eastAsia"/>
                <w:color w:val="000000"/>
                <w:sz w:val="22"/>
                <w:szCs w:val="22"/>
              </w:rPr>
              <w:t>1.263</w:t>
            </w:r>
          </w:p>
        </w:tc>
        <w:tc>
          <w:tcPr>
            <w:tcW w:w="1558" w:type="dxa"/>
            <w:vAlign w:val="center"/>
          </w:tcPr>
          <w:p w14:paraId="40B4ECE4">
            <w:pPr>
              <w:jc w:val="center"/>
            </w:pPr>
            <w:r>
              <w:rPr>
                <w:rFonts w:hint="eastAsia"/>
                <w:color w:val="000000"/>
                <w:sz w:val="22"/>
                <w:szCs w:val="22"/>
              </w:rPr>
              <w:t>0.868</w:t>
            </w:r>
          </w:p>
        </w:tc>
      </w:tr>
      <w:tr w14:paraId="3164F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6A3EB03D">
            <w:pPr>
              <w:jc w:val="center"/>
            </w:pPr>
            <w:r>
              <w:rPr>
                <w:rFonts w:hint="eastAsia"/>
                <w:color w:val="000000"/>
                <w:sz w:val="22"/>
                <w:szCs w:val="22"/>
              </w:rPr>
              <w:t>M</w:t>
            </w:r>
            <w:r>
              <w:rPr>
                <w:color w:val="000000"/>
                <w:sz w:val="22"/>
                <w:szCs w:val="22"/>
              </w:rPr>
              <w:t>arital status</w:t>
            </w:r>
          </w:p>
        </w:tc>
        <w:tc>
          <w:tcPr>
            <w:tcW w:w="1571" w:type="dxa"/>
            <w:vAlign w:val="center"/>
          </w:tcPr>
          <w:p w14:paraId="01FC08FA">
            <w:pPr>
              <w:jc w:val="center"/>
            </w:pPr>
            <w:r>
              <w:rPr>
                <w:rFonts w:hint="eastAsia"/>
                <w:color w:val="000000"/>
                <w:sz w:val="22"/>
                <w:szCs w:val="22"/>
              </w:rPr>
              <w:t>3.049</w:t>
            </w:r>
          </w:p>
        </w:tc>
        <w:tc>
          <w:tcPr>
            <w:tcW w:w="1556" w:type="dxa"/>
            <w:vAlign w:val="center"/>
          </w:tcPr>
          <w:p w14:paraId="3CF1191D">
            <w:pPr>
              <w:jc w:val="center"/>
            </w:pPr>
            <w:r>
              <w:rPr>
                <w:rFonts w:hint="eastAsia"/>
                <w:color w:val="000000"/>
                <w:sz w:val="22"/>
                <w:szCs w:val="22"/>
              </w:rPr>
              <w:t>0.692</w:t>
            </w:r>
          </w:p>
        </w:tc>
        <w:tc>
          <w:tcPr>
            <w:tcW w:w="1583" w:type="dxa"/>
            <w:vAlign w:val="center"/>
          </w:tcPr>
          <w:p w14:paraId="085D5385">
            <w:pPr>
              <w:jc w:val="center"/>
            </w:pPr>
            <w:r>
              <w:rPr>
                <w:rFonts w:hint="eastAsia"/>
                <w:color w:val="000000"/>
                <w:sz w:val="22"/>
                <w:szCs w:val="22"/>
              </w:rPr>
              <w:t>2.741</w:t>
            </w:r>
          </w:p>
        </w:tc>
        <w:tc>
          <w:tcPr>
            <w:tcW w:w="1558" w:type="dxa"/>
            <w:vAlign w:val="center"/>
          </w:tcPr>
          <w:p w14:paraId="7F59C198">
            <w:pPr>
              <w:jc w:val="center"/>
            </w:pPr>
            <w:r>
              <w:rPr>
                <w:rFonts w:hint="eastAsia"/>
                <w:color w:val="000000"/>
                <w:sz w:val="22"/>
                <w:szCs w:val="22"/>
              </w:rPr>
              <w:t>0.74</w:t>
            </w:r>
          </w:p>
        </w:tc>
      </w:tr>
      <w:tr w14:paraId="54AF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089E5DE9">
            <w:pPr>
              <w:jc w:val="center"/>
            </w:pPr>
            <w:r>
              <w:rPr>
                <w:rFonts w:hint="eastAsia"/>
                <w:color w:val="000000"/>
                <w:sz w:val="22"/>
                <w:szCs w:val="22"/>
              </w:rPr>
              <w:t>Education</w:t>
            </w:r>
          </w:p>
        </w:tc>
        <w:tc>
          <w:tcPr>
            <w:tcW w:w="1571" w:type="dxa"/>
            <w:vAlign w:val="center"/>
          </w:tcPr>
          <w:p w14:paraId="3E856BD7">
            <w:pPr>
              <w:jc w:val="center"/>
            </w:pPr>
            <w:r>
              <w:rPr>
                <w:rFonts w:hint="eastAsia"/>
                <w:color w:val="000000"/>
                <w:sz w:val="22"/>
                <w:szCs w:val="22"/>
              </w:rPr>
              <w:t>0.353</w:t>
            </w:r>
          </w:p>
        </w:tc>
        <w:tc>
          <w:tcPr>
            <w:tcW w:w="1556" w:type="dxa"/>
            <w:vAlign w:val="center"/>
          </w:tcPr>
          <w:p w14:paraId="1F86F9CA">
            <w:pPr>
              <w:jc w:val="center"/>
            </w:pPr>
            <w:r>
              <w:rPr>
                <w:rFonts w:hint="eastAsia"/>
                <w:color w:val="000000"/>
                <w:sz w:val="22"/>
                <w:szCs w:val="22"/>
              </w:rPr>
              <w:t>0.838</w:t>
            </w:r>
          </w:p>
        </w:tc>
        <w:tc>
          <w:tcPr>
            <w:tcW w:w="1583" w:type="dxa"/>
            <w:vAlign w:val="center"/>
          </w:tcPr>
          <w:p w14:paraId="18297654">
            <w:pPr>
              <w:jc w:val="center"/>
            </w:pPr>
            <w:r>
              <w:rPr>
                <w:rFonts w:hint="eastAsia"/>
                <w:color w:val="000000"/>
                <w:sz w:val="22"/>
                <w:szCs w:val="22"/>
              </w:rPr>
              <w:t>0.263</w:t>
            </w:r>
          </w:p>
        </w:tc>
        <w:tc>
          <w:tcPr>
            <w:tcW w:w="1558" w:type="dxa"/>
            <w:vAlign w:val="center"/>
          </w:tcPr>
          <w:p w14:paraId="09AD33FC">
            <w:pPr>
              <w:jc w:val="center"/>
            </w:pPr>
            <w:r>
              <w:rPr>
                <w:rFonts w:hint="eastAsia"/>
                <w:color w:val="000000"/>
                <w:sz w:val="22"/>
                <w:szCs w:val="22"/>
              </w:rPr>
              <w:t>0.877</w:t>
            </w:r>
          </w:p>
        </w:tc>
      </w:tr>
      <w:tr w14:paraId="2B47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7DD3A7CE">
            <w:pPr>
              <w:jc w:val="center"/>
            </w:pPr>
            <w:r>
              <w:rPr>
                <w:rFonts w:hint="eastAsia"/>
                <w:color w:val="000000"/>
                <w:sz w:val="22"/>
                <w:szCs w:val="22"/>
              </w:rPr>
              <w:t>Smoke</w:t>
            </w:r>
          </w:p>
        </w:tc>
        <w:tc>
          <w:tcPr>
            <w:tcW w:w="1571" w:type="dxa"/>
            <w:vAlign w:val="center"/>
          </w:tcPr>
          <w:p w14:paraId="3BD99401">
            <w:pPr>
              <w:jc w:val="center"/>
            </w:pPr>
            <w:r>
              <w:rPr>
                <w:rFonts w:hint="eastAsia"/>
                <w:color w:val="000000"/>
                <w:sz w:val="22"/>
                <w:szCs w:val="22"/>
              </w:rPr>
              <w:t>0.478</w:t>
            </w:r>
          </w:p>
        </w:tc>
        <w:tc>
          <w:tcPr>
            <w:tcW w:w="1556" w:type="dxa"/>
            <w:vAlign w:val="center"/>
          </w:tcPr>
          <w:p w14:paraId="250FC21B">
            <w:pPr>
              <w:jc w:val="center"/>
            </w:pPr>
            <w:r>
              <w:rPr>
                <w:rFonts w:hint="eastAsia"/>
                <w:color w:val="000000"/>
                <w:sz w:val="22"/>
                <w:szCs w:val="22"/>
              </w:rPr>
              <w:t>0.489</w:t>
            </w:r>
          </w:p>
        </w:tc>
        <w:tc>
          <w:tcPr>
            <w:tcW w:w="1583" w:type="dxa"/>
            <w:vAlign w:val="center"/>
          </w:tcPr>
          <w:p w14:paraId="6896542E">
            <w:pPr>
              <w:jc w:val="center"/>
            </w:pPr>
            <w:r>
              <w:rPr>
                <w:rFonts w:hint="eastAsia"/>
                <w:color w:val="000000"/>
                <w:sz w:val="22"/>
                <w:szCs w:val="22"/>
              </w:rPr>
              <w:t>0.244</w:t>
            </w:r>
          </w:p>
        </w:tc>
        <w:tc>
          <w:tcPr>
            <w:tcW w:w="1558" w:type="dxa"/>
            <w:vAlign w:val="center"/>
          </w:tcPr>
          <w:p w14:paraId="6A2868C3">
            <w:pPr>
              <w:jc w:val="center"/>
            </w:pPr>
            <w:r>
              <w:rPr>
                <w:rFonts w:hint="eastAsia"/>
                <w:color w:val="000000"/>
                <w:sz w:val="22"/>
                <w:szCs w:val="22"/>
              </w:rPr>
              <w:t>0.621</w:t>
            </w:r>
          </w:p>
        </w:tc>
      </w:tr>
      <w:tr w14:paraId="4897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010CDAD3">
            <w:pPr>
              <w:jc w:val="center"/>
            </w:pPr>
            <w:r>
              <w:rPr>
                <w:rFonts w:hint="eastAsia"/>
                <w:color w:val="000000"/>
                <w:sz w:val="22"/>
                <w:szCs w:val="22"/>
              </w:rPr>
              <w:t>Drink</w:t>
            </w:r>
          </w:p>
        </w:tc>
        <w:tc>
          <w:tcPr>
            <w:tcW w:w="1571" w:type="dxa"/>
            <w:vAlign w:val="center"/>
          </w:tcPr>
          <w:p w14:paraId="653377C3">
            <w:pPr>
              <w:jc w:val="center"/>
            </w:pPr>
            <w:r>
              <w:rPr>
                <w:rFonts w:hint="eastAsia"/>
                <w:color w:val="000000"/>
                <w:sz w:val="22"/>
                <w:szCs w:val="22"/>
              </w:rPr>
              <w:t>0</w:t>
            </w:r>
          </w:p>
        </w:tc>
        <w:tc>
          <w:tcPr>
            <w:tcW w:w="1556" w:type="dxa"/>
            <w:vAlign w:val="center"/>
          </w:tcPr>
          <w:p w14:paraId="02866D01">
            <w:pPr>
              <w:jc w:val="center"/>
            </w:pPr>
            <w:r>
              <w:rPr>
                <w:rFonts w:hint="eastAsia"/>
                <w:color w:val="000000"/>
                <w:sz w:val="22"/>
                <w:szCs w:val="22"/>
              </w:rPr>
              <w:t>0.998</w:t>
            </w:r>
          </w:p>
        </w:tc>
        <w:tc>
          <w:tcPr>
            <w:tcW w:w="1583" w:type="dxa"/>
            <w:vAlign w:val="center"/>
          </w:tcPr>
          <w:p w14:paraId="7A107349">
            <w:pPr>
              <w:jc w:val="center"/>
            </w:pPr>
            <w:r>
              <w:rPr>
                <w:rFonts w:hint="eastAsia"/>
                <w:color w:val="000000"/>
                <w:sz w:val="22"/>
                <w:szCs w:val="22"/>
              </w:rPr>
              <w:t>0.11</w:t>
            </w:r>
          </w:p>
        </w:tc>
        <w:tc>
          <w:tcPr>
            <w:tcW w:w="1558" w:type="dxa"/>
            <w:vAlign w:val="center"/>
          </w:tcPr>
          <w:p w14:paraId="6423B300">
            <w:pPr>
              <w:jc w:val="center"/>
            </w:pPr>
            <w:r>
              <w:rPr>
                <w:rFonts w:hint="eastAsia"/>
                <w:color w:val="000000"/>
                <w:sz w:val="22"/>
                <w:szCs w:val="22"/>
              </w:rPr>
              <w:t>0.74</w:t>
            </w:r>
          </w:p>
        </w:tc>
      </w:tr>
      <w:tr w14:paraId="302B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64ABAB2F">
            <w:pPr>
              <w:jc w:val="center"/>
            </w:pPr>
            <w:r>
              <w:rPr>
                <w:rFonts w:hint="eastAsia"/>
                <w:color w:val="000000"/>
                <w:sz w:val="22"/>
                <w:szCs w:val="22"/>
              </w:rPr>
              <w:t>Hypertension</w:t>
            </w:r>
          </w:p>
        </w:tc>
        <w:tc>
          <w:tcPr>
            <w:tcW w:w="1571" w:type="dxa"/>
            <w:vAlign w:val="center"/>
          </w:tcPr>
          <w:p w14:paraId="28D303C4">
            <w:pPr>
              <w:jc w:val="center"/>
            </w:pPr>
            <w:r>
              <w:rPr>
                <w:rFonts w:hint="eastAsia"/>
                <w:color w:val="000000"/>
                <w:sz w:val="22"/>
                <w:szCs w:val="22"/>
              </w:rPr>
              <w:t>0.035</w:t>
            </w:r>
          </w:p>
        </w:tc>
        <w:tc>
          <w:tcPr>
            <w:tcW w:w="1556" w:type="dxa"/>
            <w:vAlign w:val="center"/>
          </w:tcPr>
          <w:p w14:paraId="424439F0">
            <w:pPr>
              <w:jc w:val="center"/>
            </w:pPr>
            <w:r>
              <w:rPr>
                <w:rFonts w:hint="eastAsia"/>
                <w:color w:val="000000"/>
                <w:sz w:val="22"/>
                <w:szCs w:val="22"/>
              </w:rPr>
              <w:t>0.852</w:t>
            </w:r>
          </w:p>
        </w:tc>
        <w:tc>
          <w:tcPr>
            <w:tcW w:w="1583" w:type="dxa"/>
            <w:vAlign w:val="center"/>
          </w:tcPr>
          <w:p w14:paraId="4E6F8DD2">
            <w:pPr>
              <w:jc w:val="center"/>
            </w:pPr>
            <w:r>
              <w:rPr>
                <w:rFonts w:hint="eastAsia"/>
                <w:color w:val="000000"/>
                <w:sz w:val="22"/>
                <w:szCs w:val="22"/>
              </w:rPr>
              <w:t>0.091</w:t>
            </w:r>
          </w:p>
        </w:tc>
        <w:tc>
          <w:tcPr>
            <w:tcW w:w="1558" w:type="dxa"/>
            <w:vAlign w:val="center"/>
          </w:tcPr>
          <w:p w14:paraId="28A07EC4">
            <w:pPr>
              <w:jc w:val="center"/>
            </w:pPr>
            <w:r>
              <w:rPr>
                <w:rFonts w:hint="eastAsia"/>
                <w:color w:val="000000"/>
                <w:sz w:val="22"/>
                <w:szCs w:val="22"/>
              </w:rPr>
              <w:t>0.763</w:t>
            </w:r>
          </w:p>
        </w:tc>
      </w:tr>
      <w:tr w14:paraId="3270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21D5E6D4">
            <w:pPr>
              <w:jc w:val="center"/>
            </w:pPr>
            <w:r>
              <w:rPr>
                <w:rFonts w:hint="eastAsia"/>
                <w:color w:val="000000"/>
                <w:sz w:val="22"/>
                <w:szCs w:val="22"/>
              </w:rPr>
              <w:t>Stroke</w:t>
            </w:r>
          </w:p>
        </w:tc>
        <w:tc>
          <w:tcPr>
            <w:tcW w:w="1571" w:type="dxa"/>
            <w:vAlign w:val="center"/>
          </w:tcPr>
          <w:p w14:paraId="260509CA">
            <w:pPr>
              <w:jc w:val="center"/>
            </w:pPr>
            <w:r>
              <w:rPr>
                <w:rFonts w:hint="eastAsia"/>
                <w:color w:val="000000"/>
                <w:sz w:val="22"/>
                <w:szCs w:val="22"/>
              </w:rPr>
              <w:t>0.004</w:t>
            </w:r>
          </w:p>
        </w:tc>
        <w:tc>
          <w:tcPr>
            <w:tcW w:w="1556" w:type="dxa"/>
            <w:vAlign w:val="center"/>
          </w:tcPr>
          <w:p w14:paraId="2A555BC2">
            <w:pPr>
              <w:jc w:val="center"/>
            </w:pPr>
            <w:r>
              <w:rPr>
                <w:rFonts w:hint="eastAsia"/>
                <w:color w:val="000000"/>
                <w:sz w:val="22"/>
                <w:szCs w:val="22"/>
              </w:rPr>
              <w:t>0.948</w:t>
            </w:r>
          </w:p>
        </w:tc>
        <w:tc>
          <w:tcPr>
            <w:tcW w:w="1583" w:type="dxa"/>
            <w:vAlign w:val="center"/>
          </w:tcPr>
          <w:p w14:paraId="27ADDEFF">
            <w:pPr>
              <w:jc w:val="center"/>
            </w:pPr>
            <w:r>
              <w:rPr>
                <w:rFonts w:hint="eastAsia"/>
                <w:color w:val="000000"/>
                <w:sz w:val="22"/>
                <w:szCs w:val="22"/>
              </w:rPr>
              <w:t>1.429</w:t>
            </w:r>
          </w:p>
        </w:tc>
        <w:tc>
          <w:tcPr>
            <w:tcW w:w="1558" w:type="dxa"/>
            <w:vAlign w:val="center"/>
          </w:tcPr>
          <w:p w14:paraId="545094FB">
            <w:pPr>
              <w:jc w:val="center"/>
            </w:pPr>
            <w:r>
              <w:rPr>
                <w:rFonts w:hint="eastAsia"/>
                <w:color w:val="000000"/>
                <w:sz w:val="22"/>
                <w:szCs w:val="22"/>
              </w:rPr>
              <w:t>0.232</w:t>
            </w:r>
          </w:p>
        </w:tc>
      </w:tr>
      <w:tr w14:paraId="637F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19FEFF8A">
            <w:pPr>
              <w:jc w:val="center"/>
            </w:pPr>
            <w:r>
              <w:rPr>
                <w:rFonts w:hint="eastAsia"/>
                <w:color w:val="000000"/>
                <w:sz w:val="22"/>
                <w:szCs w:val="22"/>
              </w:rPr>
              <w:t>PIR</w:t>
            </w:r>
          </w:p>
        </w:tc>
        <w:tc>
          <w:tcPr>
            <w:tcW w:w="1571" w:type="dxa"/>
            <w:vAlign w:val="center"/>
          </w:tcPr>
          <w:p w14:paraId="669E1158">
            <w:pPr>
              <w:jc w:val="center"/>
            </w:pPr>
            <w:r>
              <w:rPr>
                <w:rFonts w:hint="eastAsia"/>
                <w:color w:val="000000"/>
                <w:sz w:val="22"/>
                <w:szCs w:val="22"/>
              </w:rPr>
              <w:t>0.139</w:t>
            </w:r>
          </w:p>
        </w:tc>
        <w:tc>
          <w:tcPr>
            <w:tcW w:w="1556" w:type="dxa"/>
            <w:vAlign w:val="center"/>
          </w:tcPr>
          <w:p w14:paraId="590C505B">
            <w:pPr>
              <w:jc w:val="center"/>
            </w:pPr>
            <w:r>
              <w:rPr>
                <w:rFonts w:hint="eastAsia"/>
                <w:color w:val="000000"/>
                <w:sz w:val="22"/>
                <w:szCs w:val="22"/>
              </w:rPr>
              <w:t>0.709</w:t>
            </w:r>
          </w:p>
        </w:tc>
        <w:tc>
          <w:tcPr>
            <w:tcW w:w="1583" w:type="dxa"/>
            <w:vAlign w:val="center"/>
          </w:tcPr>
          <w:p w14:paraId="4873A8C5">
            <w:pPr>
              <w:jc w:val="center"/>
            </w:pPr>
            <w:r>
              <w:rPr>
                <w:rFonts w:hint="eastAsia"/>
                <w:color w:val="000000"/>
                <w:sz w:val="22"/>
                <w:szCs w:val="22"/>
              </w:rPr>
              <w:t>0.4</w:t>
            </w:r>
          </w:p>
        </w:tc>
        <w:tc>
          <w:tcPr>
            <w:tcW w:w="1558" w:type="dxa"/>
            <w:vAlign w:val="center"/>
          </w:tcPr>
          <w:p w14:paraId="181E751F">
            <w:pPr>
              <w:jc w:val="center"/>
            </w:pPr>
            <w:r>
              <w:rPr>
                <w:rFonts w:hint="eastAsia"/>
                <w:color w:val="000000"/>
                <w:sz w:val="22"/>
                <w:szCs w:val="22"/>
              </w:rPr>
              <w:t>0.527</w:t>
            </w:r>
          </w:p>
        </w:tc>
      </w:tr>
      <w:tr w14:paraId="3A8C5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3AF93786">
            <w:pPr>
              <w:jc w:val="center"/>
            </w:pPr>
            <w:r>
              <w:rPr>
                <w:rFonts w:hint="eastAsia"/>
                <w:color w:val="000000"/>
                <w:sz w:val="22"/>
                <w:szCs w:val="22"/>
              </w:rPr>
              <w:t>BMI</w:t>
            </w:r>
          </w:p>
        </w:tc>
        <w:tc>
          <w:tcPr>
            <w:tcW w:w="1571" w:type="dxa"/>
            <w:vAlign w:val="center"/>
          </w:tcPr>
          <w:p w14:paraId="05D3D5BE">
            <w:pPr>
              <w:jc w:val="center"/>
            </w:pPr>
            <w:r>
              <w:rPr>
                <w:rFonts w:hint="eastAsia"/>
                <w:color w:val="000000"/>
                <w:sz w:val="22"/>
                <w:szCs w:val="22"/>
              </w:rPr>
              <w:t>0.741</w:t>
            </w:r>
          </w:p>
        </w:tc>
        <w:tc>
          <w:tcPr>
            <w:tcW w:w="1556" w:type="dxa"/>
            <w:vAlign w:val="center"/>
          </w:tcPr>
          <w:p w14:paraId="2ABB8722">
            <w:pPr>
              <w:jc w:val="center"/>
            </w:pPr>
            <w:r>
              <w:rPr>
                <w:rFonts w:hint="eastAsia"/>
                <w:color w:val="000000"/>
                <w:sz w:val="22"/>
                <w:szCs w:val="22"/>
              </w:rPr>
              <w:t>0.389</w:t>
            </w:r>
          </w:p>
        </w:tc>
        <w:tc>
          <w:tcPr>
            <w:tcW w:w="1583" w:type="dxa"/>
            <w:vAlign w:val="center"/>
          </w:tcPr>
          <w:p w14:paraId="773BE429">
            <w:pPr>
              <w:jc w:val="center"/>
            </w:pPr>
            <w:r>
              <w:rPr>
                <w:rFonts w:hint="eastAsia"/>
                <w:color w:val="000000"/>
                <w:sz w:val="22"/>
                <w:szCs w:val="22"/>
              </w:rPr>
              <w:t>0.26</w:t>
            </w:r>
          </w:p>
        </w:tc>
        <w:tc>
          <w:tcPr>
            <w:tcW w:w="1558" w:type="dxa"/>
            <w:vAlign w:val="center"/>
          </w:tcPr>
          <w:p w14:paraId="4FACFDAB">
            <w:pPr>
              <w:jc w:val="center"/>
            </w:pPr>
            <w:r>
              <w:rPr>
                <w:rFonts w:hint="eastAsia"/>
                <w:color w:val="000000"/>
                <w:sz w:val="22"/>
                <w:szCs w:val="22"/>
              </w:rPr>
              <w:t>0.61</w:t>
            </w:r>
          </w:p>
        </w:tc>
      </w:tr>
      <w:tr w14:paraId="343B8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vAlign w:val="center"/>
          </w:tcPr>
          <w:p w14:paraId="35F9D1D6">
            <w:pPr>
              <w:jc w:val="center"/>
            </w:pPr>
            <w:r>
              <w:rPr>
                <w:rFonts w:hint="eastAsia"/>
                <w:color w:val="000000"/>
                <w:sz w:val="22"/>
                <w:szCs w:val="22"/>
              </w:rPr>
              <w:t>eGFR</w:t>
            </w:r>
          </w:p>
        </w:tc>
        <w:tc>
          <w:tcPr>
            <w:tcW w:w="1571" w:type="dxa"/>
            <w:vAlign w:val="center"/>
          </w:tcPr>
          <w:p w14:paraId="4BF3BD75">
            <w:pPr>
              <w:jc w:val="center"/>
            </w:pPr>
            <w:r>
              <w:rPr>
                <w:rFonts w:hint="eastAsia"/>
                <w:color w:val="000000"/>
                <w:sz w:val="22"/>
                <w:szCs w:val="22"/>
              </w:rPr>
              <w:t>0.271</w:t>
            </w:r>
          </w:p>
        </w:tc>
        <w:tc>
          <w:tcPr>
            <w:tcW w:w="1556" w:type="dxa"/>
            <w:vAlign w:val="center"/>
          </w:tcPr>
          <w:p w14:paraId="60B80C9D">
            <w:pPr>
              <w:jc w:val="center"/>
            </w:pPr>
            <w:r>
              <w:rPr>
                <w:rFonts w:hint="eastAsia"/>
                <w:color w:val="000000"/>
                <w:sz w:val="22"/>
                <w:szCs w:val="22"/>
              </w:rPr>
              <w:t>0.603</w:t>
            </w:r>
          </w:p>
        </w:tc>
        <w:tc>
          <w:tcPr>
            <w:tcW w:w="1583" w:type="dxa"/>
            <w:vAlign w:val="center"/>
          </w:tcPr>
          <w:p w14:paraId="0FC8DE72">
            <w:pPr>
              <w:jc w:val="center"/>
            </w:pPr>
            <w:r>
              <w:rPr>
                <w:rFonts w:hint="eastAsia"/>
                <w:color w:val="000000"/>
                <w:sz w:val="22"/>
                <w:szCs w:val="22"/>
              </w:rPr>
              <w:t>0.704</w:t>
            </w:r>
          </w:p>
        </w:tc>
        <w:tc>
          <w:tcPr>
            <w:tcW w:w="1558" w:type="dxa"/>
            <w:vAlign w:val="center"/>
          </w:tcPr>
          <w:p w14:paraId="280A751C">
            <w:pPr>
              <w:jc w:val="center"/>
            </w:pPr>
            <w:r>
              <w:rPr>
                <w:rFonts w:hint="eastAsia"/>
                <w:color w:val="000000"/>
                <w:sz w:val="22"/>
                <w:szCs w:val="22"/>
              </w:rPr>
              <w:t>0.401</w:t>
            </w:r>
          </w:p>
        </w:tc>
      </w:tr>
      <w:tr w14:paraId="18AB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4" w:type="dxa"/>
            <w:tcBorders>
              <w:bottom w:val="single" w:color="auto" w:sz="12" w:space="0"/>
            </w:tcBorders>
            <w:vAlign w:val="center"/>
          </w:tcPr>
          <w:p w14:paraId="6AD446D0">
            <w:pPr>
              <w:jc w:val="center"/>
            </w:pPr>
            <w:r>
              <w:rPr>
                <w:rFonts w:hint="eastAsia"/>
                <w:color w:val="000000"/>
                <w:sz w:val="22"/>
                <w:szCs w:val="22"/>
              </w:rPr>
              <w:t>Global</w:t>
            </w:r>
          </w:p>
        </w:tc>
        <w:tc>
          <w:tcPr>
            <w:tcW w:w="1571" w:type="dxa"/>
            <w:tcBorders>
              <w:bottom w:val="single" w:color="auto" w:sz="12" w:space="0"/>
            </w:tcBorders>
            <w:vAlign w:val="center"/>
          </w:tcPr>
          <w:p w14:paraId="6CAD86E1">
            <w:pPr>
              <w:jc w:val="center"/>
            </w:pPr>
            <w:r>
              <w:rPr>
                <w:rFonts w:hint="eastAsia"/>
                <w:color w:val="000000"/>
                <w:sz w:val="22"/>
                <w:szCs w:val="22"/>
              </w:rPr>
              <w:t>24.817</w:t>
            </w:r>
          </w:p>
        </w:tc>
        <w:tc>
          <w:tcPr>
            <w:tcW w:w="1556" w:type="dxa"/>
            <w:tcBorders>
              <w:bottom w:val="single" w:color="auto" w:sz="12" w:space="0"/>
            </w:tcBorders>
          </w:tcPr>
          <w:p w14:paraId="581C668A">
            <w:pPr>
              <w:widowControl/>
              <w:jc w:val="center"/>
              <w:rPr>
                <w:rFonts w:cs="宋体"/>
                <w:color w:val="000000"/>
                <w:kern w:val="0"/>
                <w:sz w:val="22"/>
                <w:szCs w:val="22"/>
              </w:rPr>
            </w:pPr>
            <w:r>
              <w:rPr>
                <w:rFonts w:hint="eastAsia"/>
                <w:color w:val="000000"/>
                <w:sz w:val="22"/>
                <w:szCs w:val="22"/>
              </w:rPr>
              <w:t>0.36</w:t>
            </w:r>
          </w:p>
        </w:tc>
        <w:tc>
          <w:tcPr>
            <w:tcW w:w="1583" w:type="dxa"/>
            <w:tcBorders>
              <w:bottom w:val="single" w:color="auto" w:sz="12" w:space="0"/>
            </w:tcBorders>
            <w:vAlign w:val="center"/>
          </w:tcPr>
          <w:p w14:paraId="54969F43">
            <w:pPr>
              <w:jc w:val="center"/>
            </w:pPr>
            <w:r>
              <w:rPr>
                <w:rFonts w:hint="eastAsia"/>
                <w:color w:val="000000"/>
                <w:sz w:val="22"/>
                <w:szCs w:val="22"/>
              </w:rPr>
              <w:t>14.247</w:t>
            </w:r>
          </w:p>
        </w:tc>
        <w:tc>
          <w:tcPr>
            <w:tcW w:w="1558" w:type="dxa"/>
            <w:tcBorders>
              <w:bottom w:val="single" w:color="auto" w:sz="12" w:space="0"/>
            </w:tcBorders>
            <w:vAlign w:val="center"/>
          </w:tcPr>
          <w:p w14:paraId="3168B318">
            <w:pPr>
              <w:jc w:val="center"/>
            </w:pPr>
            <w:r>
              <w:rPr>
                <w:rFonts w:hint="eastAsia"/>
                <w:color w:val="000000"/>
                <w:sz w:val="22"/>
                <w:szCs w:val="22"/>
              </w:rPr>
              <w:t>0.92</w:t>
            </w:r>
          </w:p>
        </w:tc>
      </w:tr>
    </w:tbl>
    <w:p w14:paraId="037A8A9C">
      <w:r>
        <w:t xml:space="preserve">Note: All </w:t>
      </w:r>
      <w:r>
        <w:rPr>
          <w:i/>
          <w:iCs/>
        </w:rPr>
        <w:t>P</w:t>
      </w:r>
      <w:r>
        <w:t>-values &gt; 0.05 indicate that the proportional hazards assumption is satisfied.</w:t>
      </w:r>
    </w:p>
    <w:p w14:paraId="0F243FBE">
      <w:r>
        <w:t>CV</w:t>
      </w:r>
      <w:r>
        <w:rPr>
          <w:rFonts w:hint="eastAsia"/>
        </w:rPr>
        <w:t>D</w:t>
      </w:r>
      <w:r>
        <w:t xml:space="preserve">, cardiovascular </w:t>
      </w:r>
      <w:r>
        <w:rPr>
          <w:rFonts w:hint="eastAsia"/>
        </w:rPr>
        <w:t xml:space="preserve">disease; </w:t>
      </w:r>
      <w:r>
        <w:t>TyGFI</w:t>
      </w:r>
      <w:r>
        <w:rPr>
          <w:rFonts w:hint="eastAsia"/>
        </w:rPr>
        <w:t xml:space="preserve">, </w:t>
      </w:r>
      <w:r>
        <w:t>TyG</w:t>
      </w:r>
      <w:r>
        <w:rPr>
          <w:rFonts w:hint="eastAsia"/>
        </w:rPr>
        <w:t xml:space="preserve"> </w:t>
      </w:r>
      <w:r>
        <w:t xml:space="preserve">Frailty </w:t>
      </w:r>
      <w:r>
        <w:rPr>
          <w:rFonts w:hint="eastAsia"/>
        </w:rPr>
        <w:t>i</w:t>
      </w:r>
      <w:r>
        <w:t>ndex</w:t>
      </w:r>
      <w:r>
        <w:rPr>
          <w:rFonts w:hint="eastAsia"/>
        </w:rPr>
        <w:t>; BMI, b</w:t>
      </w:r>
      <w:r>
        <w:t xml:space="preserve">ody </w:t>
      </w:r>
      <w:r>
        <w:rPr>
          <w:rFonts w:hint="eastAsia"/>
        </w:rPr>
        <w:t>m</w:t>
      </w:r>
      <w:r>
        <w:t xml:space="preserve">ass </w:t>
      </w:r>
      <w:r>
        <w:rPr>
          <w:rFonts w:hint="eastAsia"/>
        </w:rPr>
        <w:t>i</w:t>
      </w:r>
      <w:r>
        <w:t>ndex</w:t>
      </w:r>
      <w:r>
        <w:rPr>
          <w:rFonts w:hint="eastAsia"/>
        </w:rPr>
        <w:t>; PIR, p</w:t>
      </w:r>
      <w:r>
        <w:t>overty income ratio</w:t>
      </w:r>
      <w:r>
        <w:rPr>
          <w:rFonts w:hint="eastAsia"/>
        </w:rPr>
        <w:t xml:space="preserve">; </w:t>
      </w:r>
      <w:r>
        <w:t>eGFR, estimated glomerular filtration rate</w:t>
      </w:r>
      <w:r>
        <w:rPr>
          <w:rFonts w:hint="eastAsia"/>
        </w:rPr>
        <w:t>.</w:t>
      </w:r>
    </w:p>
    <w:p w14:paraId="7CAE10EB"/>
    <w:p w14:paraId="3CCC10B7"/>
    <w:p w14:paraId="7BAA145E"/>
    <w:p w14:paraId="46DC5CD3"/>
    <w:p w14:paraId="0EE1DC1A"/>
    <w:p w14:paraId="09C595EF"/>
    <w:p w14:paraId="7C15A60C"/>
    <w:p w14:paraId="65900B59"/>
    <w:p w14:paraId="6210523C"/>
    <w:p w14:paraId="272FC022"/>
    <w:p w14:paraId="6DEAA740"/>
    <w:p w14:paraId="5E1F265A"/>
    <w:p w14:paraId="6C0F3E4F">
      <w:pPr>
        <w:pStyle w:val="3"/>
        <w:rPr>
          <w:rFonts w:ascii="Times New Roman" w:hAnsi="Times New Roman" w:cs="Times New Roman"/>
          <w:b/>
          <w:bCs/>
          <w:color w:val="auto"/>
          <w:sz w:val="28"/>
          <w:szCs w:val="28"/>
        </w:rPr>
      </w:pPr>
      <w:bookmarkStart w:id="37" w:name="_Toc218184832"/>
      <w:r>
        <w:rPr>
          <w:rFonts w:hint="eastAsia" w:ascii="Times New Roman" w:hAnsi="Times New Roman" w:cs="Times New Roman" w:eastAsiaTheme="minorEastAsia"/>
          <w:b/>
          <w:bCs/>
          <w:color w:val="auto"/>
          <w:sz w:val="28"/>
          <w:szCs w:val="28"/>
        </w:rPr>
        <w:t>I</w:t>
      </w:r>
      <w:r>
        <w:rPr>
          <w:rFonts w:ascii="Times New Roman" w:hAnsi="Times New Roman" w:cs="Times New Roman" w:eastAsiaTheme="minorEastAsia"/>
          <w:b/>
          <w:bCs/>
          <w:color w:val="auto"/>
          <w:sz w:val="28"/>
          <w:szCs w:val="28"/>
        </w:rPr>
        <w:t xml:space="preserve">V. </w:t>
      </w:r>
      <w:r>
        <w:fldChar w:fldCharType="begin"/>
      </w:r>
      <w:r>
        <w:instrText xml:space="preserve"> HYPERLINK \l "bookmark53" </w:instrText>
      </w:r>
      <w:r>
        <w:fldChar w:fldCharType="separate"/>
      </w:r>
      <w:r>
        <w:rPr>
          <w:rFonts w:ascii="Times New Roman" w:hAnsi="Times New Roman" w:cs="Times New Roman"/>
          <w:b/>
          <w:bCs/>
          <w:color w:val="auto"/>
          <w:sz w:val="28"/>
          <w:szCs w:val="28"/>
        </w:rPr>
        <w:t xml:space="preserve">Figures for </w:t>
      </w:r>
      <w:r>
        <w:rPr>
          <w:rFonts w:hint="eastAsia" w:ascii="Times New Roman" w:hAnsi="Times New Roman" w:cs="Times New Roman"/>
          <w:b/>
          <w:bCs/>
          <w:color w:val="auto"/>
          <w:sz w:val="28"/>
          <w:szCs w:val="28"/>
        </w:rPr>
        <w:t>d</w:t>
      </w:r>
      <w:r>
        <w:rPr>
          <w:rFonts w:ascii="Times New Roman" w:hAnsi="Times New Roman" w:cs="Times New Roman"/>
          <w:b/>
          <w:bCs/>
          <w:color w:val="auto"/>
          <w:sz w:val="28"/>
          <w:szCs w:val="28"/>
        </w:rPr>
        <w:t>ose-</w:t>
      </w:r>
      <w:r>
        <w:rPr>
          <w:rFonts w:hint="eastAsia" w:ascii="Times New Roman" w:hAnsi="Times New Roman" w:cs="Times New Roman"/>
          <w:b/>
          <w:bCs/>
          <w:color w:val="auto"/>
          <w:sz w:val="28"/>
          <w:szCs w:val="28"/>
        </w:rPr>
        <w:t>r</w:t>
      </w:r>
      <w:r>
        <w:rPr>
          <w:rFonts w:ascii="Times New Roman" w:hAnsi="Times New Roman" w:cs="Times New Roman"/>
          <w:b/>
          <w:bCs/>
          <w:color w:val="auto"/>
          <w:sz w:val="28"/>
          <w:szCs w:val="28"/>
        </w:rPr>
        <w:t xml:space="preserve">esponse </w:t>
      </w:r>
      <w:r>
        <w:rPr>
          <w:rFonts w:hint="eastAsia" w:ascii="Times New Roman" w:hAnsi="Times New Roman" w:cs="Times New Roman"/>
          <w:b/>
          <w:bCs/>
          <w:color w:val="auto"/>
          <w:sz w:val="28"/>
          <w:szCs w:val="28"/>
        </w:rPr>
        <w:t>r</w:t>
      </w:r>
      <w:r>
        <w:rPr>
          <w:rFonts w:ascii="Times New Roman" w:hAnsi="Times New Roman" w:cs="Times New Roman"/>
          <w:b/>
          <w:bCs/>
          <w:color w:val="auto"/>
          <w:sz w:val="28"/>
          <w:szCs w:val="28"/>
        </w:rPr>
        <w:t>elationships and Schoenfeld residual diagnostic plots</w:t>
      </w:r>
      <w:bookmarkEnd w:id="37"/>
      <w:r>
        <w:rPr>
          <w:rFonts w:ascii="Times New Roman" w:hAnsi="Times New Roman" w:cs="Times New Roman"/>
          <w:b/>
          <w:bCs/>
          <w:color w:val="auto"/>
          <w:sz w:val="28"/>
          <w:szCs w:val="28"/>
        </w:rPr>
        <w:fldChar w:fldCharType="end"/>
      </w:r>
    </w:p>
    <w:tbl>
      <w:tblPr>
        <w:tblStyle w:val="19"/>
        <w:tblW w:w="94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
        <w:gridCol w:w="4225"/>
        <w:gridCol w:w="512"/>
        <w:gridCol w:w="4241"/>
      </w:tblGrid>
      <w:tr w14:paraId="745BA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1" w:hRule="atLeast"/>
          <w:jc w:val="center"/>
        </w:trPr>
        <w:tc>
          <w:tcPr>
            <w:tcW w:w="460" w:type="dxa"/>
          </w:tcPr>
          <w:p w14:paraId="1FD640F5">
            <w:pPr>
              <w:rPr>
                <w:rFonts w:cs="Times New Roman"/>
                <w:b/>
                <w:bCs/>
                <w:sz w:val="18"/>
                <w:szCs w:val="18"/>
              </w:rPr>
            </w:pPr>
            <w:r>
              <w:rPr>
                <w:rFonts w:hint="eastAsia" w:cs="Times New Roman"/>
                <w:sz w:val="18"/>
                <w:szCs w:val="18"/>
              </w:rPr>
              <w:t>A</w:t>
            </w:r>
          </w:p>
        </w:tc>
        <w:tc>
          <w:tcPr>
            <w:tcW w:w="4225" w:type="dxa"/>
          </w:tcPr>
          <w:p w14:paraId="7986ABFA">
            <w:pPr>
              <w:rPr>
                <w:rFonts w:cs="Times New Roman"/>
                <w:b/>
                <w:bCs/>
                <w:sz w:val="18"/>
                <w:szCs w:val="18"/>
              </w:rPr>
            </w:pPr>
            <w:r>
              <w:rPr>
                <w:rFonts w:hint="eastAsia" w:cs="Times New Roman"/>
                <w:b/>
                <w:bCs/>
                <w:sz w:val="18"/>
                <w:szCs w:val="18"/>
              </w:rPr>
              <w:drawing>
                <wp:inline distT="0" distB="0" distL="114300" distR="114300">
                  <wp:extent cx="2685415" cy="2685415"/>
                  <wp:effectExtent l="0" t="0" r="6985" b="6985"/>
                  <wp:docPr id="6" name="图片 6" descr="Cox_plot_TyGmortalit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ox_plot_TyGmortality_1"/>
                          <pic:cNvPicPr>
                            <a:picLocks noChangeAspect="1"/>
                          </pic:cNvPicPr>
                        </pic:nvPicPr>
                        <pic:blipFill>
                          <a:blip r:embed="rId5"/>
                          <a:stretch>
                            <a:fillRect/>
                          </a:stretch>
                        </pic:blipFill>
                        <pic:spPr>
                          <a:xfrm>
                            <a:off x="0" y="0"/>
                            <a:ext cx="2685415" cy="2685415"/>
                          </a:xfrm>
                          <a:prstGeom prst="rect">
                            <a:avLst/>
                          </a:prstGeom>
                        </pic:spPr>
                      </pic:pic>
                    </a:graphicData>
                  </a:graphic>
                </wp:inline>
              </w:drawing>
            </w:r>
          </w:p>
        </w:tc>
        <w:tc>
          <w:tcPr>
            <w:tcW w:w="512" w:type="dxa"/>
          </w:tcPr>
          <w:p w14:paraId="3E807FC5">
            <w:pPr>
              <w:rPr>
                <w:rFonts w:cs="Times New Roman"/>
                <w:b/>
                <w:bCs/>
                <w:sz w:val="18"/>
                <w:szCs w:val="18"/>
              </w:rPr>
            </w:pPr>
            <w:r>
              <w:rPr>
                <w:rFonts w:hint="eastAsia" w:cs="Times New Roman"/>
                <w:sz w:val="18"/>
                <w:szCs w:val="18"/>
              </w:rPr>
              <w:t>B</w:t>
            </w:r>
          </w:p>
        </w:tc>
        <w:tc>
          <w:tcPr>
            <w:tcW w:w="4241" w:type="dxa"/>
          </w:tcPr>
          <w:p w14:paraId="62B27C69">
            <w:pPr>
              <w:rPr>
                <w:rFonts w:cs="Times New Roman"/>
                <w:b/>
                <w:bCs/>
                <w:sz w:val="18"/>
                <w:szCs w:val="18"/>
              </w:rPr>
            </w:pPr>
            <w:r>
              <w:rPr>
                <w:rFonts w:hint="eastAsia" w:cs="Times New Roman"/>
                <w:b/>
                <w:bCs/>
                <w:sz w:val="18"/>
                <w:szCs w:val="18"/>
              </w:rPr>
              <w:drawing>
                <wp:inline distT="0" distB="0" distL="114300" distR="114300">
                  <wp:extent cx="2685415" cy="2685415"/>
                  <wp:effectExtent l="0" t="0" r="6985" b="6985"/>
                  <wp:docPr id="7" name="图片 7" descr="Cox_plot_TyGCV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ox_plot_TyGCVD_1"/>
                          <pic:cNvPicPr>
                            <a:picLocks noChangeAspect="1"/>
                          </pic:cNvPicPr>
                        </pic:nvPicPr>
                        <pic:blipFill>
                          <a:blip r:embed="rId6"/>
                          <a:stretch>
                            <a:fillRect/>
                          </a:stretch>
                        </pic:blipFill>
                        <pic:spPr>
                          <a:xfrm>
                            <a:off x="0" y="0"/>
                            <a:ext cx="2685415" cy="2685415"/>
                          </a:xfrm>
                          <a:prstGeom prst="rect">
                            <a:avLst/>
                          </a:prstGeom>
                        </pic:spPr>
                      </pic:pic>
                    </a:graphicData>
                  </a:graphic>
                </wp:inline>
              </w:drawing>
            </w:r>
          </w:p>
        </w:tc>
      </w:tr>
    </w:tbl>
    <w:p w14:paraId="7BDAA146">
      <w:pPr>
        <w:spacing w:line="480" w:lineRule="auto"/>
      </w:pPr>
      <w:bookmarkStart w:id="38" w:name="_Toc218184833"/>
      <w:r>
        <w:rPr>
          <w:rStyle w:val="26"/>
          <w:rFonts w:ascii="Times New Roman" w:hAnsi="Times New Roman" w:cs="Times New Roman"/>
          <w:b/>
          <w:bCs/>
          <w:color w:val="auto"/>
          <w:sz w:val="24"/>
          <w:szCs w:val="24"/>
        </w:rPr>
        <w:t>Fig. S1</w:t>
      </w:r>
      <w:r>
        <w:rPr>
          <w:rStyle w:val="26"/>
          <w:rFonts w:ascii="Times New Roman" w:hAnsi="Times New Roman" w:cs="Times New Roman"/>
          <w:color w:val="auto"/>
          <w:sz w:val="24"/>
          <w:szCs w:val="24"/>
        </w:rPr>
        <w:t xml:space="preserve"> Restricted cubic splines depicting the dose-response relationships between TyG and mortality outcomes.</w:t>
      </w:r>
      <w:bookmarkEnd w:id="38"/>
      <w:r>
        <w:t xml:space="preserve"> Adjustment factors included age, sex, race, BMI, marital status, PIR, education level, smoking status, alcohol consumption, eGFR, hypertension, and stroke history.</w:t>
      </w:r>
      <w:r>
        <w:rPr>
          <w:rFonts w:hint="eastAsia"/>
        </w:rPr>
        <w:t xml:space="preserve"> </w:t>
      </w:r>
      <w:r>
        <w:rPr>
          <w:b/>
          <w:bCs/>
        </w:rPr>
        <w:t>A</w:t>
      </w:r>
      <w:r>
        <w:t xml:space="preserve"> Association between </w:t>
      </w:r>
      <w:r>
        <w:rPr>
          <w:rFonts w:hint="eastAsia"/>
        </w:rPr>
        <w:t>TyG</w:t>
      </w:r>
      <w:r>
        <w:t xml:space="preserve"> and all-cause mortality in CKM stages 0–4; </w:t>
      </w:r>
      <w:r>
        <w:rPr>
          <w:b/>
          <w:bCs/>
        </w:rPr>
        <w:t>B</w:t>
      </w:r>
      <w:r>
        <w:t xml:space="preserve"> Association between </w:t>
      </w:r>
      <w:r>
        <w:rPr>
          <w:rFonts w:hint="eastAsia"/>
        </w:rPr>
        <w:t>TyG</w:t>
      </w:r>
      <w:r>
        <w:t xml:space="preserve"> and cardiovascular mortality in CKM stages 0–4. </w:t>
      </w:r>
      <w:r>
        <w:rPr>
          <w:rFonts w:hint="eastAsia"/>
        </w:rPr>
        <w:t>TyG</w:t>
      </w:r>
      <w:r>
        <w:t>, triglyceride glucose; CKM, cardiovascular-kidney-metabolic; HR, hazard ratio; BMI, body mass index; PIR, poverty income ratio; eGFR, estimated glomerular filtration rate.</w:t>
      </w:r>
    </w:p>
    <w:p w14:paraId="0D69F77D">
      <w:pPr>
        <w:rPr>
          <w:rFonts w:cs="Times New Roman"/>
          <w:b/>
          <w:bCs/>
          <w:lang w:bidi="ar"/>
        </w:rPr>
      </w:pPr>
    </w:p>
    <w:tbl>
      <w:tblPr>
        <w:tblStyle w:val="19"/>
        <w:tblW w:w="94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
        <w:gridCol w:w="4225"/>
        <w:gridCol w:w="512"/>
        <w:gridCol w:w="4241"/>
      </w:tblGrid>
      <w:tr w14:paraId="3E7D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1" w:hRule="atLeast"/>
          <w:jc w:val="center"/>
        </w:trPr>
        <w:tc>
          <w:tcPr>
            <w:tcW w:w="460" w:type="dxa"/>
          </w:tcPr>
          <w:p w14:paraId="35483008">
            <w:pPr>
              <w:rPr>
                <w:rFonts w:cs="Times New Roman"/>
                <w:b/>
                <w:bCs/>
                <w:sz w:val="18"/>
                <w:szCs w:val="18"/>
              </w:rPr>
            </w:pPr>
            <w:r>
              <w:rPr>
                <w:rFonts w:hint="eastAsia" w:cs="Times New Roman"/>
                <w:sz w:val="18"/>
                <w:szCs w:val="18"/>
              </w:rPr>
              <w:t>A</w:t>
            </w:r>
          </w:p>
        </w:tc>
        <w:tc>
          <w:tcPr>
            <w:tcW w:w="4225" w:type="dxa"/>
          </w:tcPr>
          <w:p w14:paraId="2D677089">
            <w:pPr>
              <w:rPr>
                <w:rFonts w:cs="Times New Roman"/>
                <w:b/>
                <w:bCs/>
                <w:sz w:val="18"/>
                <w:szCs w:val="18"/>
              </w:rPr>
            </w:pPr>
            <w:r>
              <w:rPr>
                <w:rFonts w:hint="eastAsia" w:cs="Times New Roman"/>
                <w:b/>
                <w:bCs/>
                <w:sz w:val="18"/>
                <w:szCs w:val="18"/>
              </w:rPr>
              <w:drawing>
                <wp:inline distT="0" distB="0" distL="114300" distR="114300">
                  <wp:extent cx="2685415" cy="2685415"/>
                  <wp:effectExtent l="0" t="0" r="6985" b="6985"/>
                  <wp:docPr id="2" name="图片 2" descr="Cox_plot_FImortalit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x_plot_FImortality_1"/>
                          <pic:cNvPicPr>
                            <a:picLocks noChangeAspect="1"/>
                          </pic:cNvPicPr>
                        </pic:nvPicPr>
                        <pic:blipFill>
                          <a:blip r:embed="rId7"/>
                          <a:stretch>
                            <a:fillRect/>
                          </a:stretch>
                        </pic:blipFill>
                        <pic:spPr>
                          <a:xfrm>
                            <a:off x="0" y="0"/>
                            <a:ext cx="2685415" cy="2685415"/>
                          </a:xfrm>
                          <a:prstGeom prst="rect">
                            <a:avLst/>
                          </a:prstGeom>
                        </pic:spPr>
                      </pic:pic>
                    </a:graphicData>
                  </a:graphic>
                </wp:inline>
              </w:drawing>
            </w:r>
          </w:p>
        </w:tc>
        <w:tc>
          <w:tcPr>
            <w:tcW w:w="512" w:type="dxa"/>
          </w:tcPr>
          <w:p w14:paraId="7454F223">
            <w:pPr>
              <w:rPr>
                <w:rFonts w:cs="Times New Roman"/>
                <w:b/>
                <w:bCs/>
                <w:sz w:val="18"/>
                <w:szCs w:val="18"/>
              </w:rPr>
            </w:pPr>
            <w:r>
              <w:rPr>
                <w:rFonts w:hint="eastAsia" w:cs="Times New Roman"/>
                <w:sz w:val="18"/>
                <w:szCs w:val="18"/>
              </w:rPr>
              <w:t>B</w:t>
            </w:r>
          </w:p>
        </w:tc>
        <w:tc>
          <w:tcPr>
            <w:tcW w:w="4241" w:type="dxa"/>
          </w:tcPr>
          <w:p w14:paraId="79DA15A8">
            <w:pPr>
              <w:rPr>
                <w:rFonts w:cs="Times New Roman"/>
                <w:b/>
                <w:bCs/>
                <w:sz w:val="18"/>
                <w:szCs w:val="18"/>
              </w:rPr>
            </w:pPr>
            <w:r>
              <w:rPr>
                <w:rFonts w:hint="eastAsia" w:cs="Times New Roman"/>
                <w:b/>
                <w:bCs/>
                <w:sz w:val="18"/>
                <w:szCs w:val="18"/>
              </w:rPr>
              <w:drawing>
                <wp:inline distT="0" distB="0" distL="114300" distR="114300">
                  <wp:extent cx="2685415" cy="2685415"/>
                  <wp:effectExtent l="0" t="0" r="6985" b="6985"/>
                  <wp:docPr id="3" name="图片 3" descr="Cox_plot_FICV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ox_plot_FICVD_1"/>
                          <pic:cNvPicPr>
                            <a:picLocks noChangeAspect="1"/>
                          </pic:cNvPicPr>
                        </pic:nvPicPr>
                        <pic:blipFill>
                          <a:blip r:embed="rId8"/>
                          <a:stretch>
                            <a:fillRect/>
                          </a:stretch>
                        </pic:blipFill>
                        <pic:spPr>
                          <a:xfrm>
                            <a:off x="0" y="0"/>
                            <a:ext cx="2685415" cy="2685415"/>
                          </a:xfrm>
                          <a:prstGeom prst="rect">
                            <a:avLst/>
                          </a:prstGeom>
                        </pic:spPr>
                      </pic:pic>
                    </a:graphicData>
                  </a:graphic>
                </wp:inline>
              </w:drawing>
            </w:r>
          </w:p>
        </w:tc>
      </w:tr>
    </w:tbl>
    <w:p w14:paraId="7BFE9E4C"/>
    <w:p w14:paraId="720BCFBA">
      <w:pPr>
        <w:spacing w:line="480" w:lineRule="auto"/>
      </w:pPr>
      <w:bookmarkStart w:id="39" w:name="_Hlk215411468"/>
      <w:bookmarkStart w:id="40" w:name="_Toc218184834"/>
      <w:r>
        <w:rPr>
          <w:rStyle w:val="26"/>
          <w:rFonts w:ascii="Times New Roman" w:hAnsi="Times New Roman" w:cs="Times New Roman"/>
          <w:b/>
          <w:bCs/>
          <w:color w:val="auto"/>
          <w:sz w:val="24"/>
          <w:szCs w:val="24"/>
        </w:rPr>
        <w:t>Fig. S2</w:t>
      </w:r>
      <w:bookmarkEnd w:id="39"/>
      <w:r>
        <w:rPr>
          <w:rStyle w:val="26"/>
          <w:rFonts w:ascii="Times New Roman" w:hAnsi="Times New Roman" w:cs="Times New Roman"/>
          <w:color w:val="auto"/>
          <w:sz w:val="24"/>
          <w:szCs w:val="24"/>
        </w:rPr>
        <w:t xml:space="preserve"> Restricted cubic splines depicting the dose-response relationships between FI and mortality outcomes.</w:t>
      </w:r>
      <w:bookmarkEnd w:id="40"/>
      <w:r>
        <w:t xml:space="preserve"> Adjustment factors included age, sex, race, BMI, marital status, PIR, education level, smoking status, alcohol consumption, eGFR, hypertension, and stroke history.</w:t>
      </w:r>
      <w:r>
        <w:rPr>
          <w:rFonts w:hint="eastAsia"/>
        </w:rPr>
        <w:t xml:space="preserve"> </w:t>
      </w:r>
      <w:r>
        <w:rPr>
          <w:b/>
          <w:bCs/>
        </w:rPr>
        <w:t>A</w:t>
      </w:r>
      <w:r>
        <w:t xml:space="preserve"> Association between FI and all-cause mortality in CKM stages 0–4; </w:t>
      </w:r>
      <w:r>
        <w:rPr>
          <w:b/>
          <w:bCs/>
        </w:rPr>
        <w:t>B</w:t>
      </w:r>
      <w:r>
        <w:t xml:space="preserve"> Association between FI and cardiovascular mortality in CKM stages 0–4. FI, frailty index; CKM, cardiovascular-kidney-metabolic; HR, hazard ratio; BMI, body mass index; PIR, poverty income ratio; eGFR, estimated glomerular filtration rate.</w:t>
      </w:r>
    </w:p>
    <w:p w14:paraId="4A2D182B">
      <w:pPr>
        <w:rPr>
          <w:rFonts w:cs="Times New Roman"/>
          <w:b/>
          <w:bCs/>
          <w:sz w:val="18"/>
          <w:szCs w:val="18"/>
        </w:rPr>
      </w:pPr>
    </w:p>
    <w:p w14:paraId="3F04FE5E">
      <w:pPr>
        <w:pStyle w:val="3"/>
        <w:rPr>
          <w:rFonts w:ascii="Times New Roman" w:hAnsi="Times New Roman" w:cs="Times New Roman"/>
          <w:color w:val="auto"/>
          <w:sz w:val="28"/>
          <w:szCs w:val="28"/>
        </w:rPr>
      </w:pPr>
    </w:p>
    <w:tbl>
      <w:tblPr>
        <w:tblStyle w:val="19"/>
        <w:tblW w:w="9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6"/>
        <w:gridCol w:w="4266"/>
        <w:gridCol w:w="337"/>
        <w:gridCol w:w="4266"/>
      </w:tblGrid>
      <w:tr w14:paraId="78950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6" w:hRule="atLeast"/>
          <w:jc w:val="center"/>
        </w:trPr>
        <w:tc>
          <w:tcPr>
            <w:tcW w:w="346" w:type="dxa"/>
          </w:tcPr>
          <w:p w14:paraId="3D9F2055">
            <w:pPr>
              <w:rPr>
                <w:rFonts w:cs="Times New Roman"/>
                <w:sz w:val="18"/>
                <w:szCs w:val="18"/>
              </w:rPr>
            </w:pPr>
            <w:r>
              <w:rPr>
                <w:rFonts w:hint="eastAsia" w:cs="Times New Roman"/>
                <w:sz w:val="18"/>
                <w:szCs w:val="18"/>
              </w:rPr>
              <w:t>A</w:t>
            </w:r>
          </w:p>
        </w:tc>
        <w:tc>
          <w:tcPr>
            <w:tcW w:w="4266" w:type="dxa"/>
          </w:tcPr>
          <w:p w14:paraId="1CA841F6">
            <w:pPr>
              <w:rPr>
                <w:rFonts w:cs="Times New Roman"/>
                <w:sz w:val="18"/>
                <w:szCs w:val="18"/>
              </w:rPr>
            </w:pPr>
            <w:r>
              <w:drawing>
                <wp:inline distT="0" distB="0" distL="0" distR="0">
                  <wp:extent cx="2565400" cy="2565400"/>
                  <wp:effectExtent l="0" t="0" r="6350" b="6350"/>
                  <wp:docPr id="12762098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0989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72883" cy="2572883"/>
                          </a:xfrm>
                          <a:prstGeom prst="rect">
                            <a:avLst/>
                          </a:prstGeom>
                          <a:noFill/>
                          <a:ln>
                            <a:noFill/>
                          </a:ln>
                        </pic:spPr>
                      </pic:pic>
                    </a:graphicData>
                  </a:graphic>
                </wp:inline>
              </w:drawing>
            </w:r>
          </w:p>
        </w:tc>
        <w:tc>
          <w:tcPr>
            <w:tcW w:w="337" w:type="dxa"/>
          </w:tcPr>
          <w:p w14:paraId="7DF72F1D">
            <w:pPr>
              <w:rPr>
                <w:rFonts w:cs="Times New Roman"/>
                <w:sz w:val="18"/>
                <w:szCs w:val="18"/>
              </w:rPr>
            </w:pPr>
            <w:r>
              <w:rPr>
                <w:rFonts w:hint="eastAsia" w:cs="Times New Roman"/>
                <w:sz w:val="18"/>
                <w:szCs w:val="18"/>
              </w:rPr>
              <w:t>B</w:t>
            </w:r>
          </w:p>
        </w:tc>
        <w:tc>
          <w:tcPr>
            <w:tcW w:w="4266" w:type="dxa"/>
          </w:tcPr>
          <w:p w14:paraId="0ED766F2">
            <w:pPr>
              <w:rPr>
                <w:rFonts w:cs="Times New Roman"/>
                <w:sz w:val="18"/>
                <w:szCs w:val="18"/>
              </w:rPr>
            </w:pPr>
            <w:r>
              <w:drawing>
                <wp:inline distT="0" distB="0" distL="0" distR="0">
                  <wp:extent cx="2566670" cy="2566670"/>
                  <wp:effectExtent l="0" t="0" r="5080" b="5080"/>
                  <wp:docPr id="2794399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39919"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66800" cy="2566800"/>
                          </a:xfrm>
                          <a:prstGeom prst="rect">
                            <a:avLst/>
                          </a:prstGeom>
                          <a:noFill/>
                          <a:ln>
                            <a:noFill/>
                          </a:ln>
                        </pic:spPr>
                      </pic:pic>
                    </a:graphicData>
                  </a:graphic>
                </wp:inline>
              </w:drawing>
            </w:r>
          </w:p>
        </w:tc>
      </w:tr>
    </w:tbl>
    <w:p w14:paraId="08EE1424">
      <w:pPr>
        <w:spacing w:line="480" w:lineRule="auto"/>
        <w:rPr>
          <w:rFonts w:cs="Times New Roman"/>
        </w:rPr>
      </w:pPr>
      <w:bookmarkStart w:id="41" w:name="_Toc218184835"/>
      <w:r>
        <w:rPr>
          <w:rStyle w:val="26"/>
          <w:rFonts w:ascii="Times New Roman" w:hAnsi="Times New Roman" w:cs="Times New Roman"/>
          <w:b/>
          <w:bCs/>
          <w:color w:val="auto"/>
          <w:sz w:val="24"/>
          <w:szCs w:val="24"/>
        </w:rPr>
        <w:t>Fig. S3</w:t>
      </w:r>
      <w:r>
        <w:rPr>
          <w:rStyle w:val="26"/>
          <w:rFonts w:ascii="Times New Roman" w:hAnsi="Times New Roman" w:cs="Times New Roman"/>
          <w:color w:val="auto"/>
          <w:sz w:val="24"/>
          <w:szCs w:val="24"/>
        </w:rPr>
        <w:t xml:space="preserve"> Schoenfeld residual diagnostic plots for TYG-FI over follow-up time in Cox proportional hazards models.</w:t>
      </w:r>
      <w:bookmarkEnd w:id="41"/>
      <w:r>
        <w:rPr>
          <w:rStyle w:val="26"/>
          <w:rFonts w:ascii="Times New Roman" w:hAnsi="Times New Roman" w:cs="Times New Roman"/>
          <w:color w:val="auto"/>
          <w:sz w:val="24"/>
          <w:szCs w:val="24"/>
        </w:rPr>
        <w:t xml:space="preserve"> </w:t>
      </w:r>
      <w:r>
        <w:rPr>
          <w:rFonts w:cs="Times New Roman"/>
        </w:rPr>
        <w:t>These residual plots depict the time-varying hazard coefficients (Beta(t)) of TYG-FI across survival time for (A) all-cause mortality events and (B) cardiovascular mortality events. Blue line: average hazard (reference line for null effect); Red line: time-varying hazard with 95% confidence interval (CI, dotted lines).</w:t>
      </w:r>
    </w:p>
    <w:p w14:paraId="30875B5B">
      <w:pPr>
        <w:spacing w:line="480" w:lineRule="auto"/>
        <w:rPr>
          <w:rFonts w:cs="Times New Roman"/>
        </w:rPr>
      </w:pPr>
    </w:p>
    <w:p w14:paraId="53C88753">
      <w:pPr>
        <w:spacing w:line="480" w:lineRule="auto"/>
        <w:rPr>
          <w:rFonts w:cs="Times New Roman"/>
        </w:rPr>
      </w:pPr>
    </w:p>
    <w:p w14:paraId="4EFC701D">
      <w:pPr>
        <w:spacing w:line="480" w:lineRule="auto"/>
        <w:rPr>
          <w:rFonts w:cs="Times New Roman"/>
        </w:rPr>
      </w:pPr>
    </w:p>
    <w:p w14:paraId="4565F721">
      <w:pPr>
        <w:spacing w:line="480" w:lineRule="auto"/>
        <w:rPr>
          <w:rFonts w:cs="Times New Roman"/>
        </w:rPr>
      </w:pPr>
    </w:p>
    <w:p w14:paraId="73C68AB9">
      <w:pPr>
        <w:spacing w:line="480" w:lineRule="auto"/>
        <w:rPr>
          <w:rFonts w:cs="Times New Roman"/>
        </w:rPr>
      </w:pPr>
    </w:p>
    <w:sectPr>
      <w:pgSz w:w="11906" w:h="16838"/>
      <w:pgMar w:top="1440" w:right="1797" w:bottom="1440" w:left="1797"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C319E">
    <w:pPr>
      <w:pStyle w:val="12"/>
      <w:spacing w:line="176" w:lineRule="auto"/>
      <w:ind w:left="7879"/>
      <w:rPr>
        <w:sz w:val="18"/>
        <w:szCs w:val="18"/>
      </w:rPr>
    </w:pPr>
    <w:r>
      <w:rPr>
        <w:sz w:val="18"/>
        <w:szCs w:val="18"/>
      </w:rPr>
      <w:t>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EC"/>
    <w:rsid w:val="00010E89"/>
    <w:rsid w:val="000356D2"/>
    <w:rsid w:val="00045B31"/>
    <w:rsid w:val="00045F61"/>
    <w:rsid w:val="00081273"/>
    <w:rsid w:val="000A547C"/>
    <w:rsid w:val="000B5326"/>
    <w:rsid w:val="00110471"/>
    <w:rsid w:val="0013406D"/>
    <w:rsid w:val="00142DF1"/>
    <w:rsid w:val="00150ED8"/>
    <w:rsid w:val="001649BC"/>
    <w:rsid w:val="001C6D65"/>
    <w:rsid w:val="001D241E"/>
    <w:rsid w:val="00263B3A"/>
    <w:rsid w:val="002678EF"/>
    <w:rsid w:val="0027452E"/>
    <w:rsid w:val="00287AE8"/>
    <w:rsid w:val="002D6A60"/>
    <w:rsid w:val="002E378D"/>
    <w:rsid w:val="00333557"/>
    <w:rsid w:val="003336B2"/>
    <w:rsid w:val="00336C47"/>
    <w:rsid w:val="00346B44"/>
    <w:rsid w:val="00351ECB"/>
    <w:rsid w:val="00383533"/>
    <w:rsid w:val="003A456E"/>
    <w:rsid w:val="003A6B45"/>
    <w:rsid w:val="00414AD8"/>
    <w:rsid w:val="00416481"/>
    <w:rsid w:val="0044156F"/>
    <w:rsid w:val="00452653"/>
    <w:rsid w:val="00474761"/>
    <w:rsid w:val="004878E0"/>
    <w:rsid w:val="004D3ED5"/>
    <w:rsid w:val="004D543B"/>
    <w:rsid w:val="00514477"/>
    <w:rsid w:val="00516671"/>
    <w:rsid w:val="00523665"/>
    <w:rsid w:val="00544169"/>
    <w:rsid w:val="00565833"/>
    <w:rsid w:val="005918DC"/>
    <w:rsid w:val="00594708"/>
    <w:rsid w:val="005C0C70"/>
    <w:rsid w:val="005E3BEA"/>
    <w:rsid w:val="00606D7A"/>
    <w:rsid w:val="00652F5D"/>
    <w:rsid w:val="00663753"/>
    <w:rsid w:val="006762D3"/>
    <w:rsid w:val="00680E0D"/>
    <w:rsid w:val="006A71BF"/>
    <w:rsid w:val="006C1F2A"/>
    <w:rsid w:val="006F5406"/>
    <w:rsid w:val="007059B4"/>
    <w:rsid w:val="007210CA"/>
    <w:rsid w:val="00734A3C"/>
    <w:rsid w:val="00765F36"/>
    <w:rsid w:val="007C0E3B"/>
    <w:rsid w:val="007C46BB"/>
    <w:rsid w:val="007E1C90"/>
    <w:rsid w:val="00802561"/>
    <w:rsid w:val="00814E6B"/>
    <w:rsid w:val="008222C3"/>
    <w:rsid w:val="00862EC4"/>
    <w:rsid w:val="008639B6"/>
    <w:rsid w:val="008E4C56"/>
    <w:rsid w:val="00910E72"/>
    <w:rsid w:val="009159EB"/>
    <w:rsid w:val="009217E9"/>
    <w:rsid w:val="0094796E"/>
    <w:rsid w:val="00981EF9"/>
    <w:rsid w:val="0099781C"/>
    <w:rsid w:val="009A39C3"/>
    <w:rsid w:val="009B4D71"/>
    <w:rsid w:val="009E40E1"/>
    <w:rsid w:val="009F03DF"/>
    <w:rsid w:val="009F1029"/>
    <w:rsid w:val="009F4D8E"/>
    <w:rsid w:val="009F60EC"/>
    <w:rsid w:val="00A0504A"/>
    <w:rsid w:val="00A211B2"/>
    <w:rsid w:val="00A30C79"/>
    <w:rsid w:val="00A62E23"/>
    <w:rsid w:val="00A80237"/>
    <w:rsid w:val="00AD635E"/>
    <w:rsid w:val="00B63801"/>
    <w:rsid w:val="00B70515"/>
    <w:rsid w:val="00BD18DC"/>
    <w:rsid w:val="00BD32EF"/>
    <w:rsid w:val="00C34B2E"/>
    <w:rsid w:val="00C40267"/>
    <w:rsid w:val="00C90B5F"/>
    <w:rsid w:val="00CA4AFB"/>
    <w:rsid w:val="00CA6808"/>
    <w:rsid w:val="00CB1F09"/>
    <w:rsid w:val="00CD1E87"/>
    <w:rsid w:val="00CD5072"/>
    <w:rsid w:val="00D75B15"/>
    <w:rsid w:val="00E02FB4"/>
    <w:rsid w:val="00E340E7"/>
    <w:rsid w:val="00E42D48"/>
    <w:rsid w:val="00EA1D73"/>
    <w:rsid w:val="00EA5E4B"/>
    <w:rsid w:val="00EA7147"/>
    <w:rsid w:val="00FA3CCF"/>
    <w:rsid w:val="00FB7A1B"/>
    <w:rsid w:val="00FD4D22"/>
    <w:rsid w:val="301604ED"/>
    <w:rsid w:val="403860CC"/>
    <w:rsid w:val="43D7480C"/>
    <w:rsid w:val="45105F03"/>
    <w:rsid w:val="47632696"/>
    <w:rsid w:val="590B2F1E"/>
    <w:rsid w:val="769E4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color w:val="000000" w:themeColor="text1"/>
      <w:kern w:val="2"/>
      <w:sz w:val="24"/>
      <w:szCs w:val="24"/>
      <w:lang w:val="en-US" w:eastAsia="zh-CN" w:bidi="ar-SA"/>
      <w14:textFill>
        <w14:solidFill>
          <w14:schemeClr w14:val="tx1"/>
        </w14:solidFill>
      </w14:textFil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5"/>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6"/>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rPr>
  </w:style>
  <w:style w:type="paragraph" w:styleId="7">
    <w:name w:val="heading 6"/>
    <w:basedOn w:val="1"/>
    <w:next w:val="1"/>
    <w:link w:val="29"/>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30"/>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semiHidden/>
    <w:unhideWhenUsed/>
    <w:qFormat/>
    <w:uiPriority w:val="99"/>
    <w:rPr>
      <w:rFonts w:ascii="Tahoma" w:hAnsi="Tahoma" w:cs="Tahoma"/>
      <w:sz w:val="16"/>
      <w:szCs w:val="20"/>
    </w:rPr>
  </w:style>
  <w:style w:type="paragraph" w:styleId="12">
    <w:name w:val="Body Text"/>
    <w:basedOn w:val="1"/>
    <w:link w:val="44"/>
    <w:semiHidden/>
    <w:qFormat/>
    <w:uiPriority w:val="0"/>
    <w:pPr>
      <w:widowControl/>
      <w:kinsoku w:val="0"/>
      <w:autoSpaceDE w:val="0"/>
      <w:autoSpaceDN w:val="0"/>
      <w:adjustRightInd w:val="0"/>
      <w:snapToGrid w:val="0"/>
      <w:jc w:val="left"/>
      <w:textAlignment w:val="baseline"/>
    </w:pPr>
    <w:rPr>
      <w:rFonts w:eastAsia="Times New Roman" w:cs="Times New Roman"/>
      <w:snapToGrid w:val="0"/>
      <w:color w:val="000000"/>
      <w:kern w:val="0"/>
      <w:sz w:val="22"/>
      <w:szCs w:val="22"/>
      <w:lang w:eastAsia="en-US"/>
    </w:rPr>
  </w:style>
  <w:style w:type="paragraph" w:styleId="13">
    <w:name w:val="toc 3"/>
    <w:basedOn w:val="1"/>
    <w:next w:val="1"/>
    <w:autoRedefine/>
    <w:unhideWhenUsed/>
    <w:qFormat/>
    <w:uiPriority w:val="39"/>
    <w:pPr>
      <w:widowControl/>
      <w:spacing w:after="100" w:line="259" w:lineRule="auto"/>
      <w:ind w:left="440"/>
      <w:jc w:val="left"/>
    </w:pPr>
    <w:rPr>
      <w:rFonts w:cs="Times New Roman" w:asciiTheme="minorHAnsi" w:hAnsiTheme="minorHAnsi" w:eastAsiaTheme="minorEastAsia"/>
      <w:color w:val="auto"/>
      <w:kern w:val="0"/>
      <w:sz w:val="22"/>
      <w:szCs w:val="22"/>
    </w:rPr>
  </w:style>
  <w:style w:type="paragraph" w:styleId="14">
    <w:name w:val="toc 1"/>
    <w:basedOn w:val="1"/>
    <w:next w:val="1"/>
    <w:autoRedefine/>
    <w:unhideWhenUsed/>
    <w:qFormat/>
    <w:uiPriority w:val="39"/>
    <w:pPr>
      <w:widowControl/>
      <w:spacing w:after="100" w:line="259" w:lineRule="auto"/>
      <w:jc w:val="left"/>
    </w:pPr>
    <w:rPr>
      <w:rFonts w:cs="Times New Roman" w:asciiTheme="minorHAnsi" w:hAnsiTheme="minorHAnsi" w:eastAsiaTheme="minorEastAsia"/>
      <w:color w:val="auto"/>
      <w:kern w:val="0"/>
      <w:sz w:val="22"/>
      <w:szCs w:val="22"/>
    </w:rPr>
  </w:style>
  <w:style w:type="paragraph" w:styleId="15">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oc 2"/>
    <w:basedOn w:val="1"/>
    <w:next w:val="1"/>
    <w:autoRedefine/>
    <w:unhideWhenUsed/>
    <w:qFormat/>
    <w:uiPriority w:val="39"/>
    <w:pPr>
      <w:widowControl/>
      <w:spacing w:after="100" w:line="259" w:lineRule="auto"/>
      <w:ind w:left="220"/>
      <w:jc w:val="left"/>
    </w:pPr>
    <w:rPr>
      <w:rFonts w:cs="Times New Roman" w:asciiTheme="minorHAnsi" w:hAnsiTheme="minorHAnsi" w:eastAsiaTheme="minorEastAsia"/>
      <w:color w:val="auto"/>
      <w:kern w:val="0"/>
      <w:sz w:val="22"/>
      <w:szCs w:val="22"/>
    </w:rPr>
  </w:style>
  <w:style w:type="paragraph" w:styleId="17">
    <w:name w:val="Title"/>
    <w:basedOn w:val="1"/>
    <w:next w:val="1"/>
    <w:link w:val="33"/>
    <w:qFormat/>
    <w:uiPriority w:val="10"/>
    <w:pPr>
      <w:spacing w:after="80"/>
      <w:contextualSpacing/>
      <w:jc w:val="center"/>
    </w:pPr>
    <w:rPr>
      <w:rFonts w:asciiTheme="majorHAnsi" w:hAnsiTheme="majorHAnsi" w:eastAsiaTheme="majorEastAsia" w:cstheme="majorBidi"/>
      <w:color w:val="auto"/>
      <w:spacing w:val="-10"/>
      <w:kern w:val="28"/>
      <w:sz w:val="56"/>
      <w:szCs w:val="56"/>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styleId="22">
    <w:name w:val="annotation reference"/>
    <w:basedOn w:val="20"/>
    <w:qFormat/>
    <w:uiPriority w:val="99"/>
    <w:rPr>
      <w:sz w:val="16"/>
      <w:szCs w:val="16"/>
    </w:rPr>
  </w:style>
  <w:style w:type="table" w:customStyle="1" w:styleId="23">
    <w:name w:val="三线表"/>
    <w:basedOn w:val="18"/>
    <w:qFormat/>
    <w:uiPriority w:val="99"/>
    <w:tblPr>
      <w:tblBorders>
        <w:top w:val="single" w:color="auto" w:sz="4" w:space="0"/>
        <w:bottom w:val="single" w:color="auto" w:sz="4" w:space="0"/>
      </w:tblBorders>
    </w:tblPr>
    <w:tblStylePr w:type="firstRow">
      <w:tcPr>
        <w:tcBorders>
          <w:top w:val="single" w:color="auto" w:sz="6" w:space="0"/>
          <w:bottom w:val="nil"/>
        </w:tcBorders>
      </w:tcPr>
    </w:tblStylePr>
  </w:style>
  <w:style w:type="character" w:customStyle="1" w:styleId="24">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字符"/>
    <w:basedOn w:val="20"/>
    <w:link w:val="3"/>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字符"/>
    <w:basedOn w:val="20"/>
    <w:link w:val="4"/>
    <w:qFormat/>
    <w:uiPriority w:val="9"/>
    <w:rPr>
      <w:rFonts w:asciiTheme="majorHAnsi" w:hAnsiTheme="majorHAnsi" w:eastAsiaTheme="majorEastAsia" w:cstheme="majorBidi"/>
      <w:color w:val="104862" w:themeColor="accent1" w:themeShade="BF"/>
      <w:sz w:val="32"/>
      <w:szCs w:val="32"/>
    </w:rPr>
  </w:style>
  <w:style w:type="character" w:customStyle="1" w:styleId="27">
    <w:name w:val="标题 4 字符"/>
    <w:basedOn w:val="20"/>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28">
    <w:name w:val="标题 5 字符"/>
    <w:basedOn w:val="20"/>
    <w:link w:val="6"/>
    <w:semiHidden/>
    <w:qFormat/>
    <w:uiPriority w:val="9"/>
    <w:rPr>
      <w:rFonts w:asciiTheme="minorHAnsi" w:hAnsiTheme="minorHAnsi" w:eastAsiaTheme="minorEastAsia" w:cstheme="majorBidi"/>
      <w:color w:val="104862" w:themeColor="accent1" w:themeShade="BF"/>
    </w:rPr>
  </w:style>
  <w:style w:type="character" w:customStyle="1" w:styleId="29">
    <w:name w:val="标题 6 字符"/>
    <w:basedOn w:val="20"/>
    <w:link w:val="7"/>
    <w:semiHidden/>
    <w:qFormat/>
    <w:uiPriority w:val="9"/>
    <w:rPr>
      <w:rFonts w:asciiTheme="minorHAnsi" w:hAnsiTheme="minorHAnsi" w:eastAsiaTheme="minorEastAsia" w:cstheme="majorBidi"/>
      <w:b/>
      <w:bCs/>
      <w:color w:val="104862" w:themeColor="accent1" w:themeShade="BF"/>
    </w:rPr>
  </w:style>
  <w:style w:type="character" w:customStyle="1" w:styleId="30">
    <w:name w:val="标题 7 字符"/>
    <w:basedOn w:val="20"/>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0"/>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0"/>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0"/>
    <w:link w:val="17"/>
    <w:qFormat/>
    <w:uiPriority w:val="10"/>
    <w:rPr>
      <w:rFonts w:asciiTheme="majorHAnsi" w:hAnsiTheme="majorHAnsi" w:eastAsiaTheme="majorEastAsia" w:cstheme="majorBidi"/>
      <w:color w:val="auto"/>
      <w:spacing w:val="-10"/>
      <w:kern w:val="28"/>
      <w:sz w:val="56"/>
      <w:szCs w:val="56"/>
    </w:rPr>
  </w:style>
  <w:style w:type="character" w:customStyle="1" w:styleId="34">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0"/>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20"/>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0">
    <w:name w:val="明显引用 字符"/>
    <w:basedOn w:val="20"/>
    <w:link w:val="39"/>
    <w:qFormat/>
    <w:uiPriority w:val="30"/>
    <w:rPr>
      <w:i/>
      <w:iCs/>
      <w:color w:val="104862" w:themeColor="accent1" w:themeShade="BF"/>
    </w:rPr>
  </w:style>
  <w:style w:type="character" w:customStyle="1" w:styleId="41">
    <w:name w:val="明显参考1"/>
    <w:basedOn w:val="20"/>
    <w:qFormat/>
    <w:uiPriority w:val="32"/>
    <w:rPr>
      <w:b/>
      <w:bCs/>
      <w:smallCaps/>
      <w:color w:val="104862" w:themeColor="accent1" w:themeShade="BF"/>
      <w:spacing w:val="5"/>
    </w:rPr>
  </w:style>
  <w:style w:type="character" w:customStyle="1" w:styleId="42">
    <w:name w:val="未处理的提及1"/>
    <w:basedOn w:val="20"/>
    <w:semiHidden/>
    <w:unhideWhenUsed/>
    <w:qFormat/>
    <w:uiPriority w:val="99"/>
    <w:rPr>
      <w:color w:val="605E5C"/>
      <w:shd w:val="clear" w:color="auto" w:fill="E1DFDD"/>
    </w:rPr>
  </w:style>
  <w:style w:type="paragraph" w:customStyle="1" w:styleId="43">
    <w:name w:val="TOC 标题1"/>
    <w:basedOn w:val="2"/>
    <w:next w:val="1"/>
    <w:unhideWhenUsed/>
    <w:qFormat/>
    <w:uiPriority w:val="39"/>
    <w:pPr>
      <w:widowControl/>
      <w:spacing w:before="240" w:after="0" w:line="259" w:lineRule="auto"/>
      <w:jc w:val="left"/>
      <w:outlineLvl w:val="9"/>
    </w:pPr>
    <w:rPr>
      <w:kern w:val="0"/>
      <w:sz w:val="32"/>
      <w:szCs w:val="32"/>
    </w:rPr>
  </w:style>
  <w:style w:type="character" w:customStyle="1" w:styleId="44">
    <w:name w:val="正文文本 字符"/>
    <w:basedOn w:val="20"/>
    <w:link w:val="12"/>
    <w:semiHidden/>
    <w:qFormat/>
    <w:uiPriority w:val="0"/>
    <w:rPr>
      <w:rFonts w:eastAsia="Times New Roman"/>
      <w:snapToGrid w:val="0"/>
      <w:color w:val="000000"/>
      <w:sz w:val="22"/>
      <w:szCs w:val="22"/>
      <w:lang w:eastAsia="en-US"/>
    </w:rPr>
  </w:style>
  <w:style w:type="character" w:customStyle="1" w:styleId="45">
    <w:name w:val="未处理的提及2"/>
    <w:basedOn w:val="20"/>
    <w:semiHidden/>
    <w:unhideWhenUsed/>
    <w:qFormat/>
    <w:uiPriority w:val="99"/>
    <w:rPr>
      <w:color w:val="605E5C"/>
      <w:shd w:val="clear" w:color="auto" w:fill="E1DFDD"/>
    </w:rPr>
  </w:style>
  <w:style w:type="character" w:customStyle="1" w:styleId="46">
    <w:name w:val="批注文字 字符"/>
    <w:basedOn w:val="20"/>
    <w:link w:val="11"/>
    <w:semiHidden/>
    <w:qFormat/>
    <w:uiPriority w:val="99"/>
    <w:rPr>
      <w:rFonts w:ascii="Tahoma" w:hAnsi="Tahoma" w:cs="Tahoma"/>
      <w:color w:val="000000" w:themeColor="text1"/>
      <w:kern w:val="2"/>
      <w:sz w:val="16"/>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0CBD3-6393-418F-8465-6034BB41995B}">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961</Words>
  <Characters>5281</Characters>
  <Lines>241</Lines>
  <Paragraphs>68</Paragraphs>
  <TotalTime>311</TotalTime>
  <ScaleCrop>false</ScaleCrop>
  <LinksUpToDate>false</LinksUpToDate>
  <CharactersWithSpaces>6173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2025-09-03T08:48:00Z</dcterms:created>
  <dc:creator>燕 汪</dc:creator>
  <cp:lastModifiedBy>  Miya</cp:lastModifiedBy>
  <dcterms:modified xsi:type="dcterms:W3CDTF">2026-01-02T12:39:34Z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eyJoZGlkIjoiMWZjNDE1YzE5YTlkM2EyYWM1ZDYxZDBmYTY3MGJlMWYiLCJ1c2VySWQiOiI2MDg4MjQ4MzIifQ==</vt:lpwstr>
  </property>
  <property fmtid="{D5CDD505-2E9C-101B-9397-08002B2CF9AE}" pid="3" name="KSOProductBuildVer">
    <vt:lpwstr>2052-12.1.0.24034</vt:lpwstr>
  </property>
  <property fmtid="{D5CDD505-2E9C-101B-9397-08002B2CF9AE}" pid="4" name="ICV">
    <vt:lpwstr>BC4EF89A712345AEAEB7AE60BD6756EE_12</vt:lpwstr>
  </property>
</Properties>
</file>